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F6" w:rsidRPr="00B51F79" w:rsidRDefault="009305F6" w:rsidP="009305F6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63D02B66" wp14:editId="441DDA9F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Университет</w:t>
            </w:r>
            <w:proofErr w:type="spellEnd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Синергия</w:t>
            </w:r>
            <w:proofErr w:type="spellEnd"/>
          </w:p>
        </w:tc>
      </w:tr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факультета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/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Института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Направление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специальность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обучения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Очно-заочная</w:t>
            </w:r>
            <w:proofErr w:type="spellEnd"/>
          </w:p>
        </w:tc>
      </w:tr>
      <w:tr w:rsidR="009305F6" w:rsidRPr="00B51F79" w:rsidTr="00624AB7"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очно-заочная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305F6" w:rsidRPr="00B51F79" w:rsidTr="00624AB7">
        <w:trPr>
          <w:trHeight w:val="68"/>
        </w:trPr>
        <w:tc>
          <w:tcPr>
            <w:tcW w:w="3115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Отчет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по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лабораторной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работе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№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 xml:space="preserve"> _</w:t>
      </w:r>
      <w:r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eastAsia="zh-CN"/>
        </w:rPr>
        <w:t>3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305F6" w:rsidRPr="00B51F79" w:rsidTr="00624AB7">
        <w:tc>
          <w:tcPr>
            <w:tcW w:w="1276" w:type="dxa"/>
            <w:gridSpan w:val="2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kern w:val="2"/>
                <w:lang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 xml:space="preserve">             </w:t>
            </w:r>
            <w:r w:rsidR="00954F20">
              <w:rPr>
                <w:rStyle w:val="a7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Инструментальные средства моделирования</w:t>
            </w:r>
            <w:bookmarkStart w:id="0" w:name="_GoBack"/>
            <w:bookmarkEnd w:id="0"/>
          </w:p>
        </w:tc>
      </w:tr>
      <w:tr w:rsidR="009305F6" w:rsidRPr="00B51F79" w:rsidTr="00624AB7">
        <w:tc>
          <w:tcPr>
            <w:tcW w:w="3115" w:type="dxa"/>
            <w:gridSpan w:val="6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темы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9305F6" w:rsidRPr="00B51F79" w:rsidTr="00624AB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9305F6" w:rsidRPr="00B51F79" w:rsidTr="00624A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9305F6" w:rsidRPr="00B51F79" w:rsidRDefault="009305F6" w:rsidP="00624AB7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9305F6" w:rsidRPr="00B51F79" w:rsidRDefault="00954F20" w:rsidP="00624AB7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</w:p>
        </w:tc>
      </w:tr>
      <w:tr w:rsidR="009305F6" w:rsidRPr="00B51F79" w:rsidTr="00624A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дисциплины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</w:tbl>
    <w:p w:rsidR="009305F6" w:rsidRPr="00B51F79" w:rsidRDefault="009305F6" w:rsidP="009305F6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305F6" w:rsidRPr="00B51F79" w:rsidRDefault="009305F6" w:rsidP="009305F6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305F6" w:rsidRPr="00B51F79" w:rsidTr="00624AB7">
        <w:tc>
          <w:tcPr>
            <w:tcW w:w="2061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1" w:name="_Hlk81468603"/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Хайал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9305F6" w:rsidRPr="00B51F79" w:rsidTr="00624AB7">
        <w:tc>
          <w:tcPr>
            <w:tcW w:w="2061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  <w:bookmarkEnd w:id="1"/>
          </w:p>
        </w:tc>
      </w:tr>
      <w:tr w:rsidR="009305F6" w:rsidRPr="00B51F79" w:rsidTr="00624AB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9305F6" w:rsidRPr="00B51F79" w:rsidTr="00624AB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305F6" w:rsidRPr="00B51F79" w:rsidRDefault="009305F6" w:rsidP="009305F6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305F6" w:rsidRPr="00B51F79" w:rsidTr="00624AB7">
        <w:tc>
          <w:tcPr>
            <w:tcW w:w="2268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9305F6" w:rsidRPr="00B51F79" w:rsidTr="00624AB7">
        <w:tc>
          <w:tcPr>
            <w:tcW w:w="2268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305F6" w:rsidRPr="00B51F79" w:rsidRDefault="009305F6" w:rsidP="00624AB7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</w:p>
        </w:tc>
      </w:tr>
    </w:tbl>
    <w:p w:rsidR="009305F6" w:rsidRPr="00B51F79" w:rsidRDefault="009305F6" w:rsidP="009305F6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305F6" w:rsidRPr="00B51F79" w:rsidRDefault="009305F6" w:rsidP="009305F6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9305F6" w:rsidRPr="00B51F79" w:rsidRDefault="009305F6" w:rsidP="009305F6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proofErr w:type="spellStart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Москва</w:t>
      </w:r>
      <w:proofErr w:type="spellEnd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2025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</w:p>
    <w:p w:rsidR="009305F6" w:rsidRPr="00B51F79" w:rsidRDefault="009305F6" w:rsidP="009305F6">
      <w:pPr>
        <w:spacing w:after="0" w:line="279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eastAsia="zh-CN"/>
        </w:rPr>
      </w:pPr>
    </w:p>
    <w:p w:rsidR="009305F6" w:rsidRPr="00B51F79" w:rsidRDefault="009305F6" w:rsidP="009305F6">
      <w:pPr>
        <w:spacing w:after="0" w:line="279" w:lineRule="auto"/>
        <w:jc w:val="center"/>
        <w:rPr>
          <w:rFonts w:ascii="Times New Roman" w:eastAsia="Consolas" w:hAnsi="Times New Roman" w:cs="Times New Roman"/>
          <w:b/>
          <w:sz w:val="28"/>
          <w:szCs w:val="28"/>
          <w:lang w:eastAsia="zh-CN"/>
        </w:rPr>
      </w:pPr>
    </w:p>
    <w:p w:rsidR="009A0EB6" w:rsidRDefault="009A0EB6"/>
    <w:p w:rsidR="009305F6" w:rsidRDefault="009305F6"/>
    <w:p w:rsidR="009305F6" w:rsidRDefault="009305F6"/>
    <w:p w:rsidR="009305F6" w:rsidRDefault="009305F6"/>
    <w:p w:rsidR="009305F6" w:rsidRDefault="009305F6"/>
    <w:p w:rsidR="009305F6" w:rsidRDefault="009305F6"/>
    <w:p w:rsidR="009305F6" w:rsidRP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компании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>Название компании:</w:t>
      </w:r>
      <w:r w:rsidRPr="009305F6"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ФитТех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>Сфера деятельности:</w:t>
      </w:r>
      <w:r w:rsidRPr="009305F6">
        <w:rPr>
          <w:rFonts w:ascii="Times New Roman" w:hAnsi="Times New Roman" w:cs="Times New Roman"/>
          <w:sz w:val="28"/>
          <w:szCs w:val="28"/>
        </w:rPr>
        <w:t xml:space="preserve"> разработка и внедрение цифровых решений для фитнес-клубов (CRM-системы, мобильные приложения, аналитика)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>Миссия:</w:t>
      </w:r>
      <w:r w:rsidRPr="009305F6">
        <w:rPr>
          <w:rFonts w:ascii="Times New Roman" w:hAnsi="Times New Roman" w:cs="Times New Roman"/>
          <w:sz w:val="28"/>
          <w:szCs w:val="28"/>
        </w:rPr>
        <w:t xml:space="preserve"> Помогать фитнес-бизнесу расти за счет автоматизации и вовлечения клиентов через цифровые технологии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</w:t>
      </w:r>
      <w:r w:rsidRPr="009305F6">
        <w:rPr>
          <w:rFonts w:ascii="Times New Roman" w:hAnsi="Times New Roman" w:cs="Times New Roman"/>
          <w:b/>
          <w:sz w:val="28"/>
          <w:szCs w:val="28"/>
        </w:rPr>
        <w:t>Количество сотрудников:</w:t>
      </w:r>
      <w:r w:rsidRPr="009305F6">
        <w:rPr>
          <w:rFonts w:ascii="Times New Roman" w:hAnsi="Times New Roman" w:cs="Times New Roman"/>
          <w:sz w:val="28"/>
          <w:szCs w:val="28"/>
        </w:rPr>
        <w:t xml:space="preserve"> 85 человек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</w:t>
      </w:r>
      <w:r w:rsidRPr="009305F6">
        <w:rPr>
          <w:rFonts w:ascii="Times New Roman" w:hAnsi="Times New Roman" w:cs="Times New Roman"/>
          <w:b/>
          <w:sz w:val="28"/>
          <w:szCs w:val="28"/>
        </w:rPr>
        <w:t>Формат бизнеса:</w:t>
      </w:r>
      <w:r w:rsidRPr="009305F6">
        <w:rPr>
          <w:rFonts w:ascii="Times New Roman" w:hAnsi="Times New Roman" w:cs="Times New Roman"/>
          <w:sz w:val="28"/>
          <w:szCs w:val="28"/>
        </w:rPr>
        <w:t xml:space="preserve"> B2B,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 (продажа подписки на ПО), консалтинг и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 решений</w:t>
      </w:r>
    </w:p>
    <w:p w:rsidR="009305F6" w:rsidRP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 xml:space="preserve"> Конкуренты: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Mindbody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 (международный)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FitBase</w:t>
      </w:r>
      <w:proofErr w:type="spellEnd"/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• ГИМС </w:t>
      </w:r>
    </w:p>
    <w:p w:rsidR="009305F6" w:rsidRP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 xml:space="preserve">Конкурентная стратегия: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• Гибкая настройка под конкретного клиента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>• Простота интерфейса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• Модульность и масштабируемость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• Сильная служба поддержки</w:t>
      </w:r>
    </w:p>
    <w:p w:rsidR="009305F6" w:rsidRP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</w:t>
      </w:r>
      <w:r w:rsidRPr="009305F6">
        <w:rPr>
          <w:rFonts w:ascii="Times New Roman" w:hAnsi="Times New Roman" w:cs="Times New Roman"/>
          <w:b/>
          <w:sz w:val="28"/>
          <w:szCs w:val="28"/>
        </w:rPr>
        <w:t xml:space="preserve">Поставщики и потребители: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• Поставщики: дата-центры (например,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), маркетинговые агентства, подрядчики UI/UX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• Потребители: фитнес-клубы, сети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wellness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>-центров, частные тренеры</w:t>
      </w:r>
    </w:p>
    <w:p w:rsidR="009305F6" w:rsidRPr="009305F6" w:rsidRDefault="009305F6" w:rsidP="009305F6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 xml:space="preserve">Цели компании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>На 1 год: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1. Внедрить 50 новых клиентов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2. Запустить мобильное приложение 2.0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3. Автоматизировать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биллинг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 и отчетность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4. Снизить среднее время ответа поддержки до 15 мин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Внедрить BI-панель для клиентов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На 3 года: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lastRenderedPageBreak/>
        <w:t>1. Выйти на рынок Казахстана и Беларуси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2. Расширить команду до 150 сотрудников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3. Добавить интеграции с 1С,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4. Получить премию «Лучшее 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 xml:space="preserve">-решение года»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>5. Разработать встроенный модуль AI-аналитики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На 5 лет: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1. Стать №1 в России по CRM для фитнес-клубов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 2. Выйти на рынок Европы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3. Достичь выручки 1 млрд руб./год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 xml:space="preserve">4. Построить собственный дата-центр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sz w:val="28"/>
          <w:szCs w:val="28"/>
        </w:rPr>
        <w:t>5. Разработать экосистему продуктов под брендом «</w:t>
      </w:r>
      <w:proofErr w:type="spellStart"/>
      <w:r w:rsidRPr="009305F6">
        <w:rPr>
          <w:rFonts w:ascii="Times New Roman" w:hAnsi="Times New Roman" w:cs="Times New Roman"/>
          <w:sz w:val="28"/>
          <w:szCs w:val="28"/>
        </w:rPr>
        <w:t>ФитТех</w:t>
      </w:r>
      <w:proofErr w:type="spellEnd"/>
      <w:r w:rsidRPr="009305F6">
        <w:rPr>
          <w:rFonts w:ascii="Times New Roman" w:hAnsi="Times New Roman" w:cs="Times New Roman"/>
          <w:sz w:val="28"/>
          <w:szCs w:val="28"/>
        </w:rPr>
        <w:t>»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 xml:space="preserve">Организационная структура </w: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>Тип структуры:</w:t>
      </w:r>
      <w:r w:rsidRPr="009305F6">
        <w:rPr>
          <w:rFonts w:ascii="Times New Roman" w:hAnsi="Times New Roman" w:cs="Times New Roman"/>
          <w:sz w:val="28"/>
          <w:szCs w:val="28"/>
        </w:rPr>
        <w:t xml:space="preserve"> функционально-проектная</w:t>
      </w:r>
    </w:p>
    <w:p w:rsidR="009305F6" w:rsidRDefault="00954F20" w:rsidP="009305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1.25pt">
            <v:imagedata r:id="rId6" o:title="вау"/>
          </v:shape>
        </w:pict>
      </w:r>
    </w:p>
    <w:p w:rsidR="009305F6" w:rsidRDefault="009305F6" w:rsidP="009305F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05F6">
        <w:rPr>
          <w:rFonts w:ascii="Times New Roman" w:hAnsi="Times New Roman" w:cs="Times New Roman"/>
          <w:b/>
          <w:sz w:val="28"/>
          <w:szCs w:val="28"/>
        </w:rPr>
        <w:t>Техническая архитектура компании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410"/>
        <w:gridCol w:w="4575"/>
      </w:tblGrid>
      <w:tr w:rsidR="009305F6" w:rsidTr="009305F6">
        <w:tc>
          <w:tcPr>
            <w:tcW w:w="4672" w:type="dxa"/>
          </w:tcPr>
          <w:p w:rsidR="009305F6" w:rsidRDefault="009305F6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:rsidR="009305F6" w:rsidRDefault="009305F6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Технологии\Инструменты</w:t>
            </w:r>
          </w:p>
        </w:tc>
      </w:tr>
      <w:tr w:rsidR="009305F6" w:rsidRPr="00954F20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4673" w:type="dxa"/>
          </w:tcPr>
          <w:p w:rsidR="009305F6" w:rsidRPr="00EA68F5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>VPS (</w:t>
            </w:r>
            <w:proofErr w:type="spellStart"/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>Selectel</w:t>
            </w:r>
            <w:proofErr w:type="spellEnd"/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 xml:space="preserve">, </w:t>
            </w:r>
            <w:proofErr w:type="spellStart"/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>Yandex.Cloud</w:t>
            </w:r>
            <w:proofErr w:type="spellEnd"/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>), Nginx, Docker</w:t>
            </w:r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4673" w:type="dxa"/>
          </w:tcPr>
          <w:p w:rsidR="009305F6" w:rsidRDefault="00EA68F5" w:rsidP="00EA68F5">
            <w:pPr>
              <w:tabs>
                <w:tab w:val="left" w:pos="304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PostgreSQL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Redis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 (кеширование)</w:t>
            </w:r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  <w:tc>
          <w:tcPr>
            <w:tcW w:w="4673" w:type="dxa"/>
          </w:tcPr>
          <w:p w:rsidR="009305F6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E3FEE0"/>
              </w:rPr>
              <w:t>S3 (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Yandex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Object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Storage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)</w:t>
            </w:r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DevOps </w:t>
            </w: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EA6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/CD</w:t>
            </w:r>
          </w:p>
        </w:tc>
        <w:tc>
          <w:tcPr>
            <w:tcW w:w="4673" w:type="dxa"/>
          </w:tcPr>
          <w:p w:rsidR="009305F6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GitLab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 CI,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Kubernetes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Ansible</w:t>
            </w:r>
            <w:proofErr w:type="spellEnd"/>
          </w:p>
        </w:tc>
      </w:tr>
      <w:tr w:rsidR="009305F6" w:rsidRPr="00954F20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Язык разработки</w:t>
            </w:r>
          </w:p>
        </w:tc>
        <w:tc>
          <w:tcPr>
            <w:tcW w:w="4673" w:type="dxa"/>
          </w:tcPr>
          <w:p w:rsidR="009305F6" w:rsidRPr="00EA68F5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A68F5">
              <w:rPr>
                <w:rFonts w:ascii="Segoe UI" w:hAnsi="Segoe UI" w:cs="Segoe UI"/>
                <w:color w:val="000000"/>
                <w:shd w:val="clear" w:color="auto" w:fill="E3FEE0"/>
                <w:lang w:val="en-US"/>
              </w:rPr>
              <w:t>Python (Django), JavaScript (Vue.js)</w:t>
            </w:r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Мобильные приложения</w:t>
            </w:r>
          </w:p>
        </w:tc>
        <w:tc>
          <w:tcPr>
            <w:tcW w:w="4673" w:type="dxa"/>
          </w:tcPr>
          <w:p w:rsidR="009305F6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Flutter</w:t>
            </w:r>
            <w:proofErr w:type="spellEnd"/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и </w:t>
            </w:r>
            <w:proofErr w:type="spellStart"/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логирование</w:t>
            </w:r>
            <w:proofErr w:type="spellEnd"/>
          </w:p>
        </w:tc>
        <w:tc>
          <w:tcPr>
            <w:tcW w:w="4673" w:type="dxa"/>
          </w:tcPr>
          <w:p w:rsidR="009305F6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Grafana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Prometheus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E3FEE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E3FEE0"/>
              </w:rPr>
              <w:t>Sentry</w:t>
            </w:r>
            <w:proofErr w:type="spellEnd"/>
          </w:p>
        </w:tc>
      </w:tr>
      <w:tr w:rsidR="009305F6" w:rsidTr="009305F6">
        <w:tc>
          <w:tcPr>
            <w:tcW w:w="4672" w:type="dxa"/>
          </w:tcPr>
          <w:p w:rsidR="009305F6" w:rsidRPr="00EA68F5" w:rsidRDefault="009305F6" w:rsidP="00EA6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8F5">
              <w:rPr>
                <w:rFonts w:ascii="Times New Roman" w:hAnsi="Times New Roman" w:cs="Times New Roman"/>
                <w:sz w:val="28"/>
                <w:szCs w:val="28"/>
              </w:rPr>
              <w:t xml:space="preserve">Защиты данных и </w:t>
            </w:r>
            <w:proofErr w:type="spellStart"/>
            <w:r w:rsidRPr="00EA68F5">
              <w:rPr>
                <w:rFonts w:ascii="Times New Roman" w:hAnsi="Times New Roman" w:cs="Times New Roman"/>
                <w:sz w:val="28"/>
                <w:szCs w:val="28"/>
              </w:rPr>
              <w:t>бэкапы</w:t>
            </w:r>
            <w:proofErr w:type="spellEnd"/>
          </w:p>
        </w:tc>
        <w:tc>
          <w:tcPr>
            <w:tcW w:w="4673" w:type="dxa"/>
          </w:tcPr>
          <w:p w:rsidR="009305F6" w:rsidRDefault="00EA68F5" w:rsidP="00EA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E3FEE0"/>
              </w:rPr>
              <w:t>VPN, SSL, резервные копии, доступ по ключам</w:t>
            </w:r>
          </w:p>
        </w:tc>
      </w:tr>
    </w:tbl>
    <w:p w:rsidR="009305F6" w:rsidRPr="009305F6" w:rsidRDefault="009305F6" w:rsidP="009305F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9305F6" w:rsidRPr="0093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7245"/>
    <w:multiLevelType w:val="multilevel"/>
    <w:tmpl w:val="04187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C4528"/>
    <w:multiLevelType w:val="hybridMultilevel"/>
    <w:tmpl w:val="102A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1680F"/>
    <w:multiLevelType w:val="multilevel"/>
    <w:tmpl w:val="9A8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58"/>
    <w:rsid w:val="004F7D58"/>
    <w:rsid w:val="009305F6"/>
    <w:rsid w:val="00954F20"/>
    <w:rsid w:val="009A0EB6"/>
    <w:rsid w:val="00E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11948-E7B9-4399-9D35-172D3D4D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05F6"/>
    <w:rPr>
      <w:b/>
      <w:bCs/>
    </w:rPr>
  </w:style>
  <w:style w:type="paragraph" w:styleId="a5">
    <w:name w:val="List Paragraph"/>
    <w:basedOn w:val="a"/>
    <w:uiPriority w:val="34"/>
    <w:qFormat/>
    <w:rsid w:val="009305F6"/>
    <w:pPr>
      <w:ind w:left="720"/>
      <w:contextualSpacing/>
    </w:pPr>
  </w:style>
  <w:style w:type="table" w:styleId="a6">
    <w:name w:val="Table Grid"/>
    <w:basedOn w:val="a1"/>
    <w:uiPriority w:val="39"/>
    <w:rsid w:val="0093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54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2025-04-05T11:37:00Z</dcterms:created>
  <dcterms:modified xsi:type="dcterms:W3CDTF">2025-04-05T12:22:00Z</dcterms:modified>
</cp:coreProperties>
</file>