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C77A78" w14:textId="77777777" w:rsidR="004B7297" w:rsidRDefault="00853FCB">
      <w:pPr>
        <w:ind w:right="-850" w:hanging="1701"/>
      </w:pPr>
      <w:r>
        <w:rPr>
          <w:noProof/>
          <w:lang w:eastAsia="ru-RU"/>
        </w:rPr>
        <mc:AlternateContent>
          <mc:Choice Requires="wpg">
            <w:drawing>
              <wp:inline distT="0" distB="0" distL="0" distR="0" wp14:anchorId="1B770A4C" wp14:editId="40D2D449">
                <wp:extent cx="7574280" cy="914400"/>
                <wp:effectExtent l="0" t="0" r="7620" b="0"/>
                <wp:docPr id="1" name="Рисунок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1"/>
                        <pic:cNvPicPr>
                          <a:picLocks noChangeAspect="1"/>
                        </pic:cNvPicPr>
                      </pic:nvPicPr>
                      <pic:blipFill>
                        <a:blip r:embed="rId7"/>
                        <a:stretch/>
                      </pic:blipFill>
                      <pic:spPr bwMode="auto">
                        <a:xfrm>
                          <a:off x="0" y="0"/>
                          <a:ext cx="7574280" cy="914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596.40pt;height:72.00pt;mso-wrap-distance-left:0.00pt;mso-wrap-distance-top:0.00pt;mso-wrap-distance-right:0.00pt;mso-wrap-distance-bottom:0.00pt;" stroked="f">
                <v:path textboxrect="0,0,0,0"/>
                <v:imagedata r:id="rId9" o:title=""/>
              </v:shape>
            </w:pict>
          </mc:Fallback>
        </mc:AlternateContent>
      </w:r>
    </w:p>
    <w:p w14:paraId="1DB223C4" w14:textId="77777777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NewRomanPS-BoldMT" w:hAnsi="TimesNewRomanPS-BoldMT"/>
          <w:color w:val="000000"/>
          <w:sz w:val="26"/>
          <w:szCs w:val="26"/>
        </w:rPr>
        <w:t xml:space="preserve"> </w:t>
      </w:r>
      <w:r>
        <w:rPr>
          <w:rFonts w:ascii="TimesNewRomanPS-BoldMT" w:hAnsi="TimesNewRomanPS-BoldMT"/>
          <w:b/>
          <w:bCs/>
          <w:color w:val="000000"/>
          <w:sz w:val="26"/>
          <w:szCs w:val="26"/>
        </w:rPr>
        <w:t>«СИНЕРГИЯ»</w:t>
      </w:r>
    </w:p>
    <w:p w14:paraId="5612C555" w14:textId="77777777" w:rsidR="004B7297" w:rsidRDefault="004B7297">
      <w:pPr>
        <w:ind w:right="-1"/>
        <w:jc w:val="center"/>
        <w:rPr>
          <w:rFonts w:ascii="TimesNewRomanPS-BoldMT" w:hAnsi="TimesNewRomanPS-BoldMT"/>
          <w:b/>
          <w:bCs/>
          <w:color w:val="000000"/>
          <w:sz w:val="26"/>
          <w:szCs w:val="26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115"/>
        <w:gridCol w:w="282"/>
        <w:gridCol w:w="5948"/>
      </w:tblGrid>
      <w:tr w:rsidR="004B7297" w14:paraId="511F2C5A" w14:textId="77777777">
        <w:tc>
          <w:tcPr>
            <w:tcW w:w="3115" w:type="dxa"/>
            <w:shd w:val="clear" w:color="auto" w:fill="auto"/>
          </w:tcPr>
          <w:p w14:paraId="2929316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2C585ED6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553AF03D" w14:textId="14C3EA9F" w:rsidR="004B7297" w:rsidRPr="00781250" w:rsidRDefault="00781250" w:rsidP="00781250">
            <w:pPr>
              <w:spacing w:after="0" w:line="240" w:lineRule="auto"/>
              <w:ind w:right="-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Университет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Синергия</w:t>
            </w:r>
          </w:p>
        </w:tc>
      </w:tr>
      <w:tr w:rsidR="004B7297" w14:paraId="14785A95" w14:textId="77777777">
        <w:tc>
          <w:tcPr>
            <w:tcW w:w="3115" w:type="dxa"/>
            <w:shd w:val="clear" w:color="auto" w:fill="auto"/>
          </w:tcPr>
          <w:p w14:paraId="33F54A8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438914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692A3D23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4B7297" w14:paraId="277AF2E0" w14:textId="77777777">
        <w:tc>
          <w:tcPr>
            <w:tcW w:w="3115" w:type="dxa"/>
            <w:shd w:val="clear" w:color="auto" w:fill="auto"/>
          </w:tcPr>
          <w:p w14:paraId="6837CB10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F7602D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D581719" w14:textId="7DD9287B" w:rsidR="004B7297" w:rsidRDefault="00781250">
            <w:pPr>
              <w:pStyle w:val="af9"/>
              <w:spacing w:after="0"/>
              <w:jc w:val="both"/>
              <w:rPr>
                <w:spacing w:val="-16"/>
                <w:sz w:val="26"/>
                <w:szCs w:val="26"/>
              </w:rPr>
            </w:pPr>
            <w:r>
              <w:t xml:space="preserve">            </w:t>
            </w:r>
            <w:r w:rsidR="00853FCB">
              <w:t>Информационные системы и технологии</w:t>
            </w:r>
          </w:p>
        </w:tc>
      </w:tr>
      <w:tr w:rsidR="004B7297" w14:paraId="0A8D9F35" w14:textId="77777777">
        <w:tc>
          <w:tcPr>
            <w:tcW w:w="3115" w:type="dxa"/>
            <w:shd w:val="clear" w:color="auto" w:fill="auto"/>
          </w:tcPr>
          <w:p w14:paraId="32C43838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CAD82B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77BFC60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4B7297" w14:paraId="0C279AA0" w14:textId="77777777">
        <w:tc>
          <w:tcPr>
            <w:tcW w:w="3115" w:type="dxa"/>
            <w:shd w:val="clear" w:color="auto" w:fill="auto"/>
          </w:tcPr>
          <w:p w14:paraId="76216DCC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</w:rPr>
              <w:t>Форма обучения</w:t>
            </w: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B7E1820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F708EEB" w14:textId="1D95E5D2" w:rsidR="004B7297" w:rsidRPr="00781250" w:rsidRDefault="006A7F16" w:rsidP="006A7F16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</w:t>
            </w:r>
            <w:r w:rsidR="00853FCB" w:rsidRPr="00781250">
              <w:rPr>
                <w:rFonts w:ascii="Times New Roman" w:hAnsi="Times New Roman" w:cs="Times New Roman"/>
                <w:sz w:val="24"/>
                <w:szCs w:val="24"/>
              </w:rPr>
              <w:t>Очно-заочная</w:t>
            </w:r>
          </w:p>
        </w:tc>
      </w:tr>
      <w:tr w:rsidR="004B7297" w14:paraId="392D35CB" w14:textId="77777777">
        <w:tc>
          <w:tcPr>
            <w:tcW w:w="3115" w:type="dxa"/>
            <w:shd w:val="clear" w:color="auto" w:fill="auto"/>
          </w:tcPr>
          <w:p w14:paraId="6663AA04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187E36A5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3D030D97" w14:textId="77777777" w:rsidR="004B7297" w:rsidRDefault="00853FCB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4B7297" w14:paraId="36DFAF5A" w14:textId="77777777">
        <w:trPr>
          <w:trHeight w:val="68"/>
        </w:trPr>
        <w:tc>
          <w:tcPr>
            <w:tcW w:w="3115" w:type="dxa"/>
            <w:shd w:val="clear" w:color="auto" w:fill="auto"/>
          </w:tcPr>
          <w:p w14:paraId="167581B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4FE229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148113C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MT" w:hAnsi="TimesNewRomanPSMT"/>
                <w:color w:val="000000"/>
                <w:sz w:val="18"/>
                <w:szCs w:val="18"/>
              </w:rPr>
            </w:pPr>
          </w:p>
        </w:tc>
      </w:tr>
    </w:tbl>
    <w:p w14:paraId="3E56DA2D" w14:textId="77777777" w:rsidR="004B7297" w:rsidRDefault="00853FCB">
      <w:pPr>
        <w:ind w:right="-1"/>
        <w:jc w:val="center"/>
        <w:rPr>
          <w:rFonts w:ascii="TimesNewRomanPS-BoldMT" w:hAnsi="TimesNewRomanPS-BoldMT"/>
          <w:color w:val="FFFFFF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t>.</w:t>
      </w:r>
    </w:p>
    <w:p w14:paraId="24FCB8F5" w14:textId="2A4A3DCB" w:rsidR="004B7297" w:rsidRDefault="00853FCB">
      <w:pPr>
        <w:ind w:right="-1"/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-BoldMT" w:hAnsi="TimesNewRomanPS-BoldMT"/>
          <w:color w:val="FFFFFF"/>
          <w:sz w:val="28"/>
          <w:szCs w:val="28"/>
        </w:rPr>
        <w:br/>
      </w:r>
      <w:r>
        <w:rPr>
          <w:rFonts w:ascii="TimesNewRomanPSMT" w:hAnsi="TimesNewRomanPSMT"/>
          <w:color w:val="000000"/>
          <w:sz w:val="18"/>
          <w:szCs w:val="18"/>
        </w:rPr>
        <w:br/>
      </w:r>
      <w:r>
        <w:rPr>
          <w:rFonts w:ascii="TimesNewRomanPS-BoldMT" w:hAnsi="TimesNewRomanPS-BoldMT"/>
          <w:b/>
          <w:bCs/>
          <w:color w:val="000000"/>
          <w:sz w:val="28"/>
          <w:szCs w:val="28"/>
        </w:rPr>
        <w:t>Отчет по лабораторной работе №</w:t>
      </w:r>
      <w:r>
        <w:rPr>
          <w:rFonts w:ascii="TimesNewRomanPS-BoldMT" w:hAnsi="TimesNewRomanPS-BoldMT"/>
          <w:b/>
          <w:bCs/>
          <w:sz w:val="28"/>
          <w:szCs w:val="28"/>
        </w:rPr>
        <w:t xml:space="preserve"> </w:t>
      </w:r>
      <w:r w:rsidR="003963AB">
        <w:rPr>
          <w:rFonts w:ascii="TimesNewRomanPS-BoldMT" w:hAnsi="TimesNewRomanPS-BoldMT"/>
          <w:b/>
          <w:bCs/>
          <w:sz w:val="28"/>
          <w:szCs w:val="28"/>
        </w:rPr>
        <w:t>4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134"/>
        <w:gridCol w:w="142"/>
        <w:gridCol w:w="284"/>
        <w:gridCol w:w="708"/>
        <w:gridCol w:w="284"/>
        <w:gridCol w:w="563"/>
        <w:gridCol w:w="282"/>
        <w:gridCol w:w="5948"/>
      </w:tblGrid>
      <w:tr w:rsidR="004B7297" w14:paraId="718D3103" w14:textId="77777777">
        <w:tc>
          <w:tcPr>
            <w:tcW w:w="1276" w:type="dxa"/>
            <w:gridSpan w:val="2"/>
            <w:shd w:val="clear" w:color="auto" w:fill="auto"/>
          </w:tcPr>
          <w:p w14:paraId="0E5042DC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на тему</w:t>
            </w:r>
          </w:p>
        </w:tc>
        <w:tc>
          <w:tcPr>
            <w:tcW w:w="284" w:type="dxa"/>
            <w:shd w:val="clear" w:color="auto" w:fill="auto"/>
          </w:tcPr>
          <w:p w14:paraId="382199B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7C129FE6" w14:textId="59011768" w:rsidR="004B7297" w:rsidRPr="00AD3D62" w:rsidRDefault="00AD3D62" w:rsidP="00D7648B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iCs/>
                <w:sz w:val="28"/>
                <w:szCs w:val="28"/>
              </w:rPr>
            </w:pPr>
            <w:r w:rsidRPr="00AD3D62">
              <w:rPr>
                <w:rFonts w:ascii="Times New Roman" w:eastAsia="Calibri" w:hAnsi="Times New Roman" w:cs="Times New Roman"/>
                <w:bCs/>
                <w:iCs/>
                <w:sz w:val="28"/>
                <w:szCs w:val="28"/>
              </w:rPr>
              <w:t>Обработка информации в информационных системах</w:t>
            </w:r>
          </w:p>
        </w:tc>
      </w:tr>
      <w:tr w:rsidR="004B7297" w14:paraId="246AB135" w14:textId="77777777">
        <w:tc>
          <w:tcPr>
            <w:tcW w:w="3115" w:type="dxa"/>
            <w:gridSpan w:val="6"/>
            <w:shd w:val="clear" w:color="auto" w:fill="auto"/>
          </w:tcPr>
          <w:p w14:paraId="509E4709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6318035A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2B4580CB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темы)</w:t>
            </w:r>
          </w:p>
        </w:tc>
      </w:tr>
      <w:tr w:rsidR="004B7297" w14:paraId="53DA23CB" w14:textId="77777777">
        <w:tc>
          <w:tcPr>
            <w:tcW w:w="1134" w:type="dxa"/>
            <w:tcBorders>
              <w:bottom w:val="single" w:sz="4" w:space="0" w:color="000000"/>
            </w:tcBorders>
            <w:shd w:val="clear" w:color="auto" w:fill="auto"/>
          </w:tcPr>
          <w:p w14:paraId="2C1D0058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426" w:type="dxa"/>
            <w:gridSpan w:val="2"/>
            <w:tcBorders>
              <w:bottom w:val="single" w:sz="4" w:space="0" w:color="000000"/>
            </w:tcBorders>
            <w:shd w:val="clear" w:color="auto" w:fill="auto"/>
          </w:tcPr>
          <w:p w14:paraId="6FA2EB62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7785" w:type="dxa"/>
            <w:gridSpan w:val="5"/>
            <w:tcBorders>
              <w:bottom w:val="single" w:sz="4" w:space="0" w:color="000000"/>
            </w:tcBorders>
            <w:shd w:val="clear" w:color="auto" w:fill="auto"/>
          </w:tcPr>
          <w:p w14:paraId="582D1060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FF0000"/>
                <w:sz w:val="18"/>
                <w:szCs w:val="18"/>
              </w:rPr>
            </w:pPr>
          </w:p>
        </w:tc>
      </w:tr>
      <w:tr w:rsidR="004B7297" w14:paraId="0DC975E5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2268" w:type="dxa"/>
            <w:gridSpan w:val="4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729BF251" w14:textId="77777777" w:rsidR="004B7297" w:rsidRDefault="004B7297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  <w:p w14:paraId="63AC09E1" w14:textId="77777777" w:rsidR="004B7297" w:rsidRDefault="00853FCB">
            <w:pPr>
              <w:spacing w:after="0" w:line="240" w:lineRule="auto"/>
              <w:ind w:right="-113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по дисциплине</w:t>
            </w:r>
          </w:p>
        </w:tc>
        <w:tc>
          <w:tcPr>
            <w:tcW w:w="284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A03F1B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6793" w:type="dxa"/>
            <w:gridSpan w:val="3"/>
            <w:tcBorders>
              <w:top w:val="single" w:sz="4" w:space="0" w:color="000000"/>
              <w:left w:val="none" w:sz="4" w:space="0" w:color="000000"/>
              <w:bottom w:val="single" w:sz="4" w:space="0" w:color="000000"/>
              <w:right w:val="none" w:sz="4" w:space="0" w:color="000000"/>
            </w:tcBorders>
            <w:shd w:val="clear" w:color="auto" w:fill="auto"/>
          </w:tcPr>
          <w:p w14:paraId="4441077F" w14:textId="26F75304" w:rsidR="004B7297" w:rsidRPr="00AD3D62" w:rsidRDefault="00AD3D62" w:rsidP="0019257C">
            <w:pPr>
              <w:spacing w:after="0" w:line="240" w:lineRule="auto"/>
              <w:ind w:right="1894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D3D62">
              <w:rPr>
                <w:rFonts w:ascii="Times New Roman" w:hAnsi="Times New Roman" w:cs="Times New Roman"/>
                <w:bCs/>
                <w:sz w:val="28"/>
                <w:szCs w:val="28"/>
              </w:rPr>
              <w:t>Инструментальные средства информационных систем</w:t>
            </w:r>
          </w:p>
        </w:tc>
      </w:tr>
      <w:tr w:rsidR="004B7297" w14:paraId="0DA2F9B7" w14:textId="77777777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3115" w:type="dxa"/>
            <w:gridSpan w:val="6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4BC951B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2" w:type="dxa"/>
            <w:tcBorders>
              <w:top w:val="non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51B0E827" w14:textId="77777777" w:rsidR="004B7297" w:rsidRDefault="004B7297">
            <w:pPr>
              <w:spacing w:after="0" w:line="240" w:lineRule="auto"/>
              <w:ind w:right="-1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  <w:left w:val="none" w:sz="4" w:space="0" w:color="000000"/>
              <w:bottom w:val="none" w:sz="4" w:space="0" w:color="000000"/>
              <w:right w:val="none" w:sz="4" w:space="0" w:color="000000"/>
            </w:tcBorders>
            <w:shd w:val="clear" w:color="auto" w:fill="auto"/>
          </w:tcPr>
          <w:p w14:paraId="0AC6F49E" w14:textId="77777777" w:rsidR="004B7297" w:rsidRDefault="00853FCB">
            <w:pPr>
              <w:spacing w:after="0" w:line="240" w:lineRule="auto"/>
              <w:ind w:right="-1"/>
              <w:rPr>
                <w:rFonts w:ascii="TimesNewRomanPSMT" w:hAnsi="TimesNewRomanPSMT"/>
                <w:color w:val="000000"/>
                <w:sz w:val="18"/>
                <w:szCs w:val="18"/>
              </w:rPr>
            </w:pPr>
            <w:r>
              <w:rPr>
                <w:rFonts w:ascii="TimesNewRomanPS-BoldMT" w:hAnsi="TimesNewRomanPS-BoldMT"/>
                <w:color w:val="000000"/>
                <w:sz w:val="18"/>
                <w:szCs w:val="18"/>
              </w:rPr>
              <w:t>(</w:t>
            </w:r>
            <w:r>
              <w:rPr>
                <w:rFonts w:ascii="TimesNewRomanPSMT" w:hAnsi="TimesNewRomanPSMT"/>
                <w:color w:val="000000"/>
                <w:sz w:val="18"/>
                <w:szCs w:val="18"/>
              </w:rPr>
              <w:t>наименование дисциплины)</w:t>
            </w:r>
          </w:p>
        </w:tc>
      </w:tr>
    </w:tbl>
    <w:p w14:paraId="40528A51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39911F0A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061"/>
        <w:gridCol w:w="236"/>
        <w:gridCol w:w="4786"/>
        <w:gridCol w:w="283"/>
        <w:gridCol w:w="1985"/>
      </w:tblGrid>
      <w:tr w:rsidR="004B7297" w14:paraId="317C156D" w14:textId="77777777">
        <w:tc>
          <w:tcPr>
            <w:tcW w:w="2061" w:type="dxa"/>
            <w:shd w:val="clear" w:color="auto" w:fill="auto"/>
          </w:tcPr>
          <w:p w14:paraId="0F60A5C4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bookmarkStart w:id="0" w:name="_Hlk81468603"/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Обучающийся</w:t>
            </w:r>
          </w:p>
        </w:tc>
        <w:tc>
          <w:tcPr>
            <w:tcW w:w="236" w:type="dxa"/>
            <w:shd w:val="clear" w:color="auto" w:fill="auto"/>
          </w:tcPr>
          <w:p w14:paraId="09C40F9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41970752" w14:textId="27279E69" w:rsidR="004B7297" w:rsidRDefault="003963AB">
            <w:pPr>
              <w:spacing w:after="0" w:line="240" w:lineRule="auto"/>
              <w:rPr>
                <w:rFonts w:ascii="TimesNewRomanPS-BoldMT" w:hAnsi="TimesNewRomanPS-BoldMT"/>
                <w:iCs/>
                <w:sz w:val="28"/>
                <w:szCs w:val="28"/>
              </w:rPr>
            </w:pPr>
            <w:r>
              <w:rPr>
                <w:rFonts w:ascii="TimesNewRomanPS-BoldMT" w:hAnsi="TimesNewRomanPS-BoldMT"/>
                <w:iCs/>
                <w:sz w:val="28"/>
                <w:szCs w:val="28"/>
              </w:rPr>
              <w:t xml:space="preserve">    Карпухин Денис Дмитриевич </w:t>
            </w:r>
          </w:p>
        </w:tc>
        <w:tc>
          <w:tcPr>
            <w:tcW w:w="283" w:type="dxa"/>
            <w:shd w:val="clear" w:color="auto" w:fill="auto"/>
          </w:tcPr>
          <w:p w14:paraId="5A00AB1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66B10E3D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0C906A02" w14:textId="77777777" w:rsidTr="0019257C">
        <w:trPr>
          <w:trHeight w:val="435"/>
        </w:trPr>
        <w:tc>
          <w:tcPr>
            <w:tcW w:w="2061" w:type="dxa"/>
            <w:shd w:val="clear" w:color="auto" w:fill="auto"/>
          </w:tcPr>
          <w:p w14:paraId="004EB338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63E1C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7E3937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709CAD18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45A9578C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  <w:bookmarkEnd w:id="0"/>
          </w:p>
        </w:tc>
      </w:tr>
      <w:tr w:rsidR="004B7297" w14:paraId="7168F4D4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1B3F8188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Группа</w:t>
            </w:r>
          </w:p>
        </w:tc>
        <w:tc>
          <w:tcPr>
            <w:tcW w:w="236" w:type="dxa"/>
            <w:shd w:val="clear" w:color="auto" w:fill="auto"/>
          </w:tcPr>
          <w:p w14:paraId="6E58F7B9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bottom w:val="single" w:sz="4" w:space="0" w:color="000000"/>
            </w:tcBorders>
            <w:shd w:val="clear" w:color="auto" w:fill="auto"/>
          </w:tcPr>
          <w:p w14:paraId="662472AF" w14:textId="6F3D291B" w:rsidR="004B7297" w:rsidRPr="0019257C" w:rsidRDefault="00781250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r w:rsidRPr="0019257C">
              <w:rPr>
                <w:rFonts w:ascii="Times New Roman" w:hAnsi="Times New Roman" w:cs="Times New Roman"/>
                <w:sz w:val="28"/>
                <w:szCs w:val="28"/>
              </w:rPr>
              <w:t>СлБИв-211рсоб</w:t>
            </w:r>
          </w:p>
        </w:tc>
        <w:tc>
          <w:tcPr>
            <w:tcW w:w="283" w:type="dxa"/>
            <w:shd w:val="clear" w:color="auto" w:fill="auto"/>
          </w:tcPr>
          <w:p w14:paraId="1F5094C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  <w:tr w:rsidR="004B7297" w14:paraId="453DE811" w14:textId="77777777">
        <w:trPr>
          <w:gridAfter w:val="1"/>
          <w:wAfter w:w="1985" w:type="dxa"/>
        </w:trPr>
        <w:tc>
          <w:tcPr>
            <w:tcW w:w="2061" w:type="dxa"/>
            <w:shd w:val="clear" w:color="auto" w:fill="auto"/>
          </w:tcPr>
          <w:p w14:paraId="628554FC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301A3E03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786" w:type="dxa"/>
            <w:tcBorders>
              <w:top w:val="single" w:sz="4" w:space="0" w:color="000000"/>
            </w:tcBorders>
            <w:shd w:val="clear" w:color="auto" w:fill="auto"/>
          </w:tcPr>
          <w:p w14:paraId="79C9B33B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49EDDCD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</w:tr>
    </w:tbl>
    <w:p w14:paraId="72FCA459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p w14:paraId="6139D1CE" w14:textId="77777777" w:rsidR="004B7297" w:rsidRDefault="004B7297">
      <w:pPr>
        <w:ind w:right="-1"/>
        <w:jc w:val="center"/>
        <w:rPr>
          <w:rFonts w:ascii="TimesNewRomanPSMT" w:hAnsi="TimesNewRomanPSMT"/>
          <w:color w:val="000000"/>
          <w:sz w:val="18"/>
          <w:szCs w:val="18"/>
        </w:rPr>
      </w:pPr>
    </w:p>
    <w:tbl>
      <w:tblPr>
        <w:tblW w:w="9351" w:type="dxa"/>
        <w:tblLayout w:type="fixed"/>
        <w:tblLook w:val="04A0" w:firstRow="1" w:lastRow="0" w:firstColumn="1" w:lastColumn="0" w:noHBand="0" w:noVBand="1"/>
      </w:tblPr>
      <w:tblGrid>
        <w:gridCol w:w="2268"/>
        <w:gridCol w:w="284"/>
        <w:gridCol w:w="4532"/>
        <w:gridCol w:w="283"/>
        <w:gridCol w:w="1984"/>
      </w:tblGrid>
      <w:tr w:rsidR="004B7297" w14:paraId="1C4ECBFF" w14:textId="77777777">
        <w:tc>
          <w:tcPr>
            <w:tcW w:w="2268" w:type="dxa"/>
            <w:shd w:val="clear" w:color="auto" w:fill="auto"/>
          </w:tcPr>
          <w:p w14:paraId="0232C633" w14:textId="77777777" w:rsidR="004B7297" w:rsidRDefault="00853FCB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EA3764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645BDF41" w14:textId="37E313C5" w:rsidR="004B7297" w:rsidRPr="00AD3D62" w:rsidRDefault="00AD3D62" w:rsidP="00AD3D6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>Сибирев</w:t>
            </w:r>
            <w:proofErr w:type="spellEnd"/>
            <w:r w:rsidRPr="00AD3D62">
              <w:rPr>
                <w:rFonts w:ascii="Times New Roman" w:hAnsi="Times New Roman" w:cs="Times New Roman"/>
                <w:bCs/>
                <w:color w:val="292929"/>
                <w:sz w:val="28"/>
                <w:szCs w:val="28"/>
                <w:shd w:val="clear" w:color="auto" w:fill="FFFFFF"/>
              </w:rPr>
              <w:t xml:space="preserve"> И.В.</w:t>
            </w:r>
          </w:p>
        </w:tc>
        <w:tc>
          <w:tcPr>
            <w:tcW w:w="283" w:type="dxa"/>
            <w:shd w:val="clear" w:color="auto" w:fill="auto"/>
          </w:tcPr>
          <w:p w14:paraId="3390AEFC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5095C260" w14:textId="77777777" w:rsidR="004B7297" w:rsidRDefault="004B7297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</w:p>
        </w:tc>
      </w:tr>
      <w:tr w:rsidR="004B7297" w14:paraId="300FBBFC" w14:textId="77777777">
        <w:tc>
          <w:tcPr>
            <w:tcW w:w="2268" w:type="dxa"/>
            <w:shd w:val="clear" w:color="auto" w:fill="auto"/>
          </w:tcPr>
          <w:p w14:paraId="15F4B76D" w14:textId="77777777" w:rsidR="004B7297" w:rsidRDefault="004B7297">
            <w:pPr>
              <w:spacing w:after="0" w:line="240" w:lineRule="auto"/>
              <w:rPr>
                <w:rFonts w:ascii="TimesNewRomanPS-BoldMT" w:hAnsi="TimesNewRomanPS-BoldMT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682D9681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37F3BEC3" w14:textId="77777777" w:rsidR="004B7297" w:rsidRDefault="00853FCB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  <w:r>
              <w:rPr>
                <w:rFonts w:ascii="TimesNewRomanPS-BoldMT" w:hAnsi="TimesNewRomanPS-BoldMT"/>
                <w:color w:val="000000"/>
                <w:sz w:val="16"/>
                <w:szCs w:val="16"/>
              </w:rPr>
              <w:t>(</w:t>
            </w: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 xml:space="preserve">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1CEA07E6" w14:textId="77777777" w:rsidR="004B7297" w:rsidRDefault="004B7297">
            <w:pPr>
              <w:spacing w:after="0" w:line="240" w:lineRule="auto"/>
              <w:jc w:val="center"/>
              <w:rPr>
                <w:rFonts w:ascii="TimesNewRomanPS-BoldMT" w:hAnsi="TimesNewRomanPS-BoldMT"/>
                <w:color w:val="000000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93DB9DA" w14:textId="77777777" w:rsidR="004B7297" w:rsidRDefault="00853FCB">
            <w:pPr>
              <w:spacing w:after="0" w:line="240" w:lineRule="auto"/>
              <w:jc w:val="center"/>
              <w:rPr>
                <w:rFonts w:ascii="TimesNewRomanPSMT" w:hAnsi="TimesNewRomanPSMT"/>
                <w:color w:val="000000"/>
                <w:sz w:val="24"/>
                <w:szCs w:val="24"/>
              </w:rPr>
            </w:pPr>
            <w:r>
              <w:rPr>
                <w:rFonts w:ascii="TimesNewRomanPSMT" w:hAnsi="TimesNewRomanPSMT"/>
                <w:color w:val="000000"/>
                <w:sz w:val="16"/>
                <w:szCs w:val="16"/>
              </w:rPr>
              <w:t>(подпись)</w:t>
            </w:r>
          </w:p>
        </w:tc>
      </w:tr>
    </w:tbl>
    <w:p w14:paraId="66AB7994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5B640419" w14:textId="77777777" w:rsidR="004B7297" w:rsidRDefault="004B7297">
      <w:pPr>
        <w:ind w:right="-1"/>
        <w:rPr>
          <w:rFonts w:ascii="TimesNewRomanPSMT" w:hAnsi="TimesNewRomanPSMT"/>
          <w:color w:val="000000"/>
          <w:sz w:val="18"/>
          <w:szCs w:val="18"/>
        </w:rPr>
      </w:pPr>
    </w:p>
    <w:p w14:paraId="26FE0B0D" w14:textId="7D315ED9" w:rsidR="004B7297" w:rsidRDefault="00853FCB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  <w:r>
        <w:rPr>
          <w:rFonts w:ascii="TimesNewRomanPSMT" w:hAnsi="TimesNewRomanPSMT"/>
          <w:color w:val="000000"/>
          <w:sz w:val="16"/>
          <w:szCs w:val="16"/>
        </w:rPr>
        <w:br/>
      </w:r>
      <w:r w:rsidR="003963AB">
        <w:rPr>
          <w:rFonts w:ascii="TimesNewRomanPS-BoldMT" w:hAnsi="TimesNewRomanPS-BoldMT"/>
          <w:b/>
          <w:bCs/>
          <w:color w:val="000000"/>
          <w:sz w:val="28"/>
          <w:szCs w:val="28"/>
        </w:rPr>
        <w:t>Москва 2025</w:t>
      </w:r>
    </w:p>
    <w:p w14:paraId="6A109D52" w14:textId="1A70419C" w:rsidR="003963AB" w:rsidRDefault="003963AB" w:rsidP="003963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0F8DB2ED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План разработки архитектуры предприятия (</w:t>
      </w:r>
      <w:proofErr w:type="spellStart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Project</w:t>
      </w:r>
      <w:proofErr w:type="spellEnd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Plan</w:t>
      </w:r>
      <w:proofErr w:type="spellEnd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)</w:t>
      </w:r>
      <w:bookmarkStart w:id="1" w:name="_GoBack"/>
      <w:bookmarkEnd w:id="1"/>
    </w:p>
    <w:p w14:paraId="4A15F6B4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Не менее трёх рисков проекта:</w:t>
      </w:r>
    </w:p>
    <w:p w14:paraId="47A6319B" w14:textId="77777777" w:rsidR="003963AB" w:rsidRPr="003963AB" w:rsidRDefault="003963AB" w:rsidP="00411FB0">
      <w:pPr>
        <w:numPr>
          <w:ilvl w:val="0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Риск: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Недостаток квалифицированных специалистов</w:t>
      </w:r>
    </w:p>
    <w:p w14:paraId="4DC9D575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Описание риска: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</w:t>
      </w:r>
      <w:proofErr w:type="gramStart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</w:t>
      </w:r>
      <w:proofErr w:type="gramEnd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процессе разработки архитектуры предприятия существует вероятность нехватки опытных специалистов, обладающих необходимыми навыками для успешного завершения проекта.</w:t>
      </w:r>
    </w:p>
    <w:p w14:paraId="530ED4A7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Воздействие (IMPACT):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Данный риск может привести к задержкам в сроках выполнения проекта и снижению качества конечного продукта.</w:t>
      </w:r>
    </w:p>
    <w:p w14:paraId="7B00DAC3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Критичность (SEVERITY):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Высокая степень критичности, поскольку недостаток специалистов может существенно повлиять на успешность проекта.</w:t>
      </w:r>
    </w:p>
    <w:p w14:paraId="6AD571B5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Вероятность (PROBABILITY):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Средняя вероятность, так как рынок труда может предложить достаточное количество профессионалов, однако возможны сложности с привлечением нужных экспертов.</w:t>
      </w:r>
    </w:p>
    <w:p w14:paraId="19782B29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Предпосылки предварительного обнаружения (LIKELIHOOD OF PRIOR DETECTION):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Признаки недостатка специалистов могут проявляться в виде задержки начала проекта или увеличения сроков поиска персонала.</w:t>
      </w:r>
    </w:p>
    <w:p w14:paraId="321C87DB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Смягчение подхода (MITIGATION APPROACH):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Проведение предварительных тренингов и семинаров для повышения квалификации текущих сотрудников; привлечение внешних консультантов.</w:t>
      </w:r>
    </w:p>
    <w:p w14:paraId="0B94ACBC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Предлагаемые решения (PROPOSED SOLUTIONS):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Активное участие в подборе кандидатов, начиная с ранних этапов проекта; расширение круга поиска за счёт сотрудничества с университетами и профессиональными сообществами.</w:t>
      </w:r>
    </w:p>
    <w:p w14:paraId="61B36968" w14:textId="77777777" w:rsidR="003963AB" w:rsidRPr="003963AB" w:rsidRDefault="003963AB" w:rsidP="00411FB0">
      <w:pPr>
        <w:numPr>
          <w:ilvl w:val="0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Риск: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Изменение требований заказчика</w:t>
      </w:r>
    </w:p>
    <w:p w14:paraId="3ADFB511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Описание риска: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Заказчик может изменить свои требования к архитектуре предприятия уже в процессе разработки, что потребует внесения значительных изменений в проект.</w:t>
      </w:r>
    </w:p>
    <w:p w14:paraId="33321170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Воздействие (IMPACT):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Может привести к увеличению бюджета и времени на реализацию проекта.</w:t>
      </w:r>
    </w:p>
    <w:p w14:paraId="22D3BB5F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Критичность (SEVERITY):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Очень высокая, так как изменение требований может значительно усложнить выполнение проекта.</w:t>
      </w:r>
    </w:p>
    <w:p w14:paraId="2FC80281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Вероятность (PROBABILITY):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Низкая, если заказчик чётко понимает свои потребности и фиксирует их в начале проекта.</w:t>
      </w:r>
    </w:p>
    <w:p w14:paraId="2714E449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Предпосылки предварительного обнаружения (LIKELIHOOD OF PRIOR DETECTION):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Частые запросы на внесение изменений в требования со стороны заказчика.</w:t>
      </w:r>
    </w:p>
    <w:p w14:paraId="67867AB1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Смягчение подхода (MITIGATION APPROACH):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Регулярные встречи с заказчиком для уточнения и утверждения требований; гибкость в подходе к изменениям.</w:t>
      </w:r>
    </w:p>
    <w:p w14:paraId="2D1DBEA8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Предлагаемые решения (PROPOSED SOLUTIONS):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Создание четкого плана управления требованиями и вовлечение ключевых </w:t>
      </w:r>
      <w:proofErr w:type="spellStart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стейкхолдеров</w:t>
      </w:r>
      <w:proofErr w:type="spellEnd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в процесс согласования.</w:t>
      </w:r>
    </w:p>
    <w:p w14:paraId="6927EB26" w14:textId="77777777" w:rsidR="003963AB" w:rsidRPr="003963AB" w:rsidRDefault="003963AB" w:rsidP="00411FB0">
      <w:pPr>
        <w:numPr>
          <w:ilvl w:val="0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Риск: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Несоответствие выбранной технологии текущим стандартам</w:t>
      </w:r>
    </w:p>
    <w:p w14:paraId="3B7512E1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Описание риска: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Использование устаревшей или неподходящей технологии может затруднить интеграцию с существующими системами и негативно сказаться на общей эффективности проекта.</w:t>
      </w:r>
    </w:p>
    <w:p w14:paraId="1562282B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Воздействие (IMPACT):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Увеличение временных и финансовых затрат на доработку или замену используемых технологий.</w:t>
      </w:r>
    </w:p>
    <w:p w14:paraId="71ABB8B5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Критичность (SEVERITY):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Средняя, так как замена технологий возможна, но это потребует дополнительных ресурсов.</w:t>
      </w:r>
    </w:p>
    <w:p w14:paraId="63D9F5B5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Вероятность (PROBABILITY):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Умеренная, так как выбор технологии зависит от компетентности проектной команды.</w:t>
      </w:r>
    </w:p>
    <w:p w14:paraId="3BB407A2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Предпосылки предварительного обнаружения (LIKELIHOOD OF PRIOR DETECTION):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Раннее выявление проблем совместимости технологий с текущими стандартами.</w:t>
      </w:r>
    </w:p>
    <w:p w14:paraId="04959464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Смягчение подхода (MITIGATION APPROACH):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Предварительное исследование и тестирование выбранных технологий.</w:t>
      </w:r>
    </w:p>
    <w:p w14:paraId="796A7F31" w14:textId="77777777" w:rsidR="003963AB" w:rsidRPr="003963AB" w:rsidRDefault="003963AB" w:rsidP="00411FB0">
      <w:pPr>
        <w:numPr>
          <w:ilvl w:val="1"/>
          <w:numId w:val="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Предлагаемые решения (PROPOSED SOLUTIONS):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Выбор проверенных и актуальных технологий, соответствующих современным стандартам.</w:t>
      </w:r>
    </w:p>
    <w:p w14:paraId="059E63DB" w14:textId="5C0EBC60" w:rsidR="003963AB" w:rsidRPr="003963AB" w:rsidRDefault="003963AB" w:rsidP="003963AB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28696F26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Состояние разработки проекта (ACTUAL PROGRESS)</w:t>
      </w:r>
    </w:p>
    <w:p w14:paraId="6FD9CD2F" w14:textId="77777777" w:rsidR="003963AB" w:rsidRPr="003963AB" w:rsidRDefault="003963AB" w:rsidP="00411FB0">
      <w:pPr>
        <w:numPr>
          <w:ilvl w:val="0"/>
          <w:numId w:val="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Выполненные задачи (TASKS DONE):</w:t>
      </w:r>
    </w:p>
    <w:p w14:paraId="11A16FC0" w14:textId="77777777" w:rsidR="003963AB" w:rsidRPr="003963AB" w:rsidRDefault="003963AB" w:rsidP="00411FB0">
      <w:pPr>
        <w:numPr>
          <w:ilvl w:val="1"/>
          <w:numId w:val="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Определение требований к архитектуре предприятия.</w:t>
      </w:r>
    </w:p>
    <w:p w14:paraId="7948CCF9" w14:textId="77777777" w:rsidR="003963AB" w:rsidRPr="003963AB" w:rsidRDefault="003963AB" w:rsidP="00411FB0">
      <w:pPr>
        <w:numPr>
          <w:ilvl w:val="1"/>
          <w:numId w:val="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Разработка концептуальной модели архитектуры.</w:t>
      </w:r>
    </w:p>
    <w:p w14:paraId="78EC5D72" w14:textId="77777777" w:rsidR="003963AB" w:rsidRPr="003963AB" w:rsidRDefault="003963AB" w:rsidP="00411FB0">
      <w:pPr>
        <w:numPr>
          <w:ilvl w:val="1"/>
          <w:numId w:val="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Первоначальное согласование с ключевыми </w:t>
      </w:r>
      <w:proofErr w:type="spellStart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стейкхолдерами</w:t>
      </w:r>
      <w:proofErr w:type="spellEnd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.</w:t>
      </w:r>
    </w:p>
    <w:p w14:paraId="1EC9DB52" w14:textId="77777777" w:rsidR="003963AB" w:rsidRPr="003963AB" w:rsidRDefault="003963AB" w:rsidP="00411FB0">
      <w:pPr>
        <w:numPr>
          <w:ilvl w:val="0"/>
          <w:numId w:val="3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Отменённые задачи (TASKS CANCELED):</w:t>
      </w:r>
    </w:p>
    <w:p w14:paraId="40EFAAD6" w14:textId="77777777" w:rsidR="003963AB" w:rsidRPr="003963AB" w:rsidRDefault="003963AB" w:rsidP="00411FB0">
      <w:pPr>
        <w:numPr>
          <w:ilvl w:val="1"/>
          <w:numId w:val="3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Дополнительное исследование альтернативных технологий (не понадобилось).</w:t>
      </w:r>
    </w:p>
    <w:p w14:paraId="4579A99C" w14:textId="77777777" w:rsidR="003963AB" w:rsidRPr="003963AB" w:rsidRDefault="003963AB" w:rsidP="00411FB0">
      <w:pPr>
        <w:numPr>
          <w:ilvl w:val="0"/>
          <w:numId w:val="4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Отложенные задачи (TASKS DELAYED):</w:t>
      </w:r>
    </w:p>
    <w:p w14:paraId="676CA5A7" w14:textId="77777777" w:rsidR="003963AB" w:rsidRPr="003963AB" w:rsidRDefault="003963AB" w:rsidP="00411FB0">
      <w:pPr>
        <w:numPr>
          <w:ilvl w:val="1"/>
          <w:numId w:val="4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Оптимизация процессов взаимодействия с поставщиками (задержаны из-за внутренних приоритетов).</w:t>
      </w:r>
    </w:p>
    <w:p w14:paraId="4E1BEBA8" w14:textId="77777777" w:rsidR="003963AB" w:rsidRPr="003963AB" w:rsidRDefault="003963AB" w:rsidP="00411FB0">
      <w:pPr>
        <w:numPr>
          <w:ilvl w:val="0"/>
          <w:numId w:val="5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Задачи «на хранении» (TASKS ON HOLD):</w:t>
      </w:r>
    </w:p>
    <w:p w14:paraId="202C6CC4" w14:textId="77777777" w:rsidR="003963AB" w:rsidRPr="003963AB" w:rsidRDefault="003963AB" w:rsidP="00411FB0">
      <w:pPr>
        <w:numPr>
          <w:ilvl w:val="1"/>
          <w:numId w:val="5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Завершение детализирования модели бизнес-процессов (ожидают возобновления после решения вопросов с приоритетами).</w:t>
      </w:r>
    </w:p>
    <w:p w14:paraId="635561C9" w14:textId="77777777" w:rsidR="003963AB" w:rsidRPr="003963AB" w:rsidRDefault="003963AB" w:rsidP="00411FB0">
      <w:pPr>
        <w:numPr>
          <w:ilvl w:val="0"/>
          <w:numId w:val="6"/>
        </w:numPr>
        <w:rPr>
          <w:rFonts w:ascii="Times New Roman" w:eastAsia="Calibri" w:hAnsi="Times New Roman" w:cs="Times New Roman"/>
          <w:kern w:val="2"/>
          <w:sz w:val="28"/>
          <w:szCs w:val="28"/>
          <w:lang w:val="en-US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Выполняемые</w:t>
      </w: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 </w:t>
      </w: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задачи</w:t>
      </w: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val="en-US"/>
          <w14:ligatures w14:val="standardContextual"/>
        </w:rPr>
        <w:t xml:space="preserve"> (TASKS IN PROGRESS):</w:t>
      </w:r>
    </w:p>
    <w:p w14:paraId="5D9539E7" w14:textId="77777777" w:rsidR="003963AB" w:rsidRPr="003963AB" w:rsidRDefault="003963AB" w:rsidP="00411FB0">
      <w:pPr>
        <w:numPr>
          <w:ilvl w:val="1"/>
          <w:numId w:val="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Разработка логической модели архитектуры предприятия.</w:t>
      </w:r>
    </w:p>
    <w:p w14:paraId="40DB439C" w14:textId="77777777" w:rsidR="003963AB" w:rsidRPr="003963AB" w:rsidRDefault="003963AB" w:rsidP="00411FB0">
      <w:pPr>
        <w:numPr>
          <w:ilvl w:val="1"/>
          <w:numId w:val="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Проектирование технической инфраструктуры.</w:t>
      </w:r>
    </w:p>
    <w:p w14:paraId="36BD98B4" w14:textId="77777777" w:rsidR="003963AB" w:rsidRPr="003963AB" w:rsidRDefault="003963AB" w:rsidP="00411FB0">
      <w:pPr>
        <w:numPr>
          <w:ilvl w:val="1"/>
          <w:numId w:val="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Взаимодействие с командой разработчиков для определения требований к кодированию.</w:t>
      </w:r>
    </w:p>
    <w:p w14:paraId="229813D9" w14:textId="117B3384" w:rsidR="003963AB" w:rsidRPr="003963AB" w:rsidRDefault="003963AB" w:rsidP="003963AB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F3E393C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Информация для проекта (INFORMATION)</w:t>
      </w:r>
    </w:p>
    <w:p w14:paraId="51267EA0" w14:textId="77777777" w:rsidR="003963AB" w:rsidRPr="003963AB" w:rsidRDefault="003963AB" w:rsidP="00411FB0">
      <w:pPr>
        <w:numPr>
          <w:ilvl w:val="0"/>
          <w:numId w:val="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Контактные данные команды: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Подробные контактные данные участников проекта.</w:t>
      </w:r>
    </w:p>
    <w:p w14:paraId="4CD49312" w14:textId="77777777" w:rsidR="003963AB" w:rsidRPr="003963AB" w:rsidRDefault="003963AB" w:rsidP="00411FB0">
      <w:pPr>
        <w:numPr>
          <w:ilvl w:val="0"/>
          <w:numId w:val="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Ключевые заинтересованные стороны: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Список всех заинтересованных сторон проекта.</w:t>
      </w:r>
    </w:p>
    <w:p w14:paraId="121AF64E" w14:textId="77777777" w:rsidR="003963AB" w:rsidRPr="003963AB" w:rsidRDefault="003963AB" w:rsidP="00411FB0">
      <w:pPr>
        <w:numPr>
          <w:ilvl w:val="0"/>
          <w:numId w:val="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Технические стандарты: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Указание стандартов, применяемых в проекте.</w:t>
      </w:r>
    </w:p>
    <w:p w14:paraId="2F67BCDE" w14:textId="77777777" w:rsidR="003963AB" w:rsidRPr="003963AB" w:rsidRDefault="003963AB" w:rsidP="00411FB0">
      <w:pPr>
        <w:numPr>
          <w:ilvl w:val="0"/>
          <w:numId w:val="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Метрики успеха: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Методы оценки успешности проекта.</w:t>
      </w:r>
    </w:p>
    <w:p w14:paraId="39C562C5" w14:textId="77777777" w:rsidR="003963AB" w:rsidRPr="003963AB" w:rsidRDefault="003963AB" w:rsidP="00411FB0">
      <w:pPr>
        <w:numPr>
          <w:ilvl w:val="0"/>
          <w:numId w:val="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Дополнительные ресурсы: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Необходимые дополнительные ресурсы для завершения проекта.</w:t>
      </w:r>
    </w:p>
    <w:p w14:paraId="646AFC67" w14:textId="1A2D17B4" w:rsidR="003963AB" w:rsidRPr="003963AB" w:rsidRDefault="003963AB" w:rsidP="003963AB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7761D747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Цели проекта (GOALS)</w:t>
      </w:r>
    </w:p>
    <w:p w14:paraId="7F8CB327" w14:textId="77777777" w:rsidR="003963AB" w:rsidRPr="003963AB" w:rsidRDefault="003963AB" w:rsidP="00411FB0">
      <w:pPr>
        <w:numPr>
          <w:ilvl w:val="0"/>
          <w:numId w:val="8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lastRenderedPageBreak/>
        <w:t>Разработка целостной архитектуры предприятия, соответствующей стратегическим целям компании.</w:t>
      </w:r>
    </w:p>
    <w:p w14:paraId="53C1E2D1" w14:textId="77777777" w:rsidR="003963AB" w:rsidRPr="003963AB" w:rsidRDefault="003963AB" w:rsidP="00411FB0">
      <w:pPr>
        <w:numPr>
          <w:ilvl w:val="0"/>
          <w:numId w:val="8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Обеспечение высокой адаптивности и масштабируемости архитектуры.</w:t>
      </w:r>
    </w:p>
    <w:p w14:paraId="50274B4F" w14:textId="77777777" w:rsidR="003963AB" w:rsidRPr="003963AB" w:rsidRDefault="003963AB" w:rsidP="00411FB0">
      <w:pPr>
        <w:numPr>
          <w:ilvl w:val="0"/>
          <w:numId w:val="8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Минимизация рисков и обеспечение соответствия проекта бюджетным и временным ограничениям.</w:t>
      </w:r>
    </w:p>
    <w:p w14:paraId="0E80F84F" w14:textId="61BC68DA" w:rsidR="003963AB" w:rsidRPr="003963AB" w:rsidRDefault="003963AB" w:rsidP="003963AB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04C2A3AD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Требования к проекту (REQUIREMENTS)</w:t>
      </w:r>
    </w:p>
    <w:p w14:paraId="3A0DE76F" w14:textId="77777777" w:rsidR="003963AB" w:rsidRPr="003963AB" w:rsidRDefault="003963AB" w:rsidP="00411FB0">
      <w:pPr>
        <w:numPr>
          <w:ilvl w:val="0"/>
          <w:numId w:val="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Соответствие международным стандартам и лучшим практикам в области архитектуры предприятия.</w:t>
      </w:r>
    </w:p>
    <w:p w14:paraId="42746105" w14:textId="77777777" w:rsidR="003963AB" w:rsidRPr="003963AB" w:rsidRDefault="003963AB" w:rsidP="00411FB0">
      <w:pPr>
        <w:numPr>
          <w:ilvl w:val="0"/>
          <w:numId w:val="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Поддержка гибкости и адаптации к изменениям внешней среды.</w:t>
      </w:r>
    </w:p>
    <w:p w14:paraId="05BAD28A" w14:textId="77777777" w:rsidR="003963AB" w:rsidRPr="003963AB" w:rsidRDefault="003963AB" w:rsidP="00411FB0">
      <w:pPr>
        <w:numPr>
          <w:ilvl w:val="0"/>
          <w:numId w:val="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Обеспечение эффективной коммуникации между всеми участниками проекта.</w:t>
      </w:r>
    </w:p>
    <w:p w14:paraId="04385ECC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Календарный план разработки проекта (SCHEDULE)</w:t>
      </w:r>
    </w:p>
    <w:p w14:paraId="019971E2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Фаза 1: Анализ и планирование</w:t>
      </w:r>
    </w:p>
    <w:p w14:paraId="76B2A04C" w14:textId="77777777" w:rsidR="003963AB" w:rsidRPr="003963AB" w:rsidRDefault="003963AB" w:rsidP="00411FB0">
      <w:pPr>
        <w:numPr>
          <w:ilvl w:val="0"/>
          <w:numId w:val="1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Начало: 01.01.2023</w:t>
      </w:r>
    </w:p>
    <w:p w14:paraId="3DBC8277" w14:textId="77777777" w:rsidR="003963AB" w:rsidRPr="003963AB" w:rsidRDefault="003963AB" w:rsidP="00411FB0">
      <w:pPr>
        <w:numPr>
          <w:ilvl w:val="0"/>
          <w:numId w:val="11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Окончание: 31.03.2023</w:t>
      </w:r>
    </w:p>
    <w:p w14:paraId="03E5E22E" w14:textId="77777777" w:rsidR="003963AB" w:rsidRPr="003963AB" w:rsidRDefault="003963AB" w:rsidP="00411FB0">
      <w:pPr>
        <w:numPr>
          <w:ilvl w:val="0"/>
          <w:numId w:val="12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Задачи: Сбор требований, определение рамок проекта, создание плана управления проектом.</w:t>
      </w:r>
    </w:p>
    <w:p w14:paraId="2522B51C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Фаза 2: Проектирование архитектуры</w:t>
      </w:r>
    </w:p>
    <w:p w14:paraId="3F8AC811" w14:textId="77777777" w:rsidR="003963AB" w:rsidRPr="003963AB" w:rsidRDefault="003963AB" w:rsidP="00411FB0">
      <w:pPr>
        <w:numPr>
          <w:ilvl w:val="0"/>
          <w:numId w:val="13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Начало: 01.04.2023</w:t>
      </w:r>
    </w:p>
    <w:p w14:paraId="4A2A064C" w14:textId="77777777" w:rsidR="003963AB" w:rsidRPr="003963AB" w:rsidRDefault="003963AB" w:rsidP="00411FB0">
      <w:pPr>
        <w:numPr>
          <w:ilvl w:val="0"/>
          <w:numId w:val="14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Окончание: 30.06.2023</w:t>
      </w:r>
    </w:p>
    <w:p w14:paraId="49406E72" w14:textId="77777777" w:rsidR="003963AB" w:rsidRPr="003963AB" w:rsidRDefault="003963AB" w:rsidP="00411FB0">
      <w:pPr>
        <w:numPr>
          <w:ilvl w:val="0"/>
          <w:numId w:val="15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Задачи: Разработка концептуальной и логической моделей архитектуры, выбор технологий.</w:t>
      </w:r>
    </w:p>
    <w:p w14:paraId="47D9E747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Фаза 3: Реализация и тестирование</w:t>
      </w:r>
    </w:p>
    <w:p w14:paraId="0D8A5CCC" w14:textId="77777777" w:rsidR="003963AB" w:rsidRPr="003963AB" w:rsidRDefault="003963AB" w:rsidP="00411FB0">
      <w:pPr>
        <w:numPr>
          <w:ilvl w:val="0"/>
          <w:numId w:val="16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Начало: 01.07.2023</w:t>
      </w:r>
    </w:p>
    <w:p w14:paraId="1016B4F6" w14:textId="77777777" w:rsidR="003963AB" w:rsidRPr="003963AB" w:rsidRDefault="003963AB" w:rsidP="00411FB0">
      <w:pPr>
        <w:numPr>
          <w:ilvl w:val="0"/>
          <w:numId w:val="17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Окончание: 30.09.2023</w:t>
      </w:r>
    </w:p>
    <w:p w14:paraId="5228F358" w14:textId="77777777" w:rsidR="003963AB" w:rsidRPr="003963AB" w:rsidRDefault="003963AB" w:rsidP="00411FB0">
      <w:pPr>
        <w:numPr>
          <w:ilvl w:val="0"/>
          <w:numId w:val="18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Задачи: Кодирование, интеграция, тестирование и оптимизация архитектуры.</w:t>
      </w:r>
    </w:p>
    <w:p w14:paraId="5C67FCA7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Различные взгляды на проектирование архитектуры предприятия по технологии «Шесть шляп» (</w:t>
      </w:r>
      <w:proofErr w:type="spellStart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Six</w:t>
      </w:r>
      <w:proofErr w:type="spellEnd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Thinking</w:t>
      </w:r>
      <w:proofErr w:type="spellEnd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 xml:space="preserve"> </w:t>
      </w:r>
      <w:proofErr w:type="spellStart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Hats</w:t>
      </w:r>
      <w:proofErr w:type="spellEnd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)</w:t>
      </w:r>
    </w:p>
    <w:p w14:paraId="1C547FC4" w14:textId="77777777" w:rsidR="003963AB" w:rsidRPr="003963AB" w:rsidRDefault="003963AB" w:rsidP="00411FB0">
      <w:pPr>
        <w:numPr>
          <w:ilvl w:val="0"/>
          <w:numId w:val="1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lastRenderedPageBreak/>
        <w:t>Белая шляпа (факты и информация):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Фокус на сборе и анализе фактической информации о текущем состоянии предприятия и необходимых изменениях.</w:t>
      </w:r>
    </w:p>
    <w:p w14:paraId="70B647A9" w14:textId="77777777" w:rsidR="003963AB" w:rsidRPr="003963AB" w:rsidRDefault="003963AB" w:rsidP="00411FB0">
      <w:pPr>
        <w:numPr>
          <w:ilvl w:val="0"/>
          <w:numId w:val="1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Красная шляпа (чувства и интуиция):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Рассмотрение эмоциональных и интуитивных аспектов, влияющих на принятие решений.</w:t>
      </w:r>
    </w:p>
    <w:p w14:paraId="1BE806D9" w14:textId="77777777" w:rsidR="003963AB" w:rsidRPr="003963AB" w:rsidRDefault="003963AB" w:rsidP="00411FB0">
      <w:pPr>
        <w:numPr>
          <w:ilvl w:val="0"/>
          <w:numId w:val="1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Черная шляпа (осторожность и критика):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Оценка возможных негативных последствий и ограничений предлагаемых решений.</w:t>
      </w:r>
    </w:p>
    <w:p w14:paraId="2F5B6E67" w14:textId="77777777" w:rsidR="003963AB" w:rsidRPr="003963AB" w:rsidRDefault="003963AB" w:rsidP="00411FB0">
      <w:pPr>
        <w:numPr>
          <w:ilvl w:val="0"/>
          <w:numId w:val="1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Желтая шляпа (позитив и преимущества):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Идентификация преимуществ и положительных эффектов предлагаемой архитектуры.</w:t>
      </w:r>
    </w:p>
    <w:p w14:paraId="61A72867" w14:textId="77777777" w:rsidR="003963AB" w:rsidRPr="003963AB" w:rsidRDefault="003963AB" w:rsidP="00411FB0">
      <w:pPr>
        <w:numPr>
          <w:ilvl w:val="0"/>
          <w:numId w:val="1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Зеленая шляпа (креативность и новые идеи):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Генерация идей и предложений по улучшению архитектуры.</w:t>
      </w:r>
    </w:p>
    <w:p w14:paraId="64C5E017" w14:textId="77777777" w:rsidR="003963AB" w:rsidRPr="003963AB" w:rsidRDefault="003963AB" w:rsidP="00411FB0">
      <w:pPr>
        <w:numPr>
          <w:ilvl w:val="0"/>
          <w:numId w:val="19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Синяя шляпа (управление процессом мышления):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Координация процесса обсуждения и принятия решений.</w:t>
      </w:r>
    </w:p>
    <w:p w14:paraId="1632C90B" w14:textId="1D625EE6" w:rsidR="003963AB" w:rsidRPr="003963AB" w:rsidRDefault="003963AB" w:rsidP="003963AB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</w:p>
    <w:p w14:paraId="35577A0C" w14:textId="77777777" w:rsidR="003963AB" w:rsidRPr="003963AB" w:rsidRDefault="003963AB" w:rsidP="003963AB">
      <w:pPr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Маркетинговый план продвижения продукции (</w:t>
      </w:r>
      <w:proofErr w:type="spellStart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Marketing</w:t>
      </w:r>
      <w:proofErr w:type="spellEnd"/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)</w:t>
      </w:r>
    </w:p>
    <w:p w14:paraId="77F1EA09" w14:textId="77777777" w:rsidR="003963AB" w:rsidRPr="003963AB" w:rsidRDefault="003963AB" w:rsidP="00411FB0">
      <w:pPr>
        <w:numPr>
          <w:ilvl w:val="0"/>
          <w:numId w:val="2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Анализ рынка: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Исследование целевой аудитории и конкурентов.</w:t>
      </w:r>
    </w:p>
    <w:p w14:paraId="16AC46A5" w14:textId="77777777" w:rsidR="003963AB" w:rsidRPr="003963AB" w:rsidRDefault="003963AB" w:rsidP="00411FB0">
      <w:pPr>
        <w:numPr>
          <w:ilvl w:val="0"/>
          <w:numId w:val="2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Позиционирование продукта: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Определение уникального торгового предложения (USP) архитектуры предприятия.</w:t>
      </w:r>
    </w:p>
    <w:p w14:paraId="6A1EE6A7" w14:textId="77777777" w:rsidR="003963AB" w:rsidRPr="003963AB" w:rsidRDefault="003963AB" w:rsidP="00411FB0">
      <w:pPr>
        <w:numPr>
          <w:ilvl w:val="0"/>
          <w:numId w:val="2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Каналы продвижения: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Использование цифровых каналов (сайт, социальные сети) и </w:t>
      </w:r>
      <w:proofErr w:type="spellStart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оффлайн</w:t>
      </w:r>
      <w:proofErr w:type="spellEnd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мероприятий (конференции, выставки).</w:t>
      </w:r>
    </w:p>
    <w:p w14:paraId="3E839625" w14:textId="77777777" w:rsidR="003963AB" w:rsidRPr="003963AB" w:rsidRDefault="003963AB" w:rsidP="00411FB0">
      <w:pPr>
        <w:numPr>
          <w:ilvl w:val="0"/>
          <w:numId w:val="2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Бюджет: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Определение бюджета на маркетинговые активности.</w:t>
      </w:r>
    </w:p>
    <w:p w14:paraId="5923DE7C" w14:textId="77777777" w:rsidR="003963AB" w:rsidRPr="003963AB" w:rsidRDefault="003963AB" w:rsidP="00411FB0">
      <w:pPr>
        <w:numPr>
          <w:ilvl w:val="0"/>
          <w:numId w:val="20"/>
        </w:num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b/>
          <w:bCs/>
          <w:kern w:val="2"/>
          <w:sz w:val="28"/>
          <w:szCs w:val="28"/>
          <w14:ligatures w14:val="standardContextual"/>
        </w:rPr>
        <w:t>Метрики успеха:</w:t>
      </w: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Ключевые показатели эффективности (KPI) для оценки результатов маркетинговых кампаний.</w:t>
      </w:r>
    </w:p>
    <w:p w14:paraId="501B1B1B" w14:textId="77777777" w:rsidR="003963AB" w:rsidRPr="003963AB" w:rsidRDefault="003963AB" w:rsidP="003963AB">
      <w:pPr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</w:pPr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Этот комплексный подход позволит обеспечить успешную разработку и реализацию архитектуры предприятия, </w:t>
      </w:r>
      <w:proofErr w:type="spellStart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>минимизируя</w:t>
      </w:r>
      <w:proofErr w:type="spellEnd"/>
      <w:r w:rsidRPr="003963AB">
        <w:rPr>
          <w:rFonts w:ascii="Times New Roman" w:eastAsia="Calibri" w:hAnsi="Times New Roman" w:cs="Times New Roman"/>
          <w:kern w:val="2"/>
          <w:sz w:val="28"/>
          <w:szCs w:val="28"/>
          <w14:ligatures w14:val="standardContextual"/>
        </w:rPr>
        <w:t xml:space="preserve"> возможные риски и максимально эффективно используя доступные ресурсы.</w:t>
      </w:r>
    </w:p>
    <w:p w14:paraId="3AEBAF67" w14:textId="77777777" w:rsidR="003963AB" w:rsidRPr="003963AB" w:rsidRDefault="003963AB" w:rsidP="003963AB">
      <w:pPr>
        <w:rPr>
          <w:rFonts w:ascii="Calibri" w:eastAsia="Calibri" w:hAnsi="Calibri" w:cs="Times New Roman"/>
          <w:kern w:val="2"/>
          <w14:ligatures w14:val="standardContextual"/>
        </w:rPr>
      </w:pPr>
    </w:p>
    <w:p w14:paraId="5F91C9F3" w14:textId="77777777" w:rsidR="003963AB" w:rsidRDefault="003963AB" w:rsidP="003963AB">
      <w:pPr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p w14:paraId="75608737" w14:textId="133031CF" w:rsidR="00AD3D62" w:rsidRDefault="00AD3D62">
      <w:pPr>
        <w:jc w:val="center"/>
        <w:rPr>
          <w:rFonts w:ascii="TimesNewRomanPS-BoldMT" w:hAnsi="TimesNewRomanPS-BoldMT"/>
          <w:b/>
          <w:bCs/>
          <w:color w:val="000000"/>
          <w:sz w:val="28"/>
          <w:szCs w:val="28"/>
        </w:rPr>
      </w:pPr>
    </w:p>
    <w:sectPr w:rsidR="00AD3D62" w:rsidSect="00781250">
      <w:footerReference w:type="default" r:id="rId10"/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DCDD575" w14:textId="77777777" w:rsidR="00411FB0" w:rsidRDefault="00411FB0">
      <w:pPr>
        <w:spacing w:after="0" w:line="240" w:lineRule="auto"/>
      </w:pPr>
      <w:r>
        <w:separator/>
      </w:r>
    </w:p>
  </w:endnote>
  <w:endnote w:type="continuationSeparator" w:id="0">
    <w:p w14:paraId="02ABF4B1" w14:textId="77777777" w:rsidR="00411FB0" w:rsidRDefault="00411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-BoldMT">
    <w:altName w:val="Times New Roman"/>
    <w:charset w:val="00"/>
    <w:family w:val="auto"/>
    <w:pitch w:val="default"/>
  </w:font>
  <w:font w:name="TimesNewRomanPSMT">
    <w:altName w:val="Times New Roman"/>
    <w:charset w:val="00"/>
    <w:family w:val="auto"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56076992"/>
      <w:docPartObj>
        <w:docPartGallery w:val="Page Numbers (Bottom of Page)"/>
        <w:docPartUnique/>
      </w:docPartObj>
    </w:sdtPr>
    <w:sdtContent>
      <w:p w14:paraId="7AE688C0" w14:textId="6119F223" w:rsidR="003963AB" w:rsidRDefault="003963AB">
        <w:pPr>
          <w:pStyle w:val="ac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1</w:t>
        </w:r>
        <w:r>
          <w:fldChar w:fldCharType="end"/>
        </w:r>
      </w:p>
    </w:sdtContent>
  </w:sdt>
  <w:p w14:paraId="3DBBBA22" w14:textId="77777777" w:rsidR="003963AB" w:rsidRDefault="003963AB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96AD0E" w14:textId="77777777" w:rsidR="00411FB0" w:rsidRDefault="00411FB0">
      <w:pPr>
        <w:spacing w:after="0" w:line="240" w:lineRule="auto"/>
      </w:pPr>
      <w:r>
        <w:separator/>
      </w:r>
    </w:p>
  </w:footnote>
  <w:footnote w:type="continuationSeparator" w:id="0">
    <w:p w14:paraId="0640EF6A" w14:textId="77777777" w:rsidR="00411FB0" w:rsidRDefault="00411F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B8295A"/>
    <w:multiLevelType w:val="multilevel"/>
    <w:tmpl w:val="2D4E7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A117E60"/>
    <w:multiLevelType w:val="multilevel"/>
    <w:tmpl w:val="04E05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1B81BA0"/>
    <w:multiLevelType w:val="multilevel"/>
    <w:tmpl w:val="116830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5011D8A"/>
    <w:multiLevelType w:val="multilevel"/>
    <w:tmpl w:val="EA10E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6A80625"/>
    <w:multiLevelType w:val="multilevel"/>
    <w:tmpl w:val="CD7ED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B9130B8"/>
    <w:multiLevelType w:val="multilevel"/>
    <w:tmpl w:val="7EC277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05F6A59"/>
    <w:multiLevelType w:val="multilevel"/>
    <w:tmpl w:val="514E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1F82EF0"/>
    <w:multiLevelType w:val="multilevel"/>
    <w:tmpl w:val="CDB2B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6B91389"/>
    <w:multiLevelType w:val="multilevel"/>
    <w:tmpl w:val="3BDCF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5A74EF"/>
    <w:multiLevelType w:val="multilevel"/>
    <w:tmpl w:val="68A4FB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5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6">
    <w:abstractNumId w:val="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7">
    <w:abstractNumId w:val="2"/>
  </w:num>
  <w:num w:numId="8">
    <w:abstractNumId w:val="4"/>
  </w:num>
  <w:num w:numId="9">
    <w:abstractNumId w:val="3"/>
  </w:num>
  <w:num w:numId="10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1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2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3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4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5">
    <w:abstractNumId w:val="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6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8">
    <w:abstractNumId w:val="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>
    <w:abstractNumId w:val="9"/>
  </w:num>
  <w:num w:numId="20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7297"/>
    <w:rsid w:val="00167A3F"/>
    <w:rsid w:val="0019257C"/>
    <w:rsid w:val="003963AB"/>
    <w:rsid w:val="003F4757"/>
    <w:rsid w:val="00411FB0"/>
    <w:rsid w:val="00434784"/>
    <w:rsid w:val="004B7297"/>
    <w:rsid w:val="00690D68"/>
    <w:rsid w:val="006A7F16"/>
    <w:rsid w:val="007676E3"/>
    <w:rsid w:val="00781250"/>
    <w:rsid w:val="00797582"/>
    <w:rsid w:val="00853FCB"/>
    <w:rsid w:val="008C171C"/>
    <w:rsid w:val="008C6811"/>
    <w:rsid w:val="009723F3"/>
    <w:rsid w:val="00983F42"/>
    <w:rsid w:val="009B7239"/>
    <w:rsid w:val="00AD3D62"/>
    <w:rsid w:val="00AF4D02"/>
    <w:rsid w:val="00B12143"/>
    <w:rsid w:val="00C10CD0"/>
    <w:rsid w:val="00D7648B"/>
    <w:rsid w:val="00DA7E01"/>
    <w:rsid w:val="00DB134D"/>
    <w:rsid w:val="00DF06C7"/>
    <w:rsid w:val="00DF0E8F"/>
    <w:rsid w:val="00E6464D"/>
    <w:rsid w:val="00FD5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F76F86"/>
  <w15:docId w15:val="{220CC455-BD76-4BE0-87BD-F69C138D77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pPr>
      <w:spacing w:before="300" w:after="200"/>
      <w:contextualSpacing/>
    </w:pPr>
    <w:rPr>
      <w:sz w:val="48"/>
      <w:szCs w:val="48"/>
    </w:rPr>
  </w:style>
  <w:style w:type="character" w:customStyle="1" w:styleId="a5">
    <w:name w:val="Заголовок Знак"/>
    <w:basedOn w:val="a0"/>
    <w:link w:val="a4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paragraph" w:styleId="aa">
    <w:name w:val="header"/>
    <w:basedOn w:val="a"/>
    <w:link w:val="ab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</w:style>
  <w:style w:type="paragraph" w:styleId="ac">
    <w:name w:val="footer"/>
    <w:basedOn w:val="a"/>
    <w:link w:val="ad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</w:style>
  <w:style w:type="paragraph" w:styleId="ae">
    <w:name w:val="caption"/>
    <w:basedOn w:val="a"/>
    <w:next w:val="a"/>
    <w:uiPriority w:val="35"/>
    <w:unhideWhenUsed/>
    <w:qFormat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1" w:themeTint="34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537DC8" w:themeColor="accent1" w:themeTint="EA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3F3" w:themeColor="accent1" w:themeTint="32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5B9BD5" w:themeColor="accent5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1" w:themeTint="34" w:fill="D8E2F3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1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band1Vert">
      <w:tblPr/>
      <w:tcPr>
        <w:shd w:val="clear" w:color="A9BEE4" w:themeColor="accent1" w:themeTint="75" w:fill="A9BEE4" w:themeFill="accent1" w:themeFillTint="75"/>
      </w:tcPr>
    </w:tblStylePr>
    <w:tblStylePr w:type="band1Horz">
      <w:tblPr/>
      <w:tcPr>
        <w:shd w:val="clear" w:color="A9BEE4" w:themeColor="accent1" w:themeTint="75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5" w:themeTint="34" w:fill="DDEAF6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5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band1Vert">
      <w:tblPr/>
      <w:tcPr>
        <w:shd w:val="clear" w:color="B3D0EB" w:themeColor="accent5" w:themeTint="75" w:fill="B3D0EB" w:themeFill="accent5" w:themeFillTint="75"/>
      </w:tcPr>
    </w:tblStylePr>
    <w:tblStylePr w:type="band1Horz">
      <w:tblPr/>
      <w:tcPr>
        <w:shd w:val="clear" w:color="B3D0EB" w:themeColor="accent5" w:themeTint="75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0B7E1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0B7E1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0B7E1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1" w:themeTint="34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D8E2F3" w:themeColor="accent1" w:themeTint="34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2C6E7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2C6E7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0" w:space="0" w:color="auto"/>
          <w:left w:val="single" w:sz="4" w:space="0" w:color="A2C6E7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C2E5" w:themeColor="accent5" w:themeTint="9A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1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1" w:themeTint="40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5" w:themeTint="40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4472C4" w:themeColor="accent1" w:fill="4472C4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4472C4" w:themeColor="accent1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472C4" w:themeColor="accent1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472C4" w:themeColor="accent1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9BC2E5" w:themeColor="accent5" w:themeTint="9A" w:fill="9BC2E5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BC2E5" w:themeColor="accent5" w:themeTint="9A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bottom w:val="single" w:sz="4" w:space="0" w:color="4472C4" w:themeColor="accent1"/>
      </w:tblBorders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C2E5" w:themeColor="accent5" w:themeTint="9A"/>
        <w:bottom w:val="single" w:sz="4" w:space="0" w:color="9BC2E5" w:themeColor="accent5" w:themeTint="9A"/>
      </w:tblBorders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472C4" w:themeColor="accent1"/>
      </w:tblBorders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472C4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472C4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0" w:space="0" w:color="auto"/>
          <w:left w:val="single" w:sz="4" w:space="0" w:color="4472C4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1" w:themeTint="40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CFDBF0" w:themeColor="accent1" w:themeTint="40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BC2E5" w:themeColor="accent5" w:themeTint="9A"/>
      </w:tblBorders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BC2E5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BC2E5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BC2E5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5" w:themeTint="40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D5E5F4" w:themeColor="accent5" w:themeTint="40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37DC8" w:themeColor="accent1" w:themeTint="EA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4D2EC" w:themeColor="accent1" w:themeTint="50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B9BD5" w:themeColor="accent5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DEAF6" w:themeColor="accent5" w:themeTint="34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">
    <w:name w:val="footnote text"/>
    <w:basedOn w:val="a"/>
    <w:link w:val="af0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0">
    <w:name w:val="Текст сноски Знак"/>
    <w:link w:val="af"/>
    <w:uiPriority w:val="99"/>
    <w:rPr>
      <w:sz w:val="18"/>
    </w:rPr>
  </w:style>
  <w:style w:type="character" w:styleId="af1">
    <w:name w:val="footnote reference"/>
    <w:basedOn w:val="a0"/>
    <w:uiPriority w:val="99"/>
    <w:unhideWhenUsed/>
    <w:rPr>
      <w:vertAlign w:val="superscript"/>
    </w:rPr>
  </w:style>
  <w:style w:type="paragraph" w:styleId="af2">
    <w:name w:val="endnote text"/>
    <w:basedOn w:val="a"/>
    <w:link w:val="af3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3">
    <w:name w:val="Текст концевой сноски Знак"/>
    <w:link w:val="af2"/>
    <w:uiPriority w:val="99"/>
    <w:rPr>
      <w:sz w:val="20"/>
    </w:rPr>
  </w:style>
  <w:style w:type="character" w:styleId="af4">
    <w:name w:val="endnote reference"/>
    <w:basedOn w:val="a0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5">
    <w:name w:val="TOC Heading"/>
    <w:uiPriority w:val="39"/>
    <w:unhideWhenUsed/>
  </w:style>
  <w:style w:type="paragraph" w:styleId="af6">
    <w:name w:val="table of figures"/>
    <w:basedOn w:val="a"/>
    <w:next w:val="a"/>
    <w:uiPriority w:val="99"/>
    <w:unhideWhenUsed/>
    <w:pPr>
      <w:spacing w:after="0"/>
    </w:pPr>
  </w:style>
  <w:style w:type="table" w:styleId="af7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f8">
    <w:name w:val="List Paragraph"/>
    <w:basedOn w:val="a"/>
    <w:uiPriority w:val="34"/>
    <w:qFormat/>
    <w:pPr>
      <w:ind w:left="720"/>
      <w:contextualSpacing/>
    </w:pPr>
  </w:style>
  <w:style w:type="paragraph" w:styleId="af9">
    <w:name w:val="Body Text"/>
    <w:basedOn w:val="a"/>
    <w:link w:val="afa"/>
    <w:uiPriority w:val="99"/>
    <w:unhideWhenUsed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a">
    <w:name w:val="Основной текст Знак"/>
    <w:basedOn w:val="a0"/>
    <w:link w:val="af9"/>
    <w:uiPriority w:val="99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b">
    <w:name w:val="Hyperlink"/>
    <w:basedOn w:val="a0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5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2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1202</Words>
  <Characters>6855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Anastasi Cheprasova</dc:creator>
  <cp:keywords/>
  <dc:description/>
  <cp:lastModifiedBy>Ауд-Нагатинская-807 Студент</cp:lastModifiedBy>
  <cp:revision>4</cp:revision>
  <dcterms:created xsi:type="dcterms:W3CDTF">2025-04-05T11:25:00Z</dcterms:created>
  <dcterms:modified xsi:type="dcterms:W3CDTF">2025-04-05T12:26:00Z</dcterms:modified>
</cp:coreProperties>
</file>