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0956FBEE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A619A1">
        <w:rPr>
          <w:rFonts w:ascii="TimesNewRomanPS-BoldMT" w:hAnsi="TimesNewRomanPS-BoldMT"/>
          <w:b/>
          <w:bCs/>
          <w:sz w:val="28"/>
          <w:szCs w:val="28"/>
        </w:rPr>
        <w:t>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356692A5" w:rsidR="004B7297" w:rsidRPr="00FB1D2F" w:rsidRDefault="00FB1D2F" w:rsidP="00356712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FB1D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 Стандарты, подходы, методы и средства с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оздания архитектуры предприятия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D077E2">
            <w:pPr>
              <w:spacing w:after="0" w:line="240" w:lineRule="auto"/>
              <w:ind w:right="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256380BE" w:rsidR="004B7297" w:rsidRDefault="00781250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    </w:t>
            </w:r>
            <w:r w:rsidR="0031536C">
              <w:rPr>
                <w:rFonts w:ascii="TimesNewRomanPS-BoldMT" w:hAnsi="TimesNewRomanPS-BoldMT"/>
                <w:iCs/>
                <w:sz w:val="28"/>
                <w:szCs w:val="28"/>
              </w:rPr>
              <w:t>Новоселов Дмитрий Викторович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</w:t>
            </w:r>
            <w:proofErr w:type="spellEnd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7E96AC64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Москва 2024 </w:t>
      </w:r>
    </w:p>
    <w:p w14:paraId="75608737" w14:textId="133031CF" w:rsidR="00AD3D62" w:rsidRDefault="00AD3D62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FC7D3E0" w14:textId="1C5763F6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№1.</w:t>
      </w:r>
    </w:p>
    <w:p w14:paraId="5FA28BAA" w14:textId="39F08FF5" w:rsidR="00585D3E" w:rsidRDefault="00585D3E" w:rsidP="00585D3E">
      <w:p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585D3E">
        <w:rPr>
          <w:rFonts w:ascii="TimesNewRomanPS-BoldMT" w:hAnsi="TimesNewRomanPS-BoldMT"/>
          <w:bCs/>
          <w:color w:val="000000"/>
          <w:sz w:val="28"/>
          <w:szCs w:val="28"/>
        </w:rPr>
        <w:t xml:space="preserve">Для создания ментальной карты процесса управления проектом разработки архитектуры предприятия в соответствии со стандартом ISO </w:t>
      </w:r>
      <w:proofErr w:type="gramStart"/>
      <w:r w:rsidRPr="00585D3E">
        <w:rPr>
          <w:rFonts w:ascii="TimesNewRomanPS-BoldMT" w:hAnsi="TimesNewRomanPS-BoldMT"/>
          <w:bCs/>
          <w:color w:val="000000"/>
          <w:sz w:val="28"/>
          <w:szCs w:val="28"/>
        </w:rPr>
        <w:t>15288-2005</w:t>
      </w:r>
      <w:proofErr w:type="gramEnd"/>
      <w:r w:rsidR="007A6528">
        <w:rPr>
          <w:rFonts w:ascii="TimesNewRomanPS-BoldMT" w:hAnsi="TimesNewRomanPS-BoldMT"/>
          <w:bCs/>
          <w:color w:val="000000"/>
          <w:sz w:val="28"/>
          <w:szCs w:val="28"/>
        </w:rPr>
        <w:t>.</w:t>
      </w:r>
    </w:p>
    <w:p w14:paraId="7C295225" w14:textId="1A35C4A9" w:rsidR="00585D3E" w:rsidRDefault="00585D3E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401180" wp14:editId="58CC6FF0">
            <wp:extent cx="6562725" cy="1819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69" t="26010" r="3964" b="40509"/>
                    <a:stretch/>
                  </pic:blipFill>
                  <pic:spPr bwMode="auto">
                    <a:xfrm>
                      <a:off x="0" y="0"/>
                      <a:ext cx="656272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27AAD" w14:textId="560AECBF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№2.</w:t>
      </w:r>
    </w:p>
    <w:p w14:paraId="3B88256D" w14:textId="77777777" w:rsidR="00EE3636" w:rsidRPr="00EE3636" w:rsidRDefault="00EE3636" w:rsidP="00EE3636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Документация по архитектуре предприятия</w:t>
      </w:r>
    </w:p>
    <w:p w14:paraId="71108BAE" w14:textId="77777777" w:rsidR="00EE3636" w:rsidRPr="00EE3636" w:rsidRDefault="00EE3636" w:rsidP="00EE3636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Для разработки документации по архитектуре предприятия в соответствии со стандартом ISO 15704:2000, необходимо учитывать следующие ключевые элементы:</w:t>
      </w:r>
    </w:p>
    <w:p w14:paraId="22CB7E2F" w14:textId="77777777" w:rsidR="00EE3636" w:rsidRPr="00EE3636" w:rsidRDefault="00EE3636" w:rsidP="00EE3636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1. Введение</w:t>
      </w:r>
    </w:p>
    <w:p w14:paraId="73B4A12B" w14:textId="77777777" w:rsidR="00EE3636" w:rsidRPr="00EE3636" w:rsidRDefault="00EE3636" w:rsidP="00EE3636">
      <w:pPr>
        <w:numPr>
          <w:ilvl w:val="0"/>
          <w:numId w:val="24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Цель документа</w:t>
      </w:r>
      <w:proofErr w:type="gramStart"/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 Определить</w:t>
      </w:r>
      <w:proofErr w:type="gramEnd"/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 xml:space="preserve"> архитектуру предприятия для ООО «</w:t>
      </w:r>
      <w:proofErr w:type="spellStart"/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ЭкоТех</w:t>
      </w:r>
      <w:proofErr w:type="spellEnd"/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», включая описание бизнес-процессов, информационных систем и технологий.</w:t>
      </w:r>
    </w:p>
    <w:p w14:paraId="7397F57D" w14:textId="77777777" w:rsidR="00EE3636" w:rsidRPr="00EE3636" w:rsidRDefault="00EE3636" w:rsidP="00EE3636">
      <w:pPr>
        <w:numPr>
          <w:ilvl w:val="0"/>
          <w:numId w:val="24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Область применения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 Документ охватывает все аспекты архитектуры предприятия, включая организационную структуру, процессы, информационные потоки и технологии.</w:t>
      </w:r>
    </w:p>
    <w:p w14:paraId="27B1BAD1" w14:textId="77777777" w:rsidR="00EE3636" w:rsidRPr="00EE3636" w:rsidRDefault="00EE3636" w:rsidP="00EE3636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2. Общее описание архитектуры</w:t>
      </w:r>
    </w:p>
    <w:p w14:paraId="6858A7E2" w14:textId="77777777" w:rsidR="00EE3636" w:rsidRPr="00EE3636" w:rsidRDefault="00EE3636" w:rsidP="00EE3636">
      <w:pPr>
        <w:numPr>
          <w:ilvl w:val="0"/>
          <w:numId w:val="2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Организационная структура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2C2D7FA4" w14:textId="77777777" w:rsidR="00EE3636" w:rsidRPr="00EE3636" w:rsidRDefault="00EE3636" w:rsidP="00EE3636">
      <w:pPr>
        <w:numPr>
          <w:ilvl w:val="1"/>
          <w:numId w:val="2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Описание ключевых подразделений компании.</w:t>
      </w:r>
    </w:p>
    <w:p w14:paraId="688677B0" w14:textId="77777777" w:rsidR="00EE3636" w:rsidRPr="00EE3636" w:rsidRDefault="00EE3636" w:rsidP="00EE3636">
      <w:pPr>
        <w:numPr>
          <w:ilvl w:val="1"/>
          <w:numId w:val="2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Взаимодействие между подразделениями.</w:t>
      </w:r>
    </w:p>
    <w:p w14:paraId="09AA9539" w14:textId="77777777" w:rsidR="00EE3636" w:rsidRPr="00EE3636" w:rsidRDefault="00EE3636" w:rsidP="00EE3636">
      <w:pPr>
        <w:numPr>
          <w:ilvl w:val="0"/>
          <w:numId w:val="2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Бизнес-процессы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702B6FF7" w14:textId="77777777" w:rsidR="00EE3636" w:rsidRPr="00EE3636" w:rsidRDefault="00EE3636" w:rsidP="00EE3636">
      <w:pPr>
        <w:numPr>
          <w:ilvl w:val="1"/>
          <w:numId w:val="2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 xml:space="preserve">Основные бизнес-процессы компании (управление заказами, производство упаковки, контроль качества и </w:t>
      </w:r>
      <w:proofErr w:type="gramStart"/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т.д.</w:t>
      </w:r>
      <w:proofErr w:type="gramEnd"/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).</w:t>
      </w:r>
    </w:p>
    <w:p w14:paraId="4D7342C7" w14:textId="77777777" w:rsidR="00EE3636" w:rsidRPr="00EE3636" w:rsidRDefault="00EE3636" w:rsidP="00EE3636">
      <w:pPr>
        <w:numPr>
          <w:ilvl w:val="1"/>
          <w:numId w:val="2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Взаимосвязи между процессами.</w:t>
      </w:r>
    </w:p>
    <w:p w14:paraId="59D5A36F" w14:textId="77777777" w:rsidR="00EE3636" w:rsidRPr="00EE3636" w:rsidRDefault="00EE3636" w:rsidP="00EE3636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3. Архитектура информационных систем</w:t>
      </w:r>
    </w:p>
    <w:p w14:paraId="73EBBCAD" w14:textId="77777777" w:rsidR="00EE3636" w:rsidRPr="00EE3636" w:rsidRDefault="00EE3636" w:rsidP="00EE3636">
      <w:pPr>
        <w:numPr>
          <w:ilvl w:val="0"/>
          <w:numId w:val="2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Системы поддержки бизнес-процессов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35B23382" w14:textId="77777777" w:rsidR="00EE3636" w:rsidRPr="00EE3636" w:rsidRDefault="00EE3636" w:rsidP="00EE3636">
      <w:pPr>
        <w:numPr>
          <w:ilvl w:val="1"/>
          <w:numId w:val="2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 xml:space="preserve">Описание используемых информационных систем (ERP, CRM и </w:t>
      </w:r>
      <w:proofErr w:type="gramStart"/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т.д.</w:t>
      </w:r>
      <w:proofErr w:type="gramEnd"/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).</w:t>
      </w:r>
    </w:p>
    <w:p w14:paraId="106EC30B" w14:textId="77777777" w:rsidR="00EE3636" w:rsidRPr="00EE3636" w:rsidRDefault="00EE3636" w:rsidP="00EE3636">
      <w:pPr>
        <w:numPr>
          <w:ilvl w:val="1"/>
          <w:numId w:val="2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Интеграция систем между собой.</w:t>
      </w:r>
    </w:p>
    <w:p w14:paraId="043D350C" w14:textId="77777777" w:rsidR="00EE3636" w:rsidRPr="00EE3636" w:rsidRDefault="00EE3636" w:rsidP="00EE3636">
      <w:pPr>
        <w:numPr>
          <w:ilvl w:val="0"/>
          <w:numId w:val="2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Информационные потоки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3B28BBBE" w14:textId="77777777" w:rsidR="00EE3636" w:rsidRPr="00EE3636" w:rsidRDefault="00EE3636" w:rsidP="00EE3636">
      <w:pPr>
        <w:numPr>
          <w:ilvl w:val="1"/>
          <w:numId w:val="2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Как информация перемещается между различными системами и процессами.</w:t>
      </w:r>
    </w:p>
    <w:p w14:paraId="24B72C36" w14:textId="77777777" w:rsidR="00EE3636" w:rsidRPr="00EE3636" w:rsidRDefault="00EE3636" w:rsidP="00EE3636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4. Технологическая архитектура</w:t>
      </w:r>
    </w:p>
    <w:p w14:paraId="2227D256" w14:textId="77777777" w:rsidR="00EE3636" w:rsidRPr="00EE3636" w:rsidRDefault="00EE3636" w:rsidP="00EE3636">
      <w:pPr>
        <w:numPr>
          <w:ilvl w:val="0"/>
          <w:numId w:val="2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Используемые технологии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6CBCE1FD" w14:textId="77777777" w:rsidR="00EE3636" w:rsidRPr="00EE3636" w:rsidRDefault="00EE3636" w:rsidP="00EE3636">
      <w:pPr>
        <w:numPr>
          <w:ilvl w:val="1"/>
          <w:numId w:val="2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Описание технологий, используемых для поддержки бизнес-процессов (аппаратное обеспечение, программное обеспечение).</w:t>
      </w:r>
    </w:p>
    <w:p w14:paraId="2536A252" w14:textId="77777777" w:rsidR="00EE3636" w:rsidRPr="00EE3636" w:rsidRDefault="00EE3636" w:rsidP="00EE3636">
      <w:pPr>
        <w:numPr>
          <w:ilvl w:val="0"/>
          <w:numId w:val="2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Стандарты и протоколы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3BFDDD8F" w14:textId="77777777" w:rsidR="00EE3636" w:rsidRPr="00EE3636" w:rsidRDefault="00EE3636" w:rsidP="00EE3636">
      <w:pPr>
        <w:numPr>
          <w:ilvl w:val="1"/>
          <w:numId w:val="2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Применяемые стандарты для обеспечения совместимости систем.</w:t>
      </w:r>
    </w:p>
    <w:p w14:paraId="15299284" w14:textId="77777777" w:rsidR="00EE3636" w:rsidRPr="00EE3636" w:rsidRDefault="00EE3636" w:rsidP="00EE3636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5. Риски и управление ими</w:t>
      </w:r>
    </w:p>
    <w:p w14:paraId="76E68414" w14:textId="77777777" w:rsidR="00EE3636" w:rsidRPr="00EE3636" w:rsidRDefault="00EE3636" w:rsidP="00EE3636">
      <w:pPr>
        <w:numPr>
          <w:ilvl w:val="0"/>
          <w:numId w:val="2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Идентификация рисков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0465E0F7" w14:textId="77777777" w:rsidR="00EE3636" w:rsidRPr="00EE3636" w:rsidRDefault="00EE3636" w:rsidP="00EE3636">
      <w:pPr>
        <w:numPr>
          <w:ilvl w:val="1"/>
          <w:numId w:val="2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Потенциальные риски при реализации архитектуры.</w:t>
      </w:r>
    </w:p>
    <w:p w14:paraId="53741435" w14:textId="77777777" w:rsidR="00EE3636" w:rsidRPr="00EE3636" w:rsidRDefault="00EE3636" w:rsidP="00EE3636">
      <w:pPr>
        <w:numPr>
          <w:ilvl w:val="0"/>
          <w:numId w:val="2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Стратегии управления рисками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2738231A" w14:textId="77777777" w:rsidR="00EE3636" w:rsidRPr="00EE3636" w:rsidRDefault="00EE3636" w:rsidP="00EE3636">
      <w:pPr>
        <w:numPr>
          <w:ilvl w:val="1"/>
          <w:numId w:val="2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Подходы к минимизации воздействия рисков на бизнес-процессы.</w:t>
      </w:r>
    </w:p>
    <w:p w14:paraId="2FA75ADD" w14:textId="77777777" w:rsidR="00EE3636" w:rsidRPr="00EE3636" w:rsidRDefault="00EE3636" w:rsidP="00EE3636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6. Заключение</w:t>
      </w:r>
    </w:p>
    <w:p w14:paraId="42558F86" w14:textId="77777777" w:rsidR="00EE3636" w:rsidRPr="00EE3636" w:rsidRDefault="00EE3636" w:rsidP="00EE3636">
      <w:pPr>
        <w:numPr>
          <w:ilvl w:val="0"/>
          <w:numId w:val="29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Рекомендации по внедрению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676FED35" w14:textId="77777777" w:rsidR="00EE3636" w:rsidRPr="00EE3636" w:rsidRDefault="00EE3636" w:rsidP="00EE3636">
      <w:pPr>
        <w:numPr>
          <w:ilvl w:val="1"/>
          <w:numId w:val="29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Шаги по внедрению предложенной архитектуры.</w:t>
      </w:r>
    </w:p>
    <w:p w14:paraId="4BEBE8D0" w14:textId="77777777" w:rsidR="00EE3636" w:rsidRPr="00EE3636" w:rsidRDefault="00EE3636" w:rsidP="00EE3636">
      <w:pPr>
        <w:numPr>
          <w:ilvl w:val="0"/>
          <w:numId w:val="29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План мониторинга и оценки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344F563E" w14:textId="77777777" w:rsidR="00EE3636" w:rsidRPr="00EE3636" w:rsidRDefault="00EE3636" w:rsidP="00EE3636">
      <w:pPr>
        <w:numPr>
          <w:ilvl w:val="1"/>
          <w:numId w:val="29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Методы оценки эффективности внедренной архитектуры.</w:t>
      </w:r>
    </w:p>
    <w:p w14:paraId="7C676287" w14:textId="64474A79" w:rsidR="00585D3E" w:rsidRPr="00356712" w:rsidRDefault="00585D3E" w:rsidP="00585D3E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sectPr w:rsidR="00585D3E" w:rsidRPr="00356712" w:rsidSect="007812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65246" w14:textId="77777777" w:rsidR="00CB6A26" w:rsidRDefault="00CB6A26">
      <w:pPr>
        <w:spacing w:after="0" w:line="240" w:lineRule="auto"/>
      </w:pPr>
      <w:r>
        <w:separator/>
      </w:r>
    </w:p>
  </w:endnote>
  <w:endnote w:type="continuationSeparator" w:id="0">
    <w:p w14:paraId="22C52286" w14:textId="77777777" w:rsidR="00CB6A26" w:rsidRDefault="00CB6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20B0604020202020204"/>
    <w:charset w:val="00"/>
    <w:family w:val="auto"/>
    <w:pitch w:val="default"/>
  </w:font>
  <w:font w:name="TimesNewRomanPSMT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A34A7" w14:textId="77777777" w:rsidR="00CB6A26" w:rsidRDefault="00CB6A26">
      <w:pPr>
        <w:spacing w:after="0" w:line="240" w:lineRule="auto"/>
      </w:pPr>
      <w:r>
        <w:separator/>
      </w:r>
    </w:p>
  </w:footnote>
  <w:footnote w:type="continuationSeparator" w:id="0">
    <w:p w14:paraId="4B6D44B9" w14:textId="77777777" w:rsidR="00CB6A26" w:rsidRDefault="00CB6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5A85"/>
    <w:multiLevelType w:val="hybridMultilevel"/>
    <w:tmpl w:val="BD608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61B7"/>
    <w:multiLevelType w:val="hybridMultilevel"/>
    <w:tmpl w:val="D5E06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A6F2F"/>
    <w:multiLevelType w:val="multilevel"/>
    <w:tmpl w:val="5EE2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4660B"/>
    <w:multiLevelType w:val="hybridMultilevel"/>
    <w:tmpl w:val="1F624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77BF6"/>
    <w:multiLevelType w:val="hybridMultilevel"/>
    <w:tmpl w:val="DE4A8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6722F"/>
    <w:multiLevelType w:val="multilevel"/>
    <w:tmpl w:val="719E4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02456"/>
    <w:multiLevelType w:val="multilevel"/>
    <w:tmpl w:val="8570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F81851"/>
    <w:multiLevelType w:val="multilevel"/>
    <w:tmpl w:val="1756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ED7D60"/>
    <w:multiLevelType w:val="multilevel"/>
    <w:tmpl w:val="2D20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62049F"/>
    <w:multiLevelType w:val="multilevel"/>
    <w:tmpl w:val="F3AE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F253BE"/>
    <w:multiLevelType w:val="hybridMultilevel"/>
    <w:tmpl w:val="CC708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A6725"/>
    <w:multiLevelType w:val="multilevel"/>
    <w:tmpl w:val="96384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4156BF"/>
    <w:multiLevelType w:val="hybridMultilevel"/>
    <w:tmpl w:val="5F082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F695A"/>
    <w:multiLevelType w:val="multilevel"/>
    <w:tmpl w:val="E938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7520D8"/>
    <w:multiLevelType w:val="hybridMultilevel"/>
    <w:tmpl w:val="6772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06208"/>
    <w:multiLevelType w:val="hybridMultilevel"/>
    <w:tmpl w:val="4502C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A7CF9"/>
    <w:multiLevelType w:val="multilevel"/>
    <w:tmpl w:val="5594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F117BD"/>
    <w:multiLevelType w:val="multilevel"/>
    <w:tmpl w:val="B44A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737488"/>
    <w:multiLevelType w:val="multilevel"/>
    <w:tmpl w:val="9D84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2E2BEB"/>
    <w:multiLevelType w:val="multilevel"/>
    <w:tmpl w:val="1840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153D9F"/>
    <w:multiLevelType w:val="hybridMultilevel"/>
    <w:tmpl w:val="6A96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D45BD"/>
    <w:multiLevelType w:val="multilevel"/>
    <w:tmpl w:val="3132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4702DE"/>
    <w:multiLevelType w:val="multilevel"/>
    <w:tmpl w:val="3BB62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022EC6"/>
    <w:multiLevelType w:val="multilevel"/>
    <w:tmpl w:val="488A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17647B"/>
    <w:multiLevelType w:val="multilevel"/>
    <w:tmpl w:val="2424C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5C289D"/>
    <w:multiLevelType w:val="hybridMultilevel"/>
    <w:tmpl w:val="B12EA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F3784"/>
    <w:multiLevelType w:val="multilevel"/>
    <w:tmpl w:val="1160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7C543D"/>
    <w:multiLevelType w:val="multilevel"/>
    <w:tmpl w:val="E544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692C57"/>
    <w:multiLevelType w:val="multilevel"/>
    <w:tmpl w:val="9F1C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2643461">
    <w:abstractNumId w:val="17"/>
  </w:num>
  <w:num w:numId="2" w16cid:durableId="91708479">
    <w:abstractNumId w:val="1"/>
  </w:num>
  <w:num w:numId="3" w16cid:durableId="1789742258">
    <w:abstractNumId w:val="3"/>
  </w:num>
  <w:num w:numId="4" w16cid:durableId="1186358458">
    <w:abstractNumId w:val="4"/>
  </w:num>
  <w:num w:numId="5" w16cid:durableId="237248691">
    <w:abstractNumId w:val="10"/>
  </w:num>
  <w:num w:numId="6" w16cid:durableId="759520679">
    <w:abstractNumId w:val="14"/>
  </w:num>
  <w:num w:numId="7" w16cid:durableId="1219785412">
    <w:abstractNumId w:val="20"/>
  </w:num>
  <w:num w:numId="8" w16cid:durableId="568997549">
    <w:abstractNumId w:val="25"/>
  </w:num>
  <w:num w:numId="9" w16cid:durableId="947736889">
    <w:abstractNumId w:val="0"/>
  </w:num>
  <w:num w:numId="10" w16cid:durableId="950628606">
    <w:abstractNumId w:val="12"/>
  </w:num>
  <w:num w:numId="11" w16cid:durableId="1320841756">
    <w:abstractNumId w:val="15"/>
  </w:num>
  <w:num w:numId="12" w16cid:durableId="1485704100">
    <w:abstractNumId w:val="27"/>
  </w:num>
  <w:num w:numId="13" w16cid:durableId="666514607">
    <w:abstractNumId w:val="7"/>
  </w:num>
  <w:num w:numId="14" w16cid:durableId="1925919483">
    <w:abstractNumId w:val="18"/>
  </w:num>
  <w:num w:numId="15" w16cid:durableId="225340139">
    <w:abstractNumId w:val="26"/>
  </w:num>
  <w:num w:numId="16" w16cid:durableId="360209136">
    <w:abstractNumId w:val="16"/>
  </w:num>
  <w:num w:numId="17" w16cid:durableId="1879538527">
    <w:abstractNumId w:val="8"/>
  </w:num>
  <w:num w:numId="18" w16cid:durableId="225606678">
    <w:abstractNumId w:val="19"/>
  </w:num>
  <w:num w:numId="19" w16cid:durableId="197593965">
    <w:abstractNumId w:val="13"/>
  </w:num>
  <w:num w:numId="20" w16cid:durableId="203174172">
    <w:abstractNumId w:val="6"/>
  </w:num>
  <w:num w:numId="21" w16cid:durableId="1589733734">
    <w:abstractNumId w:val="2"/>
  </w:num>
  <w:num w:numId="22" w16cid:durableId="123935685">
    <w:abstractNumId w:val="23"/>
  </w:num>
  <w:num w:numId="23" w16cid:durableId="2039817719">
    <w:abstractNumId w:val="9"/>
  </w:num>
  <w:num w:numId="24" w16cid:durableId="852458892">
    <w:abstractNumId w:val="5"/>
  </w:num>
  <w:num w:numId="25" w16cid:durableId="71853225">
    <w:abstractNumId w:val="22"/>
  </w:num>
  <w:num w:numId="26" w16cid:durableId="1355496003">
    <w:abstractNumId w:val="24"/>
  </w:num>
  <w:num w:numId="27" w16cid:durableId="615911217">
    <w:abstractNumId w:val="28"/>
  </w:num>
  <w:num w:numId="28" w16cid:durableId="344329885">
    <w:abstractNumId w:val="21"/>
  </w:num>
  <w:num w:numId="29" w16cid:durableId="1122841646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297"/>
    <w:rsid w:val="00066F00"/>
    <w:rsid w:val="00085E5D"/>
    <w:rsid w:val="000E0FB5"/>
    <w:rsid w:val="00167A3F"/>
    <w:rsid w:val="0019257C"/>
    <w:rsid w:val="0031066C"/>
    <w:rsid w:val="0031536C"/>
    <w:rsid w:val="00356712"/>
    <w:rsid w:val="003F4757"/>
    <w:rsid w:val="00434784"/>
    <w:rsid w:val="004B7297"/>
    <w:rsid w:val="004F5A6C"/>
    <w:rsid w:val="00585D3E"/>
    <w:rsid w:val="006A7F16"/>
    <w:rsid w:val="007676E3"/>
    <w:rsid w:val="00781250"/>
    <w:rsid w:val="00797582"/>
    <w:rsid w:val="007A6528"/>
    <w:rsid w:val="00853FCB"/>
    <w:rsid w:val="00861BC3"/>
    <w:rsid w:val="008C171C"/>
    <w:rsid w:val="008C6811"/>
    <w:rsid w:val="009723F3"/>
    <w:rsid w:val="00983F42"/>
    <w:rsid w:val="00A619A1"/>
    <w:rsid w:val="00AD3D62"/>
    <w:rsid w:val="00AF4D02"/>
    <w:rsid w:val="00B12143"/>
    <w:rsid w:val="00B81413"/>
    <w:rsid w:val="00C10CD0"/>
    <w:rsid w:val="00C15F01"/>
    <w:rsid w:val="00CB6A26"/>
    <w:rsid w:val="00D077E2"/>
    <w:rsid w:val="00D113C0"/>
    <w:rsid w:val="00D7648B"/>
    <w:rsid w:val="00DB134D"/>
    <w:rsid w:val="00DE5ED8"/>
    <w:rsid w:val="00DF06C7"/>
    <w:rsid w:val="00DF0E8F"/>
    <w:rsid w:val="00DF1411"/>
    <w:rsid w:val="00E070BF"/>
    <w:rsid w:val="00E6464D"/>
    <w:rsid w:val="00EC07F9"/>
    <w:rsid w:val="00EE3636"/>
    <w:rsid w:val="00F703C4"/>
    <w:rsid w:val="00FB1D2F"/>
    <w:rsid w:val="00FD5EDF"/>
    <w:rsid w:val="00FE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86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861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Office</cp:lastModifiedBy>
  <cp:revision>7</cp:revision>
  <dcterms:created xsi:type="dcterms:W3CDTF">2025-04-05T11:33:00Z</dcterms:created>
  <dcterms:modified xsi:type="dcterms:W3CDTF">2025-05-08T15:17:00Z</dcterms:modified>
</cp:coreProperties>
</file>