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161BB2B">
      <w:pPr>
        <w:spacing w:line="276" w:lineRule="auto"/>
        <w:jc w:val="center"/>
        <w:rPr>
          <w:rFonts w:ascii="Times New Roman" w:hAnsi="Times New Roman" w:cs="Times New Roman"/>
          <w:b/>
          <w:bCs/>
          <w:color w:val="000000"/>
          <w:sz w:val="26"/>
          <w:szCs w:val="26"/>
        </w:rPr>
      </w:pPr>
      <w:r>
        <w:rPr>
          <w:rFonts w:ascii="Times New Roman" w:hAnsi="Times New Roman" w:cs="Times New Roman"/>
          <w:lang w:eastAsia="ru-RU"/>
        </w:rPr>
        <w:drawing>
          <wp:anchor distT="0" distB="0" distL="114300" distR="114300" simplePos="0" relativeHeight="251659264" behindDoc="0" locked="0" layoutInCell="1" allowOverlap="1">
            <wp:simplePos x="0" y="0"/>
            <wp:positionH relativeFrom="margin">
              <wp:posOffset>-1094105</wp:posOffset>
            </wp:positionH>
            <wp:positionV relativeFrom="margin">
              <wp:posOffset>-92075</wp:posOffset>
            </wp:positionV>
            <wp:extent cx="7955280" cy="960120"/>
            <wp:effectExtent l="0" t="0" r="0" b="0"/>
            <wp:wrapTopAndBottom/>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7955280" cy="960120"/>
                    </a:xfrm>
                    <a:prstGeom prst="rect">
                      <a:avLst/>
                    </a:prstGeom>
                    <a:noFill/>
                    <a:ln>
                      <a:noFill/>
                    </a:ln>
                  </pic:spPr>
                </pic:pic>
              </a:graphicData>
            </a:graphic>
          </wp:anchor>
        </w:drawing>
      </w:r>
      <w:r>
        <w:rPr>
          <w:rFonts w:ascii="Times New Roman" w:hAnsi="Times New Roman" w:cs="Times New Roman"/>
          <w:b/>
          <w:bCs/>
          <w:color w:val="000000"/>
          <w:sz w:val="26"/>
          <w:szCs w:val="26"/>
        </w:rPr>
        <w:t>НЕГОСУДАРСТВЕННОЕ ОБРАЗОВАТЕЛЬНОЕ ЧАСТНОЕ</w:t>
      </w:r>
      <w:r>
        <w:rPr>
          <w:rFonts w:ascii="Times New Roman" w:hAnsi="Times New Roman" w:cs="Times New Roman"/>
          <w:color w:val="000000"/>
          <w:sz w:val="26"/>
          <w:szCs w:val="26"/>
        </w:rPr>
        <w:t xml:space="preserve"> </w:t>
      </w:r>
      <w:r>
        <w:rPr>
          <w:rFonts w:ascii="Times New Roman" w:hAnsi="Times New Roman" w:cs="Times New Roman"/>
          <w:b/>
          <w:bCs/>
          <w:color w:val="000000"/>
          <w:sz w:val="26"/>
          <w:szCs w:val="26"/>
        </w:rPr>
        <w:t>УЧРЕЖДЕНИЕ ВЫСШЕГО ОБРАЗОВАНИЯ</w:t>
      </w:r>
      <w:r>
        <w:rPr>
          <w:rFonts w:ascii="Times New Roman" w:hAnsi="Times New Roman" w:cs="Times New Roman"/>
          <w:color w:val="000000"/>
          <w:sz w:val="26"/>
          <w:szCs w:val="26"/>
        </w:rPr>
        <w:t xml:space="preserve"> </w:t>
      </w:r>
      <w:r>
        <w:rPr>
          <w:rFonts w:ascii="Times New Roman" w:hAnsi="Times New Roman" w:cs="Times New Roman"/>
          <w:b/>
          <w:bCs/>
          <w:color w:val="000000"/>
          <w:sz w:val="26"/>
          <w:szCs w:val="26"/>
        </w:rPr>
        <w:t>«МОСКОВСКИЙ ФИНАНСОВО-ПРОМЫШЛЕННЫЙ УНИВЕРСИТЕТ</w:t>
      </w:r>
      <w:r>
        <w:rPr>
          <w:rFonts w:ascii="Times New Roman" w:hAnsi="Times New Roman" w:cs="Times New Roman"/>
          <w:color w:val="000000"/>
          <w:sz w:val="26"/>
          <w:szCs w:val="26"/>
        </w:rPr>
        <w:t xml:space="preserve"> </w:t>
      </w:r>
      <w:r>
        <w:rPr>
          <w:rFonts w:ascii="Times New Roman" w:hAnsi="Times New Roman" w:cs="Times New Roman"/>
          <w:b/>
          <w:bCs/>
          <w:color w:val="000000"/>
          <w:sz w:val="26"/>
          <w:szCs w:val="26"/>
        </w:rPr>
        <w:t>“СИНЕРГИЯ”»</w:t>
      </w:r>
    </w:p>
    <w:p w14:paraId="1D5624BC">
      <w:pPr>
        <w:spacing w:line="276" w:lineRule="auto"/>
        <w:jc w:val="center"/>
        <w:rPr>
          <w:rFonts w:ascii="Times New Roman" w:hAnsi="Times New Roman" w:cs="Times New Roman"/>
          <w:sz w:val="26"/>
          <w:szCs w:val="26"/>
        </w:rPr>
      </w:pP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70"/>
        <w:gridCol w:w="270"/>
        <w:gridCol w:w="5182"/>
      </w:tblGrid>
      <w:tr w14:paraId="7C0408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3118" w:type="dxa"/>
          </w:tcPr>
          <w:p w14:paraId="0CCBF80C">
            <w:pPr>
              <w:spacing w:after="0" w:line="276" w:lineRule="auto"/>
              <w:jc w:val="center"/>
              <w:rPr>
                <w:rFonts w:ascii="Times New Roman" w:hAnsi="Times New Roman" w:cs="Times New Roman"/>
                <w:sz w:val="26"/>
                <w:szCs w:val="26"/>
              </w:rPr>
            </w:pPr>
            <w:r>
              <w:rPr>
                <w:rFonts w:ascii="Times New Roman" w:hAnsi="Times New Roman" w:cs="Times New Roman"/>
                <w:b/>
                <w:bCs/>
                <w:color w:val="000000"/>
                <w:sz w:val="28"/>
                <w:szCs w:val="28"/>
              </w:rPr>
              <w:t>Факультет/Институт</w:t>
            </w:r>
          </w:p>
        </w:tc>
        <w:tc>
          <w:tcPr>
            <w:tcW w:w="283" w:type="dxa"/>
          </w:tcPr>
          <w:p w14:paraId="07F7A8BC">
            <w:pPr>
              <w:spacing w:after="0" w:line="276" w:lineRule="auto"/>
              <w:jc w:val="center"/>
              <w:rPr>
                <w:rFonts w:ascii="Times New Roman" w:hAnsi="Times New Roman" w:cs="Times New Roman"/>
                <w:sz w:val="26"/>
                <w:szCs w:val="26"/>
              </w:rPr>
            </w:pPr>
          </w:p>
        </w:tc>
        <w:tc>
          <w:tcPr>
            <w:tcW w:w="6236" w:type="dxa"/>
            <w:tcBorders>
              <w:bottom w:val="single" w:color="auto" w:sz="4" w:space="0"/>
            </w:tcBorders>
            <w:vAlign w:val="bottom"/>
          </w:tcPr>
          <w:p w14:paraId="4310F140">
            <w:pPr>
              <w:spacing w:after="0" w:line="276" w:lineRule="auto"/>
              <w:jc w:val="center"/>
              <w:rPr>
                <w:rFonts w:ascii="Times New Roman" w:hAnsi="Times New Roman" w:cs="Times New Roman"/>
                <w:sz w:val="28"/>
                <w:szCs w:val="26"/>
              </w:rPr>
            </w:pPr>
            <w:r>
              <w:rPr>
                <w:rFonts w:ascii="Times New Roman" w:hAnsi="Times New Roman" w:cs="Times New Roman"/>
                <w:sz w:val="28"/>
                <w:szCs w:val="26"/>
              </w:rPr>
              <w:t xml:space="preserve">Информационные системы и технологии </w:t>
            </w:r>
          </w:p>
        </w:tc>
      </w:tr>
      <w:tr w14:paraId="34FA27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3118" w:type="dxa"/>
          </w:tcPr>
          <w:p w14:paraId="41BD088B">
            <w:pPr>
              <w:spacing w:after="0" w:line="276" w:lineRule="auto"/>
              <w:jc w:val="center"/>
              <w:rPr>
                <w:rFonts w:ascii="Times New Roman" w:hAnsi="Times New Roman" w:cs="Times New Roman"/>
                <w:sz w:val="26"/>
                <w:szCs w:val="26"/>
              </w:rPr>
            </w:pPr>
          </w:p>
        </w:tc>
        <w:tc>
          <w:tcPr>
            <w:tcW w:w="283" w:type="dxa"/>
          </w:tcPr>
          <w:p w14:paraId="0BFD840E">
            <w:pPr>
              <w:spacing w:after="0" w:line="276" w:lineRule="auto"/>
              <w:jc w:val="center"/>
              <w:rPr>
                <w:rFonts w:ascii="Times New Roman" w:hAnsi="Times New Roman" w:cs="Times New Roman"/>
                <w:sz w:val="26"/>
                <w:szCs w:val="26"/>
              </w:rPr>
            </w:pPr>
          </w:p>
        </w:tc>
        <w:tc>
          <w:tcPr>
            <w:tcW w:w="6236" w:type="dxa"/>
            <w:tcBorders>
              <w:top w:val="single" w:color="auto" w:sz="4" w:space="0"/>
            </w:tcBorders>
          </w:tcPr>
          <w:p w14:paraId="17BFD279">
            <w:pPr>
              <w:spacing w:after="0" w:line="276" w:lineRule="auto"/>
              <w:jc w:val="center"/>
              <w:rPr>
                <w:rFonts w:ascii="Times New Roman" w:hAnsi="Times New Roman" w:cs="Times New Roman"/>
                <w:sz w:val="26"/>
                <w:szCs w:val="26"/>
              </w:rPr>
            </w:pPr>
            <w:r>
              <w:rPr>
                <w:rFonts w:ascii="Times New Roman" w:hAnsi="Times New Roman" w:cs="Times New Roman"/>
                <w:sz w:val="18"/>
                <w:szCs w:val="18"/>
              </w:rPr>
              <w:t>(наименование факультета/ Института)</w:t>
            </w:r>
          </w:p>
        </w:tc>
      </w:tr>
      <w:tr w14:paraId="34A650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3118" w:type="dxa"/>
          </w:tcPr>
          <w:p w14:paraId="7BB9E9CD">
            <w:pPr>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color w:val="000000"/>
              </w:rPr>
              <w:t xml:space="preserve">Направление/специальность </w:t>
            </w:r>
          </w:p>
        </w:tc>
        <w:tc>
          <w:tcPr>
            <w:tcW w:w="283" w:type="dxa"/>
          </w:tcPr>
          <w:p w14:paraId="264B5EE0">
            <w:pPr>
              <w:spacing w:after="0" w:line="276" w:lineRule="auto"/>
              <w:jc w:val="center"/>
              <w:rPr>
                <w:rFonts w:ascii="Times New Roman" w:hAnsi="Times New Roman" w:cs="Times New Roman"/>
                <w:sz w:val="26"/>
                <w:szCs w:val="26"/>
              </w:rPr>
            </w:pPr>
          </w:p>
        </w:tc>
        <w:tc>
          <w:tcPr>
            <w:tcW w:w="6236" w:type="dxa"/>
            <w:tcBorders>
              <w:bottom w:val="single" w:color="auto" w:sz="4" w:space="0"/>
            </w:tcBorders>
            <w:vAlign w:val="center"/>
          </w:tcPr>
          <w:p w14:paraId="34838587">
            <w:pPr>
              <w:spacing w:after="0" w:line="276" w:lineRule="auto"/>
              <w:jc w:val="center"/>
              <w:rPr>
                <w:rFonts w:ascii="Times New Roman" w:hAnsi="Times New Roman" w:cs="Times New Roman"/>
                <w:sz w:val="28"/>
                <w:szCs w:val="26"/>
              </w:rPr>
            </w:pPr>
            <w:r>
              <w:rPr>
                <w:rFonts w:ascii="Times New Roman" w:hAnsi="Times New Roman" w:cs="Times New Roman"/>
                <w:sz w:val="28"/>
                <w:szCs w:val="26"/>
              </w:rPr>
              <w:t>Инструментальные средства информационных систем</w:t>
            </w:r>
          </w:p>
        </w:tc>
      </w:tr>
      <w:tr w14:paraId="25DF03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3118" w:type="dxa"/>
          </w:tcPr>
          <w:p w14:paraId="6B77A51D">
            <w:pPr>
              <w:spacing w:after="0" w:line="240" w:lineRule="auto"/>
              <w:ind w:right="-1"/>
              <w:jc w:val="center"/>
              <w:rPr>
                <w:rFonts w:ascii="Times New Roman" w:hAnsi="Times New Roman" w:cs="Times New Roman"/>
                <w:b/>
                <w:bCs/>
                <w:color w:val="000000"/>
                <w:sz w:val="28"/>
                <w:szCs w:val="28"/>
              </w:rPr>
            </w:pPr>
            <w:r>
              <w:rPr>
                <w:rFonts w:ascii="Times New Roman" w:hAnsi="Times New Roman" w:cs="Times New Roman"/>
                <w:b/>
                <w:bCs/>
                <w:color w:val="000000"/>
              </w:rPr>
              <w:t>подготовки:</w:t>
            </w:r>
          </w:p>
        </w:tc>
        <w:tc>
          <w:tcPr>
            <w:tcW w:w="283" w:type="dxa"/>
          </w:tcPr>
          <w:p w14:paraId="68062A0A">
            <w:pPr>
              <w:spacing w:after="0" w:line="276" w:lineRule="auto"/>
              <w:jc w:val="center"/>
              <w:rPr>
                <w:rFonts w:ascii="Times New Roman" w:hAnsi="Times New Roman" w:cs="Times New Roman"/>
                <w:sz w:val="26"/>
                <w:szCs w:val="26"/>
              </w:rPr>
            </w:pPr>
          </w:p>
        </w:tc>
        <w:tc>
          <w:tcPr>
            <w:tcW w:w="6236" w:type="dxa"/>
            <w:tcBorders>
              <w:top w:val="single" w:color="auto" w:sz="4" w:space="0"/>
            </w:tcBorders>
          </w:tcPr>
          <w:p w14:paraId="4F87C009">
            <w:pPr>
              <w:spacing w:after="0" w:line="240" w:lineRule="auto"/>
              <w:ind w:right="-1"/>
              <w:jc w:val="center"/>
              <w:rPr>
                <w:rFonts w:ascii="Times New Roman" w:hAnsi="Times New Roman" w:cs="Times New Roman"/>
                <w:sz w:val="18"/>
                <w:szCs w:val="18"/>
              </w:rPr>
            </w:pPr>
            <w:r>
              <w:rPr>
                <w:rFonts w:ascii="Times New Roman" w:hAnsi="Times New Roman" w:cs="Times New Roman"/>
                <w:sz w:val="18"/>
                <w:szCs w:val="18"/>
              </w:rPr>
              <w:t>(код и наименование направления /специальности подготовки)</w:t>
            </w:r>
          </w:p>
        </w:tc>
      </w:tr>
      <w:tr w14:paraId="7C414A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3118" w:type="dxa"/>
          </w:tcPr>
          <w:p w14:paraId="7796CE85">
            <w:pPr>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color w:val="000000"/>
              </w:rPr>
              <w:t>Форма обучения</w:t>
            </w:r>
            <w:r>
              <w:rPr>
                <w:rFonts w:ascii="Times New Roman" w:hAnsi="Times New Roman" w:cs="Times New Roman"/>
                <w:b/>
                <w:bCs/>
                <w:color w:val="000000"/>
                <w:sz w:val="28"/>
                <w:szCs w:val="28"/>
              </w:rPr>
              <w:t>:</w:t>
            </w:r>
          </w:p>
        </w:tc>
        <w:tc>
          <w:tcPr>
            <w:tcW w:w="283" w:type="dxa"/>
          </w:tcPr>
          <w:p w14:paraId="6F7DAFE9">
            <w:pPr>
              <w:spacing w:after="0" w:line="276" w:lineRule="auto"/>
              <w:jc w:val="center"/>
              <w:rPr>
                <w:rFonts w:ascii="Times New Roman" w:hAnsi="Times New Roman" w:cs="Times New Roman"/>
                <w:sz w:val="26"/>
                <w:szCs w:val="26"/>
              </w:rPr>
            </w:pPr>
          </w:p>
        </w:tc>
        <w:tc>
          <w:tcPr>
            <w:tcW w:w="6236" w:type="dxa"/>
            <w:tcBorders>
              <w:bottom w:val="single" w:color="auto" w:sz="4" w:space="0"/>
            </w:tcBorders>
            <w:vAlign w:val="center"/>
          </w:tcPr>
          <w:p w14:paraId="43D2778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Очно </w:t>
            </w:r>
          </w:p>
        </w:tc>
      </w:tr>
      <w:tr w14:paraId="7FC669C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3118" w:type="dxa"/>
          </w:tcPr>
          <w:p w14:paraId="6FD1B24E">
            <w:pPr>
              <w:spacing w:after="0" w:line="276" w:lineRule="auto"/>
              <w:jc w:val="center"/>
              <w:rPr>
                <w:rFonts w:ascii="Times New Roman" w:hAnsi="Times New Roman" w:cs="Times New Roman"/>
                <w:sz w:val="26"/>
                <w:szCs w:val="26"/>
              </w:rPr>
            </w:pPr>
          </w:p>
        </w:tc>
        <w:tc>
          <w:tcPr>
            <w:tcW w:w="283" w:type="dxa"/>
          </w:tcPr>
          <w:p w14:paraId="5AB251D8">
            <w:pPr>
              <w:spacing w:after="0" w:line="276" w:lineRule="auto"/>
              <w:jc w:val="center"/>
              <w:rPr>
                <w:rFonts w:ascii="Times New Roman" w:hAnsi="Times New Roman" w:cs="Times New Roman"/>
                <w:sz w:val="26"/>
                <w:szCs w:val="26"/>
              </w:rPr>
            </w:pPr>
          </w:p>
        </w:tc>
        <w:tc>
          <w:tcPr>
            <w:tcW w:w="6236" w:type="dxa"/>
            <w:tcBorders>
              <w:top w:val="single" w:color="auto" w:sz="4" w:space="0"/>
            </w:tcBorders>
          </w:tcPr>
          <w:p w14:paraId="05FAC0E3">
            <w:pPr>
              <w:spacing w:after="0" w:line="240" w:lineRule="auto"/>
              <w:ind w:right="-1"/>
              <w:jc w:val="center"/>
              <w:rPr>
                <w:rFonts w:ascii="Times New Roman" w:hAnsi="Times New Roman" w:cs="Times New Roman"/>
                <w:color w:val="000000"/>
                <w:sz w:val="18"/>
                <w:szCs w:val="18"/>
              </w:rPr>
            </w:pPr>
            <w:r>
              <w:rPr>
                <w:rFonts w:ascii="Times New Roman" w:hAnsi="Times New Roman" w:cs="Times New Roman"/>
                <w:color w:val="000000"/>
                <w:sz w:val="18"/>
                <w:szCs w:val="18"/>
              </w:rPr>
              <w:t>(очная, очно-заочная, заочная)</w:t>
            </w:r>
          </w:p>
        </w:tc>
      </w:tr>
      <w:tr w14:paraId="63C87A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3118" w:type="dxa"/>
          </w:tcPr>
          <w:p w14:paraId="79D4E2A9">
            <w:pPr>
              <w:spacing w:after="0" w:line="276" w:lineRule="auto"/>
              <w:jc w:val="center"/>
              <w:rPr>
                <w:rFonts w:ascii="Times New Roman" w:hAnsi="Times New Roman" w:cs="Times New Roman"/>
                <w:sz w:val="26"/>
                <w:szCs w:val="26"/>
              </w:rPr>
            </w:pPr>
          </w:p>
        </w:tc>
        <w:tc>
          <w:tcPr>
            <w:tcW w:w="283" w:type="dxa"/>
          </w:tcPr>
          <w:p w14:paraId="770878D5">
            <w:pPr>
              <w:spacing w:after="0" w:line="276" w:lineRule="auto"/>
              <w:jc w:val="center"/>
              <w:rPr>
                <w:rFonts w:ascii="Times New Roman" w:hAnsi="Times New Roman" w:cs="Times New Roman"/>
                <w:sz w:val="26"/>
                <w:szCs w:val="26"/>
              </w:rPr>
            </w:pPr>
          </w:p>
        </w:tc>
        <w:tc>
          <w:tcPr>
            <w:tcW w:w="6236" w:type="dxa"/>
          </w:tcPr>
          <w:p w14:paraId="1B1084EF">
            <w:pPr>
              <w:spacing w:after="0" w:line="276" w:lineRule="auto"/>
              <w:jc w:val="center"/>
              <w:rPr>
                <w:rFonts w:ascii="Times New Roman" w:hAnsi="Times New Roman" w:cs="Times New Roman"/>
                <w:sz w:val="26"/>
                <w:szCs w:val="26"/>
              </w:rPr>
            </w:pPr>
          </w:p>
        </w:tc>
      </w:tr>
    </w:tbl>
    <w:p w14:paraId="1D122FC4">
      <w:pPr>
        <w:spacing w:line="276" w:lineRule="auto"/>
        <w:jc w:val="center"/>
        <w:rPr>
          <w:rFonts w:ascii="Times New Roman" w:hAnsi="Times New Roman" w:cs="Times New Roman"/>
          <w:sz w:val="28"/>
          <w:szCs w:val="26"/>
        </w:rPr>
      </w:pPr>
    </w:p>
    <w:p w14:paraId="5DBF430D">
      <w:pPr>
        <w:spacing w:line="276" w:lineRule="auto"/>
        <w:jc w:val="center"/>
        <w:rPr>
          <w:rFonts w:ascii="Times New Roman" w:hAnsi="Times New Roman" w:cs="Times New Roman"/>
          <w:sz w:val="26"/>
          <w:szCs w:val="26"/>
        </w:rPr>
      </w:pPr>
    </w:p>
    <w:p w14:paraId="0D7C2331">
      <w:pPr>
        <w:spacing w:line="276" w:lineRule="auto"/>
        <w:jc w:val="center"/>
        <w:rPr>
          <w:rFonts w:hint="default" w:ascii="Times New Roman" w:hAnsi="Times New Roman" w:cs="Times New Roman"/>
          <w:b/>
          <w:bCs/>
          <w:color w:val="FF0000"/>
          <w:sz w:val="28"/>
          <w:szCs w:val="28"/>
          <w:lang w:val="ru-RU"/>
        </w:rPr>
      </w:pPr>
      <w:r>
        <w:rPr>
          <w:rFonts w:ascii="Times New Roman" w:hAnsi="Times New Roman" w:cs="Times New Roman"/>
          <w:b/>
          <w:bCs/>
          <w:color w:val="000000" w:themeColor="text1"/>
          <w:sz w:val="28"/>
          <w:szCs w:val="28"/>
          <w:lang w:val="ru-RU"/>
          <w14:textFill>
            <w14:solidFill>
              <w14:schemeClr w14:val="tx1"/>
            </w14:solidFill>
          </w14:textFill>
        </w:rPr>
        <w:t>Реферат</w:t>
      </w:r>
      <w:r>
        <w:rPr>
          <w:rFonts w:hint="default" w:ascii="Times New Roman" w:hAnsi="Times New Roman" w:cs="Times New Roman"/>
          <w:b/>
          <w:bCs/>
          <w:color w:val="FF0000"/>
          <w:sz w:val="28"/>
          <w:szCs w:val="28"/>
          <w:lang w:val="ru-RU"/>
        </w:rPr>
        <w:t xml:space="preserve"> </w:t>
      </w:r>
    </w:p>
    <w:tbl>
      <w:tblPr>
        <w:tblStyle w:val="8"/>
        <w:tblW w:w="963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283"/>
        <w:gridCol w:w="568"/>
        <w:gridCol w:w="283"/>
        <w:gridCol w:w="7087"/>
      </w:tblGrid>
      <w:tr w14:paraId="2DD812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7" w:type="dxa"/>
          </w:tcPr>
          <w:p w14:paraId="6E5EBDA1">
            <w:pPr>
              <w:spacing w:after="0" w:line="276" w:lineRule="auto"/>
              <w:rPr>
                <w:rFonts w:ascii="Times New Roman" w:hAnsi="Times New Roman" w:cs="Times New Roman"/>
                <w:sz w:val="26"/>
                <w:szCs w:val="26"/>
              </w:rPr>
            </w:pPr>
            <w:r>
              <w:rPr>
                <w:rFonts w:ascii="Times New Roman" w:hAnsi="Times New Roman" w:cs="Times New Roman"/>
                <w:b/>
                <w:bCs/>
                <w:color w:val="000000"/>
                <w:sz w:val="28"/>
                <w:szCs w:val="28"/>
              </w:rPr>
              <w:t>на тему</w:t>
            </w:r>
          </w:p>
        </w:tc>
        <w:tc>
          <w:tcPr>
            <w:tcW w:w="283" w:type="dxa"/>
          </w:tcPr>
          <w:p w14:paraId="439DB77C">
            <w:pPr>
              <w:spacing w:after="0" w:line="276" w:lineRule="auto"/>
              <w:jc w:val="center"/>
              <w:rPr>
                <w:rFonts w:ascii="Times New Roman" w:hAnsi="Times New Roman" w:cs="Times New Roman"/>
                <w:sz w:val="26"/>
                <w:szCs w:val="26"/>
              </w:rPr>
            </w:pPr>
          </w:p>
        </w:tc>
        <w:tc>
          <w:tcPr>
            <w:tcW w:w="7938" w:type="dxa"/>
            <w:gridSpan w:val="3"/>
            <w:tcBorders>
              <w:bottom w:val="single" w:color="auto" w:sz="4" w:space="0"/>
            </w:tcBorders>
            <w:vAlign w:val="bottom"/>
          </w:tcPr>
          <w:p w14:paraId="1494DC67">
            <w:pPr>
              <w:spacing w:after="0" w:line="276" w:lineRule="auto"/>
              <w:jc w:val="center"/>
              <w:rPr>
                <w:rFonts w:ascii="Times New Roman" w:hAnsi="Times New Roman" w:cs="Times New Roman"/>
                <w:sz w:val="26"/>
                <w:szCs w:val="26"/>
              </w:rPr>
            </w:pPr>
            <w:r>
              <w:rPr>
                <w:rFonts w:hint="default" w:ascii="Times New Roman" w:hAnsi="Times New Roman" w:eastAsia="Tahoma" w:cs="Times New Roman"/>
                <w:i w:val="0"/>
                <w:iCs w:val="0"/>
                <w:caps w:val="0"/>
                <w:color w:val="292929"/>
                <w:spacing w:val="0"/>
                <w:sz w:val="32"/>
                <w:szCs w:val="32"/>
                <w:shd w:val="clear" w:fill="FFFFFF"/>
              </w:rPr>
              <w:t>Критерии выбора и классификация методологий создания архитектур предприятий</w:t>
            </w:r>
          </w:p>
        </w:tc>
      </w:tr>
      <w:tr w14:paraId="7A5E24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7" w:type="dxa"/>
          </w:tcPr>
          <w:p w14:paraId="554752C9">
            <w:pPr>
              <w:spacing w:after="0" w:line="276" w:lineRule="auto"/>
              <w:jc w:val="center"/>
              <w:rPr>
                <w:rFonts w:ascii="Times New Roman" w:hAnsi="Times New Roman" w:cs="Times New Roman"/>
                <w:sz w:val="26"/>
                <w:szCs w:val="26"/>
              </w:rPr>
            </w:pPr>
          </w:p>
        </w:tc>
        <w:tc>
          <w:tcPr>
            <w:tcW w:w="283" w:type="dxa"/>
          </w:tcPr>
          <w:p w14:paraId="2C3FC08A">
            <w:pPr>
              <w:spacing w:after="0" w:line="276" w:lineRule="auto"/>
              <w:jc w:val="center"/>
              <w:rPr>
                <w:rFonts w:ascii="Times New Roman" w:hAnsi="Times New Roman" w:cs="Times New Roman"/>
                <w:sz w:val="26"/>
                <w:szCs w:val="26"/>
              </w:rPr>
            </w:pPr>
          </w:p>
        </w:tc>
        <w:tc>
          <w:tcPr>
            <w:tcW w:w="7938" w:type="dxa"/>
            <w:gridSpan w:val="3"/>
            <w:tcBorders>
              <w:top w:val="single" w:color="auto" w:sz="4" w:space="0"/>
            </w:tcBorders>
          </w:tcPr>
          <w:p w14:paraId="24CA279B">
            <w:pPr>
              <w:spacing w:after="0" w:line="276" w:lineRule="auto"/>
              <w:jc w:val="center"/>
              <w:rPr>
                <w:rFonts w:ascii="Times New Roman" w:hAnsi="Times New Roman" w:cs="Times New Roman"/>
                <w:sz w:val="26"/>
                <w:szCs w:val="26"/>
              </w:rPr>
            </w:pPr>
            <w:r>
              <w:rPr>
                <w:rFonts w:ascii="Times New Roman" w:hAnsi="Times New Roman" w:cs="Times New Roman"/>
                <w:sz w:val="18"/>
                <w:szCs w:val="18"/>
              </w:rPr>
              <w:t>(наименование темы)</w:t>
            </w:r>
            <w:bookmarkStart w:id="6" w:name="_GoBack"/>
            <w:bookmarkEnd w:id="6"/>
          </w:p>
        </w:tc>
      </w:tr>
      <w:tr w14:paraId="5F6EF4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7" w:type="dxa"/>
          </w:tcPr>
          <w:p w14:paraId="08BE339D">
            <w:pPr>
              <w:spacing w:after="0" w:line="276" w:lineRule="auto"/>
              <w:jc w:val="center"/>
              <w:rPr>
                <w:rFonts w:ascii="Times New Roman" w:hAnsi="Times New Roman" w:cs="Times New Roman"/>
                <w:sz w:val="26"/>
                <w:szCs w:val="26"/>
              </w:rPr>
            </w:pPr>
          </w:p>
        </w:tc>
        <w:tc>
          <w:tcPr>
            <w:tcW w:w="283" w:type="dxa"/>
          </w:tcPr>
          <w:p w14:paraId="03CED3F2">
            <w:pPr>
              <w:spacing w:after="0" w:line="276" w:lineRule="auto"/>
              <w:jc w:val="center"/>
              <w:rPr>
                <w:rFonts w:ascii="Times New Roman" w:hAnsi="Times New Roman" w:cs="Times New Roman"/>
                <w:sz w:val="26"/>
                <w:szCs w:val="26"/>
              </w:rPr>
            </w:pPr>
          </w:p>
        </w:tc>
        <w:tc>
          <w:tcPr>
            <w:tcW w:w="7938" w:type="dxa"/>
            <w:gridSpan w:val="3"/>
            <w:tcBorders>
              <w:bottom w:val="single" w:color="auto" w:sz="4" w:space="0"/>
            </w:tcBorders>
          </w:tcPr>
          <w:p w14:paraId="30A5B073">
            <w:pPr>
              <w:spacing w:after="0" w:line="276" w:lineRule="auto"/>
              <w:jc w:val="center"/>
              <w:rPr>
                <w:rFonts w:ascii="Times New Roman" w:hAnsi="Times New Roman" w:cs="Times New Roman"/>
                <w:sz w:val="26"/>
                <w:szCs w:val="26"/>
              </w:rPr>
            </w:pPr>
          </w:p>
        </w:tc>
      </w:tr>
      <w:tr w14:paraId="5328D2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8" w:type="dxa"/>
            <w:gridSpan w:val="3"/>
          </w:tcPr>
          <w:p w14:paraId="3EB36D0A">
            <w:pPr>
              <w:spacing w:after="0" w:line="276" w:lineRule="auto"/>
              <w:rPr>
                <w:rFonts w:ascii="Times New Roman" w:hAnsi="Times New Roman" w:cs="Times New Roman"/>
                <w:b/>
                <w:bCs/>
                <w:color w:val="000000"/>
                <w:sz w:val="30"/>
                <w:szCs w:val="28"/>
              </w:rPr>
            </w:pPr>
          </w:p>
          <w:p w14:paraId="046AF46D">
            <w:pPr>
              <w:spacing w:after="0" w:line="276" w:lineRule="auto"/>
              <w:rPr>
                <w:rFonts w:ascii="Times New Roman" w:hAnsi="Times New Roman" w:cs="Times New Roman"/>
                <w:sz w:val="26"/>
                <w:szCs w:val="26"/>
              </w:rPr>
            </w:pPr>
            <w:r>
              <w:rPr>
                <w:rFonts w:ascii="Times New Roman" w:hAnsi="Times New Roman" w:cs="Times New Roman"/>
                <w:b/>
                <w:bCs/>
                <w:color w:val="000000"/>
                <w:sz w:val="30"/>
                <w:szCs w:val="28"/>
              </w:rPr>
              <w:t>по дисциплине</w:t>
            </w:r>
          </w:p>
        </w:tc>
        <w:tc>
          <w:tcPr>
            <w:tcW w:w="283" w:type="dxa"/>
            <w:tcBorders>
              <w:top w:val="single" w:color="auto" w:sz="4" w:space="0"/>
            </w:tcBorders>
          </w:tcPr>
          <w:p w14:paraId="162F9A45">
            <w:pPr>
              <w:spacing w:after="0" w:line="276" w:lineRule="auto"/>
              <w:jc w:val="center"/>
              <w:rPr>
                <w:rFonts w:ascii="Times New Roman" w:hAnsi="Times New Roman" w:cs="Times New Roman"/>
                <w:sz w:val="26"/>
                <w:szCs w:val="26"/>
              </w:rPr>
            </w:pPr>
          </w:p>
        </w:tc>
        <w:tc>
          <w:tcPr>
            <w:tcW w:w="7087" w:type="dxa"/>
            <w:tcBorders>
              <w:top w:val="single" w:color="auto" w:sz="4" w:space="0"/>
              <w:bottom w:val="single" w:color="auto" w:sz="4" w:space="0"/>
            </w:tcBorders>
            <w:vAlign w:val="bottom"/>
          </w:tcPr>
          <w:p w14:paraId="552DA53C">
            <w:pPr>
              <w:pStyle w:val="9"/>
              <w:rPr>
                <w:rFonts w:ascii="Times New Roman" w:hAnsi="Times New Roman" w:cs="Times New Roman"/>
                <w:sz w:val="28"/>
                <w:szCs w:val="28"/>
              </w:rPr>
            </w:pPr>
            <w:r>
              <w:rPr>
                <w:rFonts w:ascii="Times New Roman" w:hAnsi="Times New Roman" w:cs="Times New Roman"/>
                <w:sz w:val="28"/>
                <w:szCs w:val="28"/>
              </w:rPr>
              <w:t xml:space="preserve">  Инструментальные средства информационных систем</w:t>
            </w:r>
          </w:p>
        </w:tc>
      </w:tr>
      <w:tr w14:paraId="5E63B1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8" w:type="dxa"/>
            <w:gridSpan w:val="3"/>
          </w:tcPr>
          <w:p w14:paraId="60101697">
            <w:pPr>
              <w:spacing w:after="0" w:line="276" w:lineRule="auto"/>
              <w:jc w:val="center"/>
              <w:rPr>
                <w:rFonts w:ascii="Times New Roman" w:hAnsi="Times New Roman" w:cs="Times New Roman"/>
                <w:sz w:val="26"/>
                <w:szCs w:val="26"/>
              </w:rPr>
            </w:pPr>
          </w:p>
        </w:tc>
        <w:tc>
          <w:tcPr>
            <w:tcW w:w="283" w:type="dxa"/>
          </w:tcPr>
          <w:p w14:paraId="643F8A13">
            <w:pPr>
              <w:spacing w:after="0" w:line="276" w:lineRule="auto"/>
              <w:jc w:val="center"/>
              <w:rPr>
                <w:rFonts w:ascii="Times New Roman" w:hAnsi="Times New Roman" w:cs="Times New Roman"/>
                <w:sz w:val="26"/>
                <w:szCs w:val="26"/>
              </w:rPr>
            </w:pPr>
          </w:p>
        </w:tc>
        <w:tc>
          <w:tcPr>
            <w:tcW w:w="7087" w:type="dxa"/>
            <w:tcBorders>
              <w:top w:val="single" w:color="auto" w:sz="4" w:space="0"/>
            </w:tcBorders>
          </w:tcPr>
          <w:p w14:paraId="74A0F854">
            <w:pPr>
              <w:spacing w:after="0" w:line="276" w:lineRule="auto"/>
              <w:jc w:val="center"/>
              <w:rPr>
                <w:rFonts w:ascii="Times New Roman" w:hAnsi="Times New Roman" w:cs="Times New Roman"/>
                <w:sz w:val="26"/>
                <w:szCs w:val="26"/>
              </w:rPr>
            </w:pPr>
            <w:r>
              <w:rPr>
                <w:rFonts w:ascii="Times New Roman" w:hAnsi="Times New Roman" w:cs="Times New Roman"/>
                <w:color w:val="000000"/>
                <w:sz w:val="18"/>
                <w:szCs w:val="18"/>
              </w:rPr>
              <w:t>(наименование дисциплины)</w:t>
            </w:r>
          </w:p>
        </w:tc>
      </w:tr>
    </w:tbl>
    <w:p w14:paraId="31945632">
      <w:pPr>
        <w:spacing w:line="276" w:lineRule="auto"/>
        <w:jc w:val="center"/>
        <w:rPr>
          <w:rFonts w:ascii="Times New Roman" w:hAnsi="Times New Roman" w:cs="Times New Roman"/>
          <w:sz w:val="18"/>
          <w:szCs w:val="26"/>
        </w:rPr>
      </w:pPr>
    </w:p>
    <w:p w14:paraId="22BB837F">
      <w:pPr>
        <w:spacing w:line="276" w:lineRule="auto"/>
        <w:jc w:val="center"/>
        <w:rPr>
          <w:rFonts w:ascii="Times New Roman" w:hAnsi="Times New Roman" w:cs="Times New Roman"/>
          <w:sz w:val="26"/>
          <w:szCs w:val="26"/>
        </w:rPr>
      </w:pP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61"/>
        <w:gridCol w:w="267"/>
        <w:gridCol w:w="4260"/>
        <w:gridCol w:w="268"/>
        <w:gridCol w:w="1666"/>
      </w:tblGrid>
      <w:tr w14:paraId="738518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061" w:type="dxa"/>
          </w:tcPr>
          <w:p w14:paraId="0EB075FB">
            <w:pPr>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Обучающийся</w:t>
            </w:r>
          </w:p>
        </w:tc>
        <w:tc>
          <w:tcPr>
            <w:tcW w:w="283" w:type="dxa"/>
          </w:tcPr>
          <w:p w14:paraId="22AAE5AB">
            <w:pPr>
              <w:spacing w:after="0" w:line="276" w:lineRule="auto"/>
              <w:jc w:val="center"/>
              <w:rPr>
                <w:rFonts w:ascii="Times New Roman" w:hAnsi="Times New Roman" w:cs="Times New Roman"/>
                <w:sz w:val="26"/>
                <w:szCs w:val="26"/>
              </w:rPr>
            </w:pPr>
          </w:p>
        </w:tc>
        <w:tc>
          <w:tcPr>
            <w:tcW w:w="5046" w:type="dxa"/>
            <w:tcBorders>
              <w:bottom w:val="single" w:color="auto" w:sz="4" w:space="0"/>
            </w:tcBorders>
            <w:vAlign w:val="bottom"/>
          </w:tcPr>
          <w:p w14:paraId="11398F8A">
            <w:pPr>
              <w:spacing w:after="0" w:line="276" w:lineRule="auto"/>
              <w:rPr>
                <w:rFonts w:hint="default" w:ascii="Times New Roman" w:hAnsi="Times New Roman" w:cs="Times New Roman"/>
                <w:sz w:val="26"/>
                <w:szCs w:val="26"/>
                <w:lang w:val="ru-RU"/>
              </w:rPr>
            </w:pPr>
            <w:r>
              <w:rPr>
                <w:rFonts w:hint="default" w:ascii="Times New Roman" w:hAnsi="Times New Roman" w:cs="Times New Roman"/>
                <w:sz w:val="26"/>
                <w:szCs w:val="26"/>
                <w:lang w:val="ru-RU"/>
              </w:rPr>
              <w:t>Гапуржонов Сардорбек Урмонжонович</w:t>
            </w:r>
          </w:p>
        </w:tc>
        <w:tc>
          <w:tcPr>
            <w:tcW w:w="283" w:type="dxa"/>
          </w:tcPr>
          <w:p w14:paraId="6844605F">
            <w:pPr>
              <w:spacing w:after="0" w:line="276" w:lineRule="auto"/>
              <w:jc w:val="center"/>
              <w:rPr>
                <w:rFonts w:ascii="Times New Roman" w:hAnsi="Times New Roman" w:cs="Times New Roman"/>
                <w:sz w:val="26"/>
                <w:szCs w:val="26"/>
              </w:rPr>
            </w:pPr>
          </w:p>
        </w:tc>
        <w:tc>
          <w:tcPr>
            <w:tcW w:w="1930" w:type="dxa"/>
            <w:tcBorders>
              <w:bottom w:val="single" w:color="auto" w:sz="4" w:space="0"/>
            </w:tcBorders>
          </w:tcPr>
          <w:p w14:paraId="2232020B">
            <w:pPr>
              <w:spacing w:after="0" w:line="276" w:lineRule="auto"/>
              <w:jc w:val="center"/>
              <w:rPr>
                <w:rFonts w:ascii="Times New Roman" w:hAnsi="Times New Roman" w:cs="Times New Roman"/>
                <w:sz w:val="26"/>
                <w:szCs w:val="26"/>
              </w:rPr>
            </w:pPr>
          </w:p>
        </w:tc>
      </w:tr>
      <w:tr w14:paraId="6E3D60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061" w:type="dxa"/>
          </w:tcPr>
          <w:p w14:paraId="53FDF27B">
            <w:pPr>
              <w:spacing w:after="0" w:line="276" w:lineRule="auto"/>
              <w:rPr>
                <w:rFonts w:ascii="Times New Roman" w:hAnsi="Times New Roman" w:cs="Times New Roman"/>
                <w:sz w:val="26"/>
                <w:szCs w:val="26"/>
              </w:rPr>
            </w:pPr>
          </w:p>
        </w:tc>
        <w:tc>
          <w:tcPr>
            <w:tcW w:w="283" w:type="dxa"/>
          </w:tcPr>
          <w:p w14:paraId="504C3B10">
            <w:pPr>
              <w:spacing w:after="0" w:line="276" w:lineRule="auto"/>
              <w:jc w:val="center"/>
              <w:rPr>
                <w:rFonts w:ascii="Times New Roman" w:hAnsi="Times New Roman" w:cs="Times New Roman"/>
                <w:sz w:val="26"/>
                <w:szCs w:val="26"/>
              </w:rPr>
            </w:pPr>
          </w:p>
        </w:tc>
        <w:tc>
          <w:tcPr>
            <w:tcW w:w="5046" w:type="dxa"/>
            <w:tcBorders>
              <w:top w:val="single" w:color="auto" w:sz="4" w:space="0"/>
            </w:tcBorders>
          </w:tcPr>
          <w:p w14:paraId="1782C19C">
            <w:pPr>
              <w:spacing w:after="0" w:line="276" w:lineRule="auto"/>
              <w:jc w:val="center"/>
              <w:rPr>
                <w:rFonts w:ascii="Times New Roman" w:hAnsi="Times New Roman" w:cs="Times New Roman"/>
                <w:sz w:val="26"/>
                <w:szCs w:val="26"/>
              </w:rPr>
            </w:pPr>
            <w:r>
              <w:rPr>
                <w:rFonts w:ascii="Times New Roman" w:hAnsi="Times New Roman" w:cs="Times New Roman"/>
                <w:color w:val="000000"/>
                <w:sz w:val="16"/>
                <w:szCs w:val="16"/>
              </w:rPr>
              <w:t>(ФИО)</w:t>
            </w:r>
          </w:p>
        </w:tc>
        <w:tc>
          <w:tcPr>
            <w:tcW w:w="283" w:type="dxa"/>
          </w:tcPr>
          <w:p w14:paraId="0E4A4DA0">
            <w:pPr>
              <w:spacing w:after="0" w:line="276" w:lineRule="auto"/>
              <w:jc w:val="center"/>
              <w:rPr>
                <w:rFonts w:ascii="Times New Roman" w:hAnsi="Times New Roman" w:cs="Times New Roman"/>
                <w:sz w:val="26"/>
                <w:szCs w:val="26"/>
              </w:rPr>
            </w:pPr>
          </w:p>
        </w:tc>
        <w:tc>
          <w:tcPr>
            <w:tcW w:w="1930" w:type="dxa"/>
            <w:tcBorders>
              <w:top w:val="single" w:color="auto" w:sz="4" w:space="0"/>
            </w:tcBorders>
          </w:tcPr>
          <w:p w14:paraId="53909F55">
            <w:pPr>
              <w:spacing w:after="0" w:line="276" w:lineRule="auto"/>
              <w:jc w:val="center"/>
              <w:rPr>
                <w:rFonts w:ascii="Times New Roman" w:hAnsi="Times New Roman" w:cs="Times New Roman"/>
                <w:sz w:val="26"/>
                <w:szCs w:val="26"/>
              </w:rPr>
            </w:pPr>
            <w:r>
              <w:rPr>
                <w:rFonts w:ascii="Times New Roman" w:hAnsi="Times New Roman" w:cs="Times New Roman"/>
                <w:color w:val="000000"/>
                <w:sz w:val="16"/>
                <w:szCs w:val="16"/>
              </w:rPr>
              <w:t>(подпись)</w:t>
            </w:r>
          </w:p>
        </w:tc>
      </w:tr>
      <w:tr w14:paraId="5E46D8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061" w:type="dxa"/>
          </w:tcPr>
          <w:p w14:paraId="439EEE65">
            <w:pPr>
              <w:spacing w:after="0" w:line="276" w:lineRule="auto"/>
              <w:rPr>
                <w:rFonts w:ascii="Times New Roman" w:hAnsi="Times New Roman" w:cs="Times New Roman"/>
                <w:sz w:val="26"/>
                <w:szCs w:val="26"/>
              </w:rPr>
            </w:pPr>
            <w:r>
              <w:rPr>
                <w:rFonts w:ascii="Times New Roman" w:hAnsi="Times New Roman" w:cs="Times New Roman"/>
                <w:b/>
                <w:bCs/>
                <w:color w:val="000000"/>
                <w:sz w:val="28"/>
                <w:szCs w:val="28"/>
              </w:rPr>
              <w:t>Группа</w:t>
            </w:r>
          </w:p>
        </w:tc>
        <w:tc>
          <w:tcPr>
            <w:tcW w:w="283" w:type="dxa"/>
          </w:tcPr>
          <w:p w14:paraId="432C68F1">
            <w:pPr>
              <w:spacing w:after="0" w:line="276" w:lineRule="auto"/>
              <w:jc w:val="center"/>
              <w:rPr>
                <w:rFonts w:ascii="Times New Roman" w:hAnsi="Times New Roman" w:cs="Times New Roman"/>
                <w:sz w:val="26"/>
                <w:szCs w:val="26"/>
              </w:rPr>
            </w:pPr>
          </w:p>
        </w:tc>
        <w:tc>
          <w:tcPr>
            <w:tcW w:w="5046" w:type="dxa"/>
            <w:tcBorders>
              <w:bottom w:val="single" w:color="auto" w:sz="4" w:space="0"/>
            </w:tcBorders>
            <w:vAlign w:val="bottom"/>
          </w:tcPr>
          <w:p w14:paraId="19C2ADA2">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ВБИО 20</w:t>
            </w:r>
            <w:r>
              <w:rPr>
                <w:rFonts w:hint="default" w:ascii="Times New Roman" w:hAnsi="Times New Roman" w:cs="Times New Roman"/>
                <w:sz w:val="26"/>
                <w:szCs w:val="26"/>
                <w:lang w:val="ru-RU"/>
              </w:rPr>
              <w:t>1</w:t>
            </w:r>
            <w:r>
              <w:rPr>
                <w:rFonts w:ascii="Times New Roman" w:hAnsi="Times New Roman" w:cs="Times New Roman"/>
                <w:sz w:val="26"/>
                <w:szCs w:val="26"/>
              </w:rPr>
              <w:t xml:space="preserve">рсоб </w:t>
            </w:r>
          </w:p>
        </w:tc>
        <w:tc>
          <w:tcPr>
            <w:tcW w:w="283" w:type="dxa"/>
          </w:tcPr>
          <w:p w14:paraId="5C8BEFA6">
            <w:pPr>
              <w:spacing w:after="0" w:line="276" w:lineRule="auto"/>
              <w:jc w:val="center"/>
              <w:rPr>
                <w:rFonts w:ascii="Times New Roman" w:hAnsi="Times New Roman" w:cs="Times New Roman"/>
                <w:sz w:val="26"/>
                <w:szCs w:val="26"/>
              </w:rPr>
            </w:pPr>
          </w:p>
        </w:tc>
        <w:tc>
          <w:tcPr>
            <w:tcW w:w="1930" w:type="dxa"/>
          </w:tcPr>
          <w:p w14:paraId="7F759E4C">
            <w:pPr>
              <w:spacing w:after="0" w:line="276" w:lineRule="auto"/>
              <w:jc w:val="center"/>
              <w:rPr>
                <w:rFonts w:ascii="Times New Roman" w:hAnsi="Times New Roman" w:cs="Times New Roman"/>
                <w:sz w:val="26"/>
                <w:szCs w:val="26"/>
              </w:rPr>
            </w:pPr>
          </w:p>
        </w:tc>
      </w:tr>
      <w:tr w14:paraId="020F1E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061" w:type="dxa"/>
          </w:tcPr>
          <w:p w14:paraId="5EEC68F6">
            <w:pPr>
              <w:spacing w:after="0" w:line="276" w:lineRule="auto"/>
              <w:rPr>
                <w:rFonts w:ascii="Times New Roman" w:hAnsi="Times New Roman" w:cs="Times New Roman"/>
                <w:sz w:val="26"/>
                <w:szCs w:val="26"/>
              </w:rPr>
            </w:pPr>
          </w:p>
        </w:tc>
        <w:tc>
          <w:tcPr>
            <w:tcW w:w="283" w:type="dxa"/>
          </w:tcPr>
          <w:p w14:paraId="2E8383A1">
            <w:pPr>
              <w:spacing w:after="0" w:line="276" w:lineRule="auto"/>
              <w:jc w:val="center"/>
              <w:rPr>
                <w:rFonts w:ascii="Times New Roman" w:hAnsi="Times New Roman" w:cs="Times New Roman"/>
                <w:sz w:val="26"/>
                <w:szCs w:val="26"/>
              </w:rPr>
            </w:pPr>
          </w:p>
        </w:tc>
        <w:tc>
          <w:tcPr>
            <w:tcW w:w="5046" w:type="dxa"/>
            <w:tcBorders>
              <w:top w:val="single" w:color="auto" w:sz="4" w:space="0"/>
            </w:tcBorders>
          </w:tcPr>
          <w:p w14:paraId="065D7E4D">
            <w:pPr>
              <w:spacing w:after="0" w:line="276" w:lineRule="auto"/>
              <w:jc w:val="center"/>
              <w:rPr>
                <w:rFonts w:ascii="Times New Roman" w:hAnsi="Times New Roman" w:cs="Times New Roman"/>
                <w:sz w:val="26"/>
                <w:szCs w:val="26"/>
              </w:rPr>
            </w:pPr>
          </w:p>
        </w:tc>
        <w:tc>
          <w:tcPr>
            <w:tcW w:w="283" w:type="dxa"/>
          </w:tcPr>
          <w:p w14:paraId="4BC2F609">
            <w:pPr>
              <w:spacing w:after="0" w:line="276" w:lineRule="auto"/>
              <w:jc w:val="center"/>
              <w:rPr>
                <w:rFonts w:ascii="Times New Roman" w:hAnsi="Times New Roman" w:cs="Times New Roman"/>
                <w:sz w:val="26"/>
                <w:szCs w:val="26"/>
              </w:rPr>
            </w:pPr>
          </w:p>
        </w:tc>
        <w:tc>
          <w:tcPr>
            <w:tcW w:w="1930" w:type="dxa"/>
          </w:tcPr>
          <w:p w14:paraId="11659B9A">
            <w:pPr>
              <w:spacing w:after="0" w:line="276" w:lineRule="auto"/>
              <w:jc w:val="center"/>
              <w:rPr>
                <w:rFonts w:ascii="Times New Roman" w:hAnsi="Times New Roman" w:cs="Times New Roman"/>
                <w:sz w:val="26"/>
                <w:szCs w:val="26"/>
              </w:rPr>
            </w:pPr>
          </w:p>
        </w:tc>
      </w:tr>
    </w:tbl>
    <w:p w14:paraId="191B108E">
      <w:pPr>
        <w:spacing w:line="276" w:lineRule="auto"/>
        <w:jc w:val="center"/>
        <w:rPr>
          <w:rFonts w:ascii="Times New Roman" w:hAnsi="Times New Roman" w:cs="Times New Roman"/>
          <w:sz w:val="26"/>
          <w:szCs w:val="26"/>
        </w:rPr>
      </w:pPr>
    </w:p>
    <w:p w14:paraId="3E56CD89">
      <w:pPr>
        <w:spacing w:line="276" w:lineRule="auto"/>
        <w:jc w:val="center"/>
        <w:rPr>
          <w:rFonts w:ascii="Times New Roman" w:hAnsi="Times New Roman" w:cs="Times New Roman"/>
          <w:sz w:val="26"/>
          <w:szCs w:val="26"/>
        </w:rPr>
      </w:pPr>
    </w:p>
    <w:tbl>
      <w:tblPr>
        <w:tblStyle w:val="8"/>
        <w:tblW w:w="957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55"/>
        <w:gridCol w:w="283"/>
        <w:gridCol w:w="4932"/>
        <w:gridCol w:w="283"/>
        <w:gridCol w:w="1918"/>
      </w:tblGrid>
      <w:tr w14:paraId="36E8DE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5" w:type="dxa"/>
          </w:tcPr>
          <w:p w14:paraId="2317E939">
            <w:pPr>
              <w:spacing w:after="0" w:line="276" w:lineRule="auto"/>
              <w:rPr>
                <w:rFonts w:ascii="Times New Roman" w:hAnsi="Times New Roman" w:cs="Times New Roman"/>
                <w:sz w:val="26"/>
                <w:szCs w:val="26"/>
              </w:rPr>
            </w:pPr>
            <w:r>
              <w:rPr>
                <w:rFonts w:ascii="Times New Roman" w:hAnsi="Times New Roman" w:cs="Times New Roman"/>
                <w:b/>
                <w:bCs/>
                <w:color w:val="000000"/>
                <w:sz w:val="28"/>
                <w:szCs w:val="28"/>
              </w:rPr>
              <w:t>Преподаватель</w:t>
            </w:r>
          </w:p>
        </w:tc>
        <w:tc>
          <w:tcPr>
            <w:tcW w:w="283" w:type="dxa"/>
          </w:tcPr>
          <w:p w14:paraId="675AEB20">
            <w:pPr>
              <w:spacing w:after="0" w:line="276" w:lineRule="auto"/>
              <w:jc w:val="center"/>
              <w:rPr>
                <w:rFonts w:ascii="Times New Roman" w:hAnsi="Times New Roman" w:cs="Times New Roman"/>
                <w:sz w:val="26"/>
                <w:szCs w:val="26"/>
              </w:rPr>
            </w:pPr>
          </w:p>
        </w:tc>
        <w:tc>
          <w:tcPr>
            <w:tcW w:w="4932" w:type="dxa"/>
            <w:tcBorders>
              <w:bottom w:val="single" w:color="auto" w:sz="4" w:space="0"/>
            </w:tcBorders>
            <w:vAlign w:val="bottom"/>
          </w:tcPr>
          <w:p w14:paraId="25FB060A">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 xml:space="preserve"> Сибирев Иван Валерьевич</w:t>
            </w:r>
          </w:p>
        </w:tc>
        <w:tc>
          <w:tcPr>
            <w:tcW w:w="283" w:type="dxa"/>
          </w:tcPr>
          <w:p w14:paraId="2A237830">
            <w:pPr>
              <w:spacing w:after="0" w:line="276" w:lineRule="auto"/>
              <w:jc w:val="center"/>
              <w:rPr>
                <w:rFonts w:ascii="Times New Roman" w:hAnsi="Times New Roman" w:cs="Times New Roman"/>
                <w:sz w:val="26"/>
                <w:szCs w:val="26"/>
              </w:rPr>
            </w:pPr>
          </w:p>
        </w:tc>
        <w:tc>
          <w:tcPr>
            <w:tcW w:w="1918" w:type="dxa"/>
            <w:tcBorders>
              <w:bottom w:val="single" w:color="auto" w:sz="4" w:space="0"/>
            </w:tcBorders>
          </w:tcPr>
          <w:p w14:paraId="2DC69903">
            <w:pPr>
              <w:spacing w:after="0" w:line="276" w:lineRule="auto"/>
              <w:jc w:val="center"/>
              <w:rPr>
                <w:rFonts w:ascii="Times New Roman" w:hAnsi="Times New Roman" w:cs="Times New Roman"/>
                <w:sz w:val="26"/>
                <w:szCs w:val="26"/>
              </w:rPr>
            </w:pPr>
          </w:p>
        </w:tc>
      </w:tr>
      <w:tr w14:paraId="3EBAF0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5" w:type="dxa"/>
          </w:tcPr>
          <w:p w14:paraId="1EA07F9A">
            <w:pPr>
              <w:spacing w:after="0" w:line="276" w:lineRule="auto"/>
              <w:jc w:val="center"/>
              <w:rPr>
                <w:rFonts w:ascii="Times New Roman" w:hAnsi="Times New Roman" w:cs="Times New Roman"/>
                <w:sz w:val="26"/>
                <w:szCs w:val="26"/>
              </w:rPr>
            </w:pPr>
          </w:p>
        </w:tc>
        <w:tc>
          <w:tcPr>
            <w:tcW w:w="283" w:type="dxa"/>
          </w:tcPr>
          <w:p w14:paraId="0E4BF836">
            <w:pPr>
              <w:spacing w:after="0" w:line="276" w:lineRule="auto"/>
              <w:jc w:val="center"/>
              <w:rPr>
                <w:rFonts w:ascii="Times New Roman" w:hAnsi="Times New Roman" w:cs="Times New Roman"/>
                <w:sz w:val="26"/>
                <w:szCs w:val="26"/>
              </w:rPr>
            </w:pPr>
          </w:p>
        </w:tc>
        <w:tc>
          <w:tcPr>
            <w:tcW w:w="4932" w:type="dxa"/>
            <w:tcBorders>
              <w:top w:val="single" w:color="auto" w:sz="4" w:space="0"/>
            </w:tcBorders>
          </w:tcPr>
          <w:p w14:paraId="137DEB1D">
            <w:pPr>
              <w:spacing w:after="0" w:line="276" w:lineRule="auto"/>
              <w:jc w:val="center"/>
              <w:rPr>
                <w:rFonts w:ascii="Times New Roman" w:hAnsi="Times New Roman" w:cs="Times New Roman"/>
                <w:sz w:val="26"/>
                <w:szCs w:val="26"/>
              </w:rPr>
            </w:pPr>
            <w:r>
              <w:rPr>
                <w:rFonts w:ascii="Times New Roman" w:hAnsi="Times New Roman" w:cs="Times New Roman"/>
                <w:color w:val="000000"/>
                <w:sz w:val="16"/>
                <w:szCs w:val="16"/>
              </w:rPr>
              <w:t>(ФИО)</w:t>
            </w:r>
          </w:p>
        </w:tc>
        <w:tc>
          <w:tcPr>
            <w:tcW w:w="283" w:type="dxa"/>
          </w:tcPr>
          <w:p w14:paraId="60B1738D">
            <w:pPr>
              <w:spacing w:after="0" w:line="276" w:lineRule="auto"/>
              <w:jc w:val="center"/>
              <w:rPr>
                <w:rFonts w:ascii="Times New Roman" w:hAnsi="Times New Roman" w:cs="Times New Roman"/>
                <w:sz w:val="26"/>
                <w:szCs w:val="26"/>
              </w:rPr>
            </w:pPr>
          </w:p>
        </w:tc>
        <w:tc>
          <w:tcPr>
            <w:tcW w:w="1918" w:type="dxa"/>
            <w:tcBorders>
              <w:top w:val="single" w:color="auto" w:sz="4" w:space="0"/>
            </w:tcBorders>
          </w:tcPr>
          <w:p w14:paraId="12AAD506">
            <w:pPr>
              <w:spacing w:after="0" w:line="276" w:lineRule="auto"/>
              <w:jc w:val="center"/>
              <w:rPr>
                <w:rFonts w:ascii="Times New Roman" w:hAnsi="Times New Roman" w:cs="Times New Roman"/>
                <w:sz w:val="26"/>
                <w:szCs w:val="26"/>
              </w:rPr>
            </w:pPr>
            <w:r>
              <w:rPr>
                <w:rFonts w:ascii="Times New Roman" w:hAnsi="Times New Roman" w:cs="Times New Roman"/>
                <w:color w:val="000000"/>
                <w:sz w:val="16"/>
                <w:szCs w:val="16"/>
              </w:rPr>
              <w:t>(подпись)</w:t>
            </w:r>
          </w:p>
        </w:tc>
      </w:tr>
    </w:tbl>
    <w:p w14:paraId="46C5252E">
      <w:pPr>
        <w:pStyle w:val="2"/>
        <w:keepNext w:val="0"/>
        <w:keepLines w:val="0"/>
        <w:widowControl/>
        <w:suppressLineNumbers w:val="0"/>
        <w:shd w:val="clear" w:fill="FFFFFF"/>
        <w:spacing w:before="240" w:beforeAutospacing="0" w:after="120" w:afterAutospacing="0" w:line="12" w:lineRule="atLeast"/>
        <w:ind w:lef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br w:type="textWrapping"/>
      </w:r>
      <w:r>
        <w:rPr>
          <w:rFonts w:hint="default" w:ascii="Times New Roman" w:hAnsi="Times New Roman" w:eastAsia="Helvetica" w:cs="Times New Roman"/>
          <w:i w:val="0"/>
          <w:iCs w:val="0"/>
          <w:caps w:val="0"/>
          <w:color w:val="333333"/>
          <w:spacing w:val="0"/>
          <w:sz w:val="32"/>
          <w:szCs w:val="32"/>
          <w:shd w:val="clear" w:fill="FFFFFF"/>
        </w:rPr>
        <w:t>Введение</w:t>
      </w:r>
    </w:p>
    <w:p w14:paraId="4DFA7C5E">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Архитектура предприятия является процессом превращения видения бизнеса и бизнес-стратегии в эффективно функционирующее предприятие. Этот процесс осуществляется путем создания, обсуждения и улучшения ключевых требований, принципов и моделей, описывающих будущее состояние предприятия и допускающих его развитие.</w:t>
      </w:r>
    </w:p>
    <w:p w14:paraId="3BD1C0D8">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Успех современных предприятий зависит от того, насколько быстро и эффективно оно может отвечать требованиям в условиях меняющихся тенденций.  Таким образом, «архитектура предприятия» показывает нам способы и методы бизнес-стратегии компании.</w:t>
      </w:r>
    </w:p>
    <w:p w14:paraId="13C56BBF">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Основными этапами разработки архитектуры предприятия являются:</w:t>
      </w:r>
    </w:p>
    <w:p w14:paraId="5751124C">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1) Определение и обоснование цели архитектуры.</w:t>
      </w:r>
    </w:p>
    <w:p w14:paraId="1B53B90D">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2) Анализ текущего состояния архитектуры.</w:t>
      </w:r>
    </w:p>
    <w:p w14:paraId="466111FA">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3) Анализ рисков.</w:t>
      </w:r>
    </w:p>
    <w:p w14:paraId="75A897A7">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4) Разработка плана миграции.</w:t>
      </w:r>
    </w:p>
    <w:p w14:paraId="4E0596EB">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5) Управление реализацией проекта внедрения.</w:t>
      </w:r>
    </w:p>
    <w:p w14:paraId="19CF552B">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6) Выполнение намеченного плана.</w:t>
      </w:r>
    </w:p>
    <w:p w14:paraId="14404B87">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Существуют различные методики построения и оценки архитектуры предприятия, они задают классификацию основных областей архитектуры, описание используемых правил (политик), стандартов, процессов и моделей. В качестве примеров можно указать следующие методики</w:t>
      </w:r>
    </w:p>
    <w:p w14:paraId="24720BA0">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 Структура Захмана для архитектуры предприятий – 6 вопросов по уровням детализации предприятия. Является таксономией(практика классификации и систематизации)</w:t>
      </w:r>
    </w:p>
    <w:p w14:paraId="38210AC4">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 TOGAF (The Open Group Architectural Framework) - Модель TOGAF описывает процесс создания артефактов.</w:t>
      </w:r>
    </w:p>
    <w:p w14:paraId="23BB89FB">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 Архитектура федеральной организации – обобщённая модель geram и захмана. Является полной методологией.</w:t>
      </w:r>
    </w:p>
    <w:p w14:paraId="00C688FE">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 Методология Gartner - рекомендации, касающиеся разработки архитектуры.</w:t>
      </w:r>
    </w:p>
    <w:p w14:paraId="44202402">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 Методика META Group - более детальное и формализованное описание именно процесса разработки архитектуры и всех его составляющих.</w:t>
      </w:r>
    </w:p>
    <w:p w14:paraId="1703E1B5">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Архитектура предприятия - это совокупность технологических и человеческих факторов, главной задачей которых стоит развитие предприятия в краткосрочной и долгосрочной перспективе. Успех современных предприятий зависит от того, насколько быстро и эффективно они могут отвечать современным меняющимся требованиям рынка. Таким образом, «архитектура предприятия» показывает способы и методы достижения бизнес-стратегии компании. Разработка архитектуры предприятия должна вестись в контексте структур управления и взаимодействия в организации.</w:t>
      </w:r>
    </w:p>
    <w:p w14:paraId="5648BBAE">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Стандарт iso 15704:2000, методика geram</w:t>
      </w:r>
    </w:p>
    <w:p w14:paraId="42812C9E">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Стандарт ISO 15704 нацелен на решение задач трех типов: создание предприятия, его реструктуризация и инкрементальные изменения.</w:t>
      </w:r>
    </w:p>
    <w:p w14:paraId="22E8E798">
      <w:pPr>
        <w:keepNext w:val="0"/>
        <w:keepLines w:val="0"/>
        <w:widowControl/>
        <w:suppressLineNumbers w:val="0"/>
        <w:pBdr>
          <w:top w:val="single" w:color="EEEEEE" w:sz="4" w:space="0"/>
          <w:left w:val="none" w:color="auto" w:sz="0" w:space="0"/>
          <w:bottom w:val="none" w:color="auto" w:sz="0" w:space="0"/>
          <w:right w:val="none" w:color="auto" w:sz="0" w:space="0"/>
        </w:pBdr>
        <w:shd w:val="clear" w:fill="FFFFFF"/>
        <w:spacing w:before="240" w:beforeAutospacing="0" w:after="240" w:afterAutospacing="0"/>
        <w:ind w:lef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rPr>
        <w:pict>
          <v:rect id="_x0000_i1025" o:spt="1" style="height:1.5pt;width:432pt;" fillcolor="#333333" filled="t" stroked="f" coordsize="21600,21600" o:hr="t" o:hrstd="t" o:hrnoshade="t" o:hralign="center">
            <v:path/>
            <v:fill on="t" focussize="0,0"/>
            <v:stroke on="f"/>
            <v:imagedata o:title=""/>
            <o:lock v:ext="edit"/>
            <w10:wrap type="none"/>
            <w10:anchorlock/>
          </v:rect>
        </w:pict>
      </w:r>
    </w:p>
    <w:p w14:paraId="4D001A71">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Схема GERAM предусматривала:</w:t>
      </w:r>
    </w:p>
    <w:p w14:paraId="133A5C4C">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eastAsia="Helvetica" w:cs="Times New Roman"/>
          <w:i w:val="0"/>
          <w:iCs w:val="0"/>
          <w:caps w:val="0"/>
          <w:color w:val="333333"/>
          <w:spacing w:val="0"/>
          <w:sz w:val="32"/>
          <w:szCs w:val="32"/>
          <w:shd w:val="clear" w:fill="FFFFFF"/>
        </w:rPr>
        <w:t>четыре группы аспектов архитектуры предприятия, названных представлениями (Views) – типы моделей ("функции", "данные", "ресурсы", "организация"), назначения (может быть ассоциировано со столбцом "ЗАЧЕМ" Захмана), реализации и "физические представления" (аппаратура, НО) и возможность определять дополнительные аспекты;</w:t>
      </w:r>
    </w:p>
    <w:p w14:paraId="78BB86AB">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eastAsia="Helvetica" w:cs="Times New Roman"/>
          <w:i w:val="0"/>
          <w:iCs w:val="0"/>
          <w:caps w:val="0"/>
          <w:color w:val="333333"/>
          <w:spacing w:val="0"/>
          <w:sz w:val="32"/>
          <w:szCs w:val="32"/>
          <w:shd w:val="clear" w:fill="FFFFFF"/>
        </w:rPr>
        <w:t>описание всех аспектов или какой-то их части на каждой из семи или восьми фаз формирования архитектуры и функционирования предприятия;</w:t>
      </w:r>
    </w:p>
    <w:p w14:paraId="180FAD50">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eastAsia="Helvetica" w:cs="Times New Roman"/>
          <w:i w:val="0"/>
          <w:iCs w:val="0"/>
          <w:caps w:val="0"/>
          <w:color w:val="333333"/>
          <w:spacing w:val="0"/>
          <w:sz w:val="32"/>
          <w:szCs w:val="32"/>
          <w:shd w:val="clear" w:fill="FFFFFF"/>
        </w:rPr>
        <w:t>конкретизацию модели архитектуры на трех уровнях – обобщенном, уровне частичных моделей и конкретных моделей.</w:t>
      </w:r>
    </w:p>
    <w:p w14:paraId="0E9517E2">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bdr w:val="none" w:color="auto" w:sz="0" w:space="0"/>
          <w:shd w:val="clear" w:fill="FFFFFF"/>
        </w:rPr>
        <w:drawing>
          <wp:inline distT="0" distB="0" distL="114300" distR="114300">
            <wp:extent cx="6096000" cy="5124450"/>
            <wp:effectExtent l="0" t="0" r="0" b="11430"/>
            <wp:docPr id="4"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descr="IMG_256"/>
                    <pic:cNvPicPr>
                      <a:picLocks noChangeAspect="1"/>
                    </pic:cNvPicPr>
                  </pic:nvPicPr>
                  <pic:blipFill>
                    <a:blip r:embed="rId5"/>
                    <a:stretch>
                      <a:fillRect/>
                    </a:stretch>
                  </pic:blipFill>
                  <pic:spPr>
                    <a:xfrm>
                      <a:off x="0" y="0"/>
                      <a:ext cx="6096000" cy="5124450"/>
                    </a:xfrm>
                    <a:prstGeom prst="rect">
                      <a:avLst/>
                    </a:prstGeom>
                    <a:noFill/>
                    <a:ln w="9525">
                      <a:noFill/>
                    </a:ln>
                  </pic:spPr>
                </pic:pic>
              </a:graphicData>
            </a:graphic>
          </wp:inline>
        </w:drawing>
      </w:r>
    </w:p>
    <w:p w14:paraId="5946AE4C">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Рисунок 1 Методика GERAM</w:t>
      </w:r>
    </w:p>
    <w:p w14:paraId="6EDFEADD">
      <w:pPr>
        <w:pStyle w:val="2"/>
        <w:keepNext w:val="0"/>
        <w:keepLines w:val="0"/>
        <w:widowControl/>
        <w:suppressLineNumbers w:val="0"/>
        <w:shd w:val="clear" w:fill="FFFFFF"/>
        <w:spacing w:before="240" w:beforeAutospacing="0" w:after="120" w:afterAutospacing="0" w:line="12" w:lineRule="atLeast"/>
        <w:ind w:left="0" w:firstLine="0"/>
        <w:rPr>
          <w:rFonts w:hint="default" w:ascii="Times New Roman" w:hAnsi="Times New Roman" w:eastAsia="Helvetica" w:cs="Times New Roman"/>
          <w:i w:val="0"/>
          <w:iCs w:val="0"/>
          <w:caps w:val="0"/>
          <w:color w:val="333333"/>
          <w:spacing w:val="0"/>
          <w:sz w:val="32"/>
          <w:szCs w:val="32"/>
        </w:rPr>
      </w:pPr>
      <w:bookmarkStart w:id="0" w:name="%D0%9C%D0%BE%D0%B4%D0%B5%D0%BB%D1%8C%20%D0%97%D0%B0%D1%85%D0%BC%D0%B0%D0%BD%D0%B0"/>
      <w:bookmarkEnd w:id="0"/>
      <w:r>
        <w:rPr>
          <w:rFonts w:hint="default" w:ascii="Times New Roman" w:hAnsi="Times New Roman" w:eastAsia="Helvetica" w:cs="Times New Roman"/>
          <w:i w:val="0"/>
          <w:iCs w:val="0"/>
          <w:caps w:val="0"/>
          <w:color w:val="333333"/>
          <w:spacing w:val="0"/>
          <w:sz w:val="32"/>
          <w:szCs w:val="32"/>
          <w:shd w:val="clear" w:fill="FFFFFF"/>
        </w:rPr>
        <w:t>Модель Захмана</w:t>
      </w:r>
    </w:p>
    <w:p w14:paraId="39F08C6A">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Модель предприятия представляется в виде набора согласованных описаний, которые соотносятся с ячейками формализованной матрицы.</w:t>
      </w:r>
    </w:p>
    <w:p w14:paraId="44953B0D">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bdr w:val="none" w:color="auto" w:sz="0" w:space="0"/>
          <w:shd w:val="clear" w:fill="FFFFFF"/>
        </w:rPr>
        <w:drawing>
          <wp:inline distT="0" distB="0" distL="114300" distR="114300">
            <wp:extent cx="6101080" cy="3689985"/>
            <wp:effectExtent l="0" t="0" r="10160" b="13335"/>
            <wp:docPr id="5" name="Изображение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descr="IMG_257"/>
                    <pic:cNvPicPr>
                      <a:picLocks noChangeAspect="1"/>
                    </pic:cNvPicPr>
                  </pic:nvPicPr>
                  <pic:blipFill>
                    <a:blip r:embed="rId6"/>
                    <a:stretch>
                      <a:fillRect/>
                    </a:stretch>
                  </pic:blipFill>
                  <pic:spPr>
                    <a:xfrm>
                      <a:off x="0" y="0"/>
                      <a:ext cx="6101080" cy="3689985"/>
                    </a:xfrm>
                    <a:prstGeom prst="rect">
                      <a:avLst/>
                    </a:prstGeom>
                    <a:noFill/>
                    <a:ln w="9525">
                      <a:noFill/>
                    </a:ln>
                  </pic:spPr>
                </pic:pic>
              </a:graphicData>
            </a:graphic>
          </wp:inline>
        </w:drawing>
      </w:r>
    </w:p>
    <w:p w14:paraId="7222B1AD">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Style w:val="6"/>
          <w:rFonts w:hint="default" w:ascii="Times New Roman" w:hAnsi="Times New Roman" w:eastAsia="Helvetica" w:cs="Times New Roman"/>
          <w:b/>
          <w:bCs/>
          <w:i w:val="0"/>
          <w:iCs w:val="0"/>
          <w:caps w:val="0"/>
          <w:color w:val="333333"/>
          <w:spacing w:val="0"/>
          <w:sz w:val="32"/>
          <w:szCs w:val="32"/>
          <w:shd w:val="clear" w:fill="FFFFFF"/>
        </w:rPr>
        <w:t>Рисунок 2 модель Захмана</w:t>
      </w:r>
    </w:p>
    <w:p w14:paraId="122B4D3C">
      <w:pPr>
        <w:pStyle w:val="2"/>
        <w:keepNext w:val="0"/>
        <w:keepLines w:val="0"/>
        <w:widowControl/>
        <w:suppressLineNumbers w:val="0"/>
        <w:shd w:val="clear" w:fill="FFFFFF"/>
        <w:spacing w:before="240" w:beforeAutospacing="0" w:after="120" w:afterAutospacing="0" w:line="12" w:lineRule="atLeast"/>
        <w:ind w:left="0" w:firstLine="0"/>
        <w:rPr>
          <w:rFonts w:hint="default" w:ascii="Times New Roman" w:hAnsi="Times New Roman" w:eastAsia="Helvetica" w:cs="Times New Roman"/>
          <w:i w:val="0"/>
          <w:iCs w:val="0"/>
          <w:caps w:val="0"/>
          <w:color w:val="333333"/>
          <w:spacing w:val="0"/>
          <w:sz w:val="32"/>
          <w:szCs w:val="32"/>
        </w:rPr>
      </w:pPr>
      <w:bookmarkStart w:id="1" w:name="%D0%9C%D0%BE%D0%B4%D0%B5%D0%BB%D1%8C%20Gartner"/>
      <w:bookmarkEnd w:id="1"/>
      <w:r>
        <w:rPr>
          <w:rStyle w:val="6"/>
          <w:rFonts w:hint="default" w:ascii="Times New Roman" w:hAnsi="Times New Roman" w:eastAsia="Helvetica" w:cs="Times New Roman"/>
          <w:b/>
          <w:bCs/>
          <w:i w:val="0"/>
          <w:iCs w:val="0"/>
          <w:caps w:val="0"/>
          <w:color w:val="333333"/>
          <w:spacing w:val="0"/>
          <w:sz w:val="32"/>
          <w:szCs w:val="32"/>
          <w:shd w:val="clear" w:fill="FFFFFF"/>
        </w:rPr>
        <w:t>Модель Gartner</w:t>
      </w:r>
    </w:p>
    <w:p w14:paraId="502787FD">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Методология Gartner не является ни таксономией (как модель Захмана), ни процессом (как TOGAF), ни полной методологией (как FEA). Эта методология представляет собой набор практических рекомендаций по построению архитектуры предприятия, разработанных одной из наиболее известных в мире исследовательских и консалтинговых ИТ-организаций – компанией Gartner. Компания Gartner считает, что архитектура предприятия должна начинаться с того, чего организация собирается достичь, а не с текущего положения дел. После того как в организации будет сформировано единое представление о ее развитии, можно рассматривать влияние этого представления на архитектуру бизнеса, технологическую архитектуру, информационную архитектуру и архитектуру решений.</w:t>
      </w:r>
    </w:p>
    <w:p w14:paraId="57F457FC">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В данном подходе сформулированы рекомендации, касающиеся разработки архитектуры в виде последовательности шагов и задач участников, которые, однако, не детализированы до уровня моделей процесса разработки архитектуры.</w:t>
      </w:r>
    </w:p>
    <w:p w14:paraId="25F8D193">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Методика описания архитектуры Gartner представляет собой как бы трехмерный куб, состоящий из следующих элементов:</w:t>
      </w:r>
    </w:p>
    <w:p w14:paraId="0C9E0CD5">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 горизонтальные слои – бизнес-архитектура. Это четыре связанных, взаимозависимых и усложняющихся уровня;</w:t>
      </w:r>
    </w:p>
    <w:p w14:paraId="01005FC3">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 вертикальные домены – информационная архитектура, включающая Приложения, Данные, Интеграцию, Доступ;</w:t>
      </w:r>
    </w:p>
    <w:p w14:paraId="69863736">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 вертикальные элементы технической архитектуры, включающие Инфраструктуру, Системное управление, Безопасность. При этом описанные выше слои бизнес-архитектуры пересекаются со всеми элементами информационной и технической архитектур.</w:t>
      </w:r>
    </w:p>
    <w:p w14:paraId="5A55DDC6">
      <w:pPr>
        <w:keepNext w:val="0"/>
        <w:keepLines w:val="0"/>
        <w:widowControl/>
        <w:suppressLineNumbers w:val="0"/>
        <w:pBdr>
          <w:top w:val="single" w:color="EEEEEE" w:sz="4" w:space="0"/>
          <w:left w:val="none" w:color="auto" w:sz="0" w:space="0"/>
          <w:bottom w:val="none" w:color="auto" w:sz="0" w:space="0"/>
          <w:right w:val="none" w:color="auto" w:sz="0" w:space="0"/>
        </w:pBdr>
        <w:shd w:val="clear" w:fill="FFFFFF"/>
        <w:spacing w:before="240" w:beforeAutospacing="0" w:after="240" w:afterAutospacing="0"/>
        <w:ind w:lef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rPr>
        <w:pict>
          <v:rect id="_x0000_i1028" o:spt="1" style="height:1.5pt;width:432pt;" fillcolor="#333333" filled="t" stroked="f" coordsize="21600,21600" o:hr="t" o:hrstd="t" o:hrnoshade="t" o:hralign="center">
            <v:path/>
            <v:fill on="t" focussize="0,0"/>
            <v:stroke on="f"/>
            <v:imagedata o:title=""/>
            <o:lock v:ext="edit"/>
            <w10:wrap type="none"/>
            <w10:anchorlock/>
          </v:rect>
        </w:pict>
      </w:r>
    </w:p>
    <w:p w14:paraId="5B637268">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bdr w:val="none" w:color="auto" w:sz="0" w:space="0"/>
          <w:shd w:val="clear" w:fill="FFFFFF"/>
        </w:rPr>
        <w:drawing>
          <wp:inline distT="0" distB="0" distL="114300" distR="114300">
            <wp:extent cx="3533775" cy="1104900"/>
            <wp:effectExtent l="0" t="0" r="1905" b="7620"/>
            <wp:docPr id="1" name="Изображение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5" descr="IMG_258"/>
                    <pic:cNvPicPr>
                      <a:picLocks noChangeAspect="1"/>
                    </pic:cNvPicPr>
                  </pic:nvPicPr>
                  <pic:blipFill>
                    <a:blip r:embed="rId7"/>
                    <a:stretch>
                      <a:fillRect/>
                    </a:stretch>
                  </pic:blipFill>
                  <pic:spPr>
                    <a:xfrm>
                      <a:off x="0" y="0"/>
                      <a:ext cx="3533775" cy="1104900"/>
                    </a:xfrm>
                    <a:prstGeom prst="rect">
                      <a:avLst/>
                    </a:prstGeom>
                    <a:noFill/>
                    <a:ln w="9525">
                      <a:noFill/>
                    </a:ln>
                  </pic:spPr>
                </pic:pic>
              </a:graphicData>
            </a:graphic>
          </wp:inline>
        </w:drawing>
      </w:r>
    </w:p>
    <w:p w14:paraId="5A0CEF7B">
      <w:pPr>
        <w:pStyle w:val="2"/>
        <w:keepNext w:val="0"/>
        <w:keepLines w:val="0"/>
        <w:widowControl/>
        <w:suppressLineNumbers w:val="0"/>
        <w:shd w:val="clear" w:fill="FFFFFF"/>
        <w:spacing w:before="240" w:beforeAutospacing="0" w:after="120" w:afterAutospacing="0" w:line="12" w:lineRule="atLeast"/>
        <w:ind w:left="0" w:firstLine="0"/>
        <w:rPr>
          <w:rFonts w:hint="default" w:ascii="Times New Roman" w:hAnsi="Times New Roman" w:eastAsia="Helvetica" w:cs="Times New Roman"/>
          <w:i w:val="0"/>
          <w:iCs w:val="0"/>
          <w:caps w:val="0"/>
          <w:color w:val="333333"/>
          <w:spacing w:val="0"/>
          <w:sz w:val="32"/>
          <w:szCs w:val="32"/>
        </w:rPr>
      </w:pPr>
      <w:bookmarkStart w:id="2" w:name="%D0%9C%D0%B5%D1%82%D0%BE%D0%B4%D0%B8%D0%BA%D0%B0%20meta%20Group"/>
      <w:bookmarkEnd w:id="2"/>
      <w:r>
        <w:rPr>
          <w:rStyle w:val="6"/>
          <w:rFonts w:hint="default" w:ascii="Times New Roman" w:hAnsi="Times New Roman" w:eastAsia="Helvetica" w:cs="Times New Roman"/>
          <w:b/>
          <w:bCs/>
          <w:i w:val="0"/>
          <w:iCs w:val="0"/>
          <w:caps w:val="0"/>
          <w:color w:val="333333"/>
          <w:spacing w:val="0"/>
          <w:sz w:val="32"/>
          <w:szCs w:val="32"/>
          <w:shd w:val="clear" w:fill="FFFFFF"/>
        </w:rPr>
        <w:t>Методика meta Group</w:t>
      </w:r>
    </w:p>
    <w:p w14:paraId="1F9B4B05">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Отличительной особенностью методики МЕТА является более детальное и формализованное описание именно процесса разработки архитектуры и всех его составляющих.</w:t>
      </w:r>
    </w:p>
    <w:p w14:paraId="5CB0F32A">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Архитектура реализуется на практике через процесс управления ИТ-программами и проектами.</w:t>
      </w:r>
    </w:p>
    <w:p w14:paraId="7C7D3095">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Предусматривает совместное участие представителей безнес-подразделений и ИТ в выработке общего понимания набора требований.</w:t>
      </w:r>
    </w:p>
    <w:p w14:paraId="21D3ED06">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Организация процесса разработки архитектуры и создание начальной версии архитектуры предприятия, согласно Meta Group, состоит в прохождении следующих этапов.</w:t>
      </w:r>
    </w:p>
    <w:p w14:paraId="43DB15A1">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1. Видение общих требований в архитектуре.</w:t>
      </w:r>
    </w:p>
    <w:p w14:paraId="73566668">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2. Разработка концепции архитектуры.</w:t>
      </w:r>
    </w:p>
    <w:p w14:paraId="6B41479D">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3. Архитектурное моделирование.</w:t>
      </w:r>
    </w:p>
    <w:p w14:paraId="725CD246">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Методика предлагает формализованные шаблоны, обеспечивающие разработку основных документов: "Видение общих требовании" и "Принципы концептуальной архитектуры"</w:t>
      </w:r>
    </w:p>
    <w:p w14:paraId="6561E33B">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bdr w:val="none" w:color="auto" w:sz="0" w:space="0"/>
          <w:shd w:val="clear" w:fill="FFFFFF"/>
        </w:rPr>
        <w:drawing>
          <wp:inline distT="0" distB="0" distL="114300" distR="114300">
            <wp:extent cx="5905500" cy="3190875"/>
            <wp:effectExtent l="0" t="0" r="7620" b="9525"/>
            <wp:docPr id="2" name="Изображение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6" descr="IMG_259"/>
                    <pic:cNvPicPr>
                      <a:picLocks noChangeAspect="1"/>
                    </pic:cNvPicPr>
                  </pic:nvPicPr>
                  <pic:blipFill>
                    <a:blip r:embed="rId8"/>
                    <a:stretch>
                      <a:fillRect/>
                    </a:stretch>
                  </pic:blipFill>
                  <pic:spPr>
                    <a:xfrm>
                      <a:off x="0" y="0"/>
                      <a:ext cx="5905500" cy="3190875"/>
                    </a:xfrm>
                    <a:prstGeom prst="rect">
                      <a:avLst/>
                    </a:prstGeom>
                    <a:noFill/>
                    <a:ln w="9525">
                      <a:noFill/>
                    </a:ln>
                  </pic:spPr>
                </pic:pic>
              </a:graphicData>
            </a:graphic>
          </wp:inline>
        </w:drawing>
      </w:r>
    </w:p>
    <w:p w14:paraId="7226279B">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Style w:val="6"/>
          <w:rFonts w:hint="default" w:ascii="Times New Roman" w:hAnsi="Times New Roman" w:eastAsia="Helvetica" w:cs="Times New Roman"/>
          <w:b/>
          <w:bCs/>
          <w:i w:val="0"/>
          <w:iCs w:val="0"/>
          <w:caps w:val="0"/>
          <w:color w:val="333333"/>
          <w:spacing w:val="0"/>
          <w:sz w:val="32"/>
          <w:szCs w:val="32"/>
          <w:shd w:val="clear" w:fill="FFFFFF"/>
        </w:rPr>
        <w:t>Рисунок 3 методика meta Group</w:t>
      </w:r>
    </w:p>
    <w:p w14:paraId="3540066C">
      <w:pPr>
        <w:pStyle w:val="2"/>
        <w:keepNext w:val="0"/>
        <w:keepLines w:val="0"/>
        <w:widowControl/>
        <w:suppressLineNumbers w:val="0"/>
        <w:shd w:val="clear" w:fill="FFFFFF"/>
        <w:spacing w:before="240" w:beforeAutospacing="0" w:after="120" w:afterAutospacing="0" w:line="12" w:lineRule="atLeast"/>
        <w:ind w:left="0" w:firstLine="0"/>
        <w:rPr>
          <w:rFonts w:hint="default" w:ascii="Times New Roman" w:hAnsi="Times New Roman" w:eastAsia="Helvetica" w:cs="Times New Roman"/>
          <w:i w:val="0"/>
          <w:iCs w:val="0"/>
          <w:caps w:val="0"/>
          <w:color w:val="333333"/>
          <w:spacing w:val="0"/>
          <w:sz w:val="32"/>
          <w:szCs w:val="32"/>
        </w:rPr>
      </w:pPr>
      <w:bookmarkStart w:id="3" w:name="%D0%9C%D0%B5%D1%82%D0%BE%D0%B4%D0%B8%D0%BA%D0%B0%20togaf"/>
      <w:bookmarkEnd w:id="3"/>
      <w:r>
        <w:rPr>
          <w:rStyle w:val="6"/>
          <w:rFonts w:hint="default" w:ascii="Times New Roman" w:hAnsi="Times New Roman" w:eastAsia="Helvetica" w:cs="Times New Roman"/>
          <w:b/>
          <w:bCs/>
          <w:i w:val="0"/>
          <w:iCs w:val="0"/>
          <w:caps w:val="0"/>
          <w:color w:val="333333"/>
          <w:spacing w:val="0"/>
          <w:sz w:val="32"/>
          <w:szCs w:val="32"/>
          <w:shd w:val="clear" w:fill="FFFFFF"/>
        </w:rPr>
        <w:t>Методика togaf</w:t>
      </w:r>
    </w:p>
    <w:p w14:paraId="3F5A7CE8">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Модель TOGAF применяется для описания интеграционных компонент, использующихся для поддержки широкого спектра корпоративных приложений. Как архитектурный процесс модель TOGAF дополняет модель Захмана. Модель TOGAF описывает процесс создания артефактов.</w:t>
      </w:r>
    </w:p>
    <w:p w14:paraId="3D277C28">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В модели TOGAF архитектура предприятия подразделяется на четыре категории.</w:t>
      </w:r>
    </w:p>
    <w:p w14:paraId="58906CB7">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1. Архитектура бизнеса – описывает процессы, используемые для достижения бизнес-целей.</w:t>
      </w:r>
    </w:p>
    <w:p w14:paraId="579BBEE5">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2. Архитектура приложений – описывает структуру конкретных приложений и их взаимодействие друг с другом.</w:t>
      </w:r>
    </w:p>
    <w:p w14:paraId="34A7EB65">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3. Архитектура данных – описывает структуру корпоративных хранилищ данных</w:t>
      </w:r>
    </w:p>
    <w:p w14:paraId="0D89702A">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и процедуры доступа к ним.</w:t>
      </w:r>
    </w:p>
    <w:p w14:paraId="062195C5">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4. Технологическая архитектура – описывает инфраструктуру оборудования и программного обеспечения, в которой запускаются и взаимодействуют приложения</w:t>
      </w:r>
    </w:p>
    <w:p w14:paraId="73194A3E">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Так как выше описанные методологии сильно отличаются друг от друга, следует задать критерии для их сравнения.</w:t>
      </w:r>
    </w:p>
    <w:p w14:paraId="24C09A63">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32"/>
          <w:szCs w:val="32"/>
        </w:rPr>
      </w:pPr>
      <w:r>
        <w:rPr>
          <w:rStyle w:val="6"/>
          <w:rFonts w:hint="default" w:ascii="Times New Roman" w:hAnsi="Times New Roman" w:eastAsia="Helvetica" w:cs="Times New Roman"/>
          <w:b/>
          <w:bCs/>
          <w:i w:val="0"/>
          <w:iCs w:val="0"/>
          <w:caps w:val="0"/>
          <w:color w:val="333333"/>
          <w:spacing w:val="0"/>
          <w:sz w:val="32"/>
          <w:szCs w:val="32"/>
          <w:shd w:val="clear" w:fill="FFFFFF"/>
        </w:rPr>
        <w:t>Полнота таксономии</w:t>
      </w:r>
      <w:r>
        <w:rPr>
          <w:rFonts w:hint="default" w:ascii="Times New Roman" w:hAnsi="Times New Roman" w:eastAsia="Helvetica" w:cs="Times New Roman"/>
          <w:i w:val="0"/>
          <w:iCs w:val="0"/>
          <w:caps w:val="0"/>
          <w:color w:val="333333"/>
          <w:spacing w:val="0"/>
          <w:sz w:val="32"/>
          <w:szCs w:val="32"/>
          <w:shd w:val="clear" w:fill="FFFFFF"/>
        </w:rPr>
        <w:t>, определяет, насколько методология пригодна для классификации различных архитектурных артефактов. Полностью сосредоточена на фреймворке Захмана.</w:t>
      </w:r>
    </w:p>
    <w:p w14:paraId="43C11764">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32"/>
          <w:szCs w:val="32"/>
        </w:rPr>
      </w:pPr>
      <w:r>
        <w:rPr>
          <w:rStyle w:val="6"/>
          <w:rFonts w:hint="default" w:ascii="Times New Roman" w:hAnsi="Times New Roman" w:eastAsia="Helvetica" w:cs="Times New Roman"/>
          <w:b/>
          <w:bCs/>
          <w:i w:val="0"/>
          <w:iCs w:val="0"/>
          <w:caps w:val="0"/>
          <w:color w:val="333333"/>
          <w:spacing w:val="0"/>
          <w:sz w:val="32"/>
          <w:szCs w:val="32"/>
          <w:shd w:val="clear" w:fill="FFFFFF"/>
        </w:rPr>
        <w:t>Полнота процесса</w:t>
      </w:r>
      <w:r>
        <w:rPr>
          <w:rFonts w:hint="default" w:ascii="Times New Roman" w:hAnsi="Times New Roman" w:eastAsia="Helvetica" w:cs="Times New Roman"/>
          <w:i w:val="0"/>
          <w:iCs w:val="0"/>
          <w:caps w:val="0"/>
          <w:color w:val="333333"/>
          <w:spacing w:val="0"/>
          <w:sz w:val="32"/>
          <w:szCs w:val="32"/>
          <w:shd w:val="clear" w:fill="FFFFFF"/>
        </w:rPr>
        <w:t>, определяет, насколько детально представлен процесс создания архитектуры предприятия.</w:t>
      </w:r>
    </w:p>
    <w:p w14:paraId="2BDD56F4">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32"/>
          <w:szCs w:val="32"/>
        </w:rPr>
      </w:pPr>
      <w:r>
        <w:rPr>
          <w:rStyle w:val="6"/>
          <w:rFonts w:hint="default" w:ascii="Times New Roman" w:hAnsi="Times New Roman" w:eastAsia="Helvetica" w:cs="Times New Roman"/>
          <w:b/>
          <w:bCs/>
          <w:i w:val="0"/>
          <w:iCs w:val="0"/>
          <w:caps w:val="0"/>
          <w:color w:val="333333"/>
          <w:spacing w:val="0"/>
          <w:sz w:val="32"/>
          <w:szCs w:val="32"/>
          <w:shd w:val="clear" w:fill="FFFFFF"/>
        </w:rPr>
        <w:t>Руководство по эталонным моделям</w:t>
      </w:r>
      <w:r>
        <w:rPr>
          <w:rFonts w:hint="default" w:ascii="Times New Roman" w:hAnsi="Times New Roman" w:eastAsia="Helvetica" w:cs="Times New Roman"/>
          <w:i w:val="0"/>
          <w:iCs w:val="0"/>
          <w:caps w:val="0"/>
          <w:color w:val="333333"/>
          <w:spacing w:val="0"/>
          <w:sz w:val="32"/>
          <w:szCs w:val="32"/>
          <w:shd w:val="clear" w:fill="FFFFFF"/>
        </w:rPr>
        <w:t>, определяет полезность методологии в создании адекватного набора эталонных моделей. На этом практически полностью сосредоточена методология FEA.</w:t>
      </w:r>
    </w:p>
    <w:p w14:paraId="3634333D">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32"/>
          <w:szCs w:val="32"/>
        </w:rPr>
      </w:pPr>
      <w:r>
        <w:rPr>
          <w:rStyle w:val="6"/>
          <w:rFonts w:hint="default" w:ascii="Times New Roman" w:hAnsi="Times New Roman" w:eastAsia="Helvetica" w:cs="Times New Roman"/>
          <w:b/>
          <w:bCs/>
          <w:i w:val="0"/>
          <w:iCs w:val="0"/>
          <w:caps w:val="0"/>
          <w:color w:val="333333"/>
          <w:spacing w:val="0"/>
          <w:sz w:val="32"/>
          <w:szCs w:val="32"/>
          <w:shd w:val="clear" w:fill="FFFFFF"/>
        </w:rPr>
        <w:t>Практическое руководство</w:t>
      </w:r>
      <w:r>
        <w:rPr>
          <w:rFonts w:hint="default" w:ascii="Times New Roman" w:hAnsi="Times New Roman" w:eastAsia="Helvetica" w:cs="Times New Roman"/>
          <w:i w:val="0"/>
          <w:iCs w:val="0"/>
          <w:caps w:val="0"/>
          <w:color w:val="333333"/>
          <w:spacing w:val="0"/>
          <w:sz w:val="32"/>
          <w:szCs w:val="32"/>
          <w:shd w:val="clear" w:fill="FFFFFF"/>
        </w:rPr>
        <w:t> определяет, насколько методология позволяет воплотить в жизнь умозрительное представление об архитектуре предприятия и сформировать культуру, в которой эта архитектура будет использоваться. На этом практически полностью сосредоточена методология Gartner.</w:t>
      </w:r>
    </w:p>
    <w:p w14:paraId="2F128C5A">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32"/>
          <w:szCs w:val="32"/>
        </w:rPr>
      </w:pPr>
      <w:r>
        <w:rPr>
          <w:rStyle w:val="6"/>
          <w:rFonts w:hint="default" w:ascii="Times New Roman" w:hAnsi="Times New Roman" w:eastAsia="Helvetica" w:cs="Times New Roman"/>
          <w:b/>
          <w:bCs/>
          <w:i w:val="0"/>
          <w:iCs w:val="0"/>
          <w:caps w:val="0"/>
          <w:color w:val="333333"/>
          <w:spacing w:val="0"/>
          <w:sz w:val="32"/>
          <w:szCs w:val="32"/>
          <w:shd w:val="clear" w:fill="FFFFFF"/>
        </w:rPr>
        <w:t>Модель готовности</w:t>
      </w:r>
      <w:r>
        <w:rPr>
          <w:rFonts w:hint="default" w:ascii="Times New Roman" w:hAnsi="Times New Roman" w:eastAsia="Helvetica" w:cs="Times New Roman"/>
          <w:i w:val="0"/>
          <w:iCs w:val="0"/>
          <w:caps w:val="0"/>
          <w:color w:val="333333"/>
          <w:spacing w:val="0"/>
          <w:sz w:val="32"/>
          <w:szCs w:val="32"/>
          <w:shd w:val="clear" w:fill="FFFFFF"/>
        </w:rPr>
        <w:t> определяет, насколько методология позволяет оценить эффективность использования архитектуры предприятия в различных подразделениях.</w:t>
      </w:r>
    </w:p>
    <w:p w14:paraId="1B598A2D">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32"/>
          <w:szCs w:val="32"/>
        </w:rPr>
      </w:pPr>
      <w:r>
        <w:rPr>
          <w:rStyle w:val="6"/>
          <w:rFonts w:hint="default" w:ascii="Times New Roman" w:hAnsi="Times New Roman" w:eastAsia="Helvetica" w:cs="Times New Roman"/>
          <w:b/>
          <w:bCs/>
          <w:i w:val="0"/>
          <w:iCs w:val="0"/>
          <w:caps w:val="0"/>
          <w:color w:val="333333"/>
          <w:spacing w:val="0"/>
          <w:sz w:val="32"/>
          <w:szCs w:val="32"/>
          <w:shd w:val="clear" w:fill="FFFFFF"/>
        </w:rPr>
        <w:t>Ориентированность на бизнес</w:t>
      </w:r>
      <w:r>
        <w:rPr>
          <w:rFonts w:hint="default" w:ascii="Times New Roman" w:hAnsi="Times New Roman" w:eastAsia="Helvetica" w:cs="Times New Roman"/>
          <w:i w:val="0"/>
          <w:iCs w:val="0"/>
          <w:caps w:val="0"/>
          <w:color w:val="333333"/>
          <w:spacing w:val="0"/>
          <w:sz w:val="32"/>
          <w:szCs w:val="32"/>
          <w:shd w:val="clear" w:fill="FFFFFF"/>
        </w:rPr>
        <w:t> определяет, ориентирована ли методология на использование технологии для повышения ценности бизнеса, где ценность бизнеса определяется как снижение затрат или увеличение доходов.</w:t>
      </w:r>
    </w:p>
    <w:p w14:paraId="246EA036">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32"/>
          <w:szCs w:val="32"/>
        </w:rPr>
      </w:pPr>
      <w:r>
        <w:rPr>
          <w:rStyle w:val="6"/>
          <w:rFonts w:hint="default" w:ascii="Times New Roman" w:hAnsi="Times New Roman" w:eastAsia="Helvetica" w:cs="Times New Roman"/>
          <w:b/>
          <w:bCs/>
          <w:i w:val="0"/>
          <w:iCs w:val="0"/>
          <w:caps w:val="0"/>
          <w:color w:val="333333"/>
          <w:spacing w:val="0"/>
          <w:sz w:val="32"/>
          <w:szCs w:val="32"/>
          <w:shd w:val="clear" w:fill="FFFFFF"/>
        </w:rPr>
        <w:t>Руководство по управлению</w:t>
      </w:r>
      <w:r>
        <w:rPr>
          <w:rFonts w:hint="default" w:ascii="Times New Roman" w:hAnsi="Times New Roman" w:eastAsia="Helvetica" w:cs="Times New Roman"/>
          <w:i w:val="0"/>
          <w:iCs w:val="0"/>
          <w:caps w:val="0"/>
          <w:color w:val="333333"/>
          <w:spacing w:val="0"/>
          <w:sz w:val="32"/>
          <w:szCs w:val="32"/>
          <w:shd w:val="clear" w:fill="FFFFFF"/>
        </w:rPr>
        <w:t> определяет, насколько методология полезна в понимании и создании эффективной модели управления для архитектуры предприятия.</w:t>
      </w:r>
    </w:p>
    <w:p w14:paraId="2186E9B6">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32"/>
          <w:szCs w:val="32"/>
        </w:rPr>
      </w:pPr>
      <w:r>
        <w:rPr>
          <w:rStyle w:val="6"/>
          <w:rFonts w:hint="default" w:ascii="Times New Roman" w:hAnsi="Times New Roman" w:eastAsia="Helvetica" w:cs="Times New Roman"/>
          <w:b/>
          <w:bCs/>
          <w:i w:val="0"/>
          <w:iCs w:val="0"/>
          <w:caps w:val="0"/>
          <w:color w:val="333333"/>
          <w:spacing w:val="0"/>
          <w:sz w:val="32"/>
          <w:szCs w:val="32"/>
          <w:shd w:val="clear" w:fill="FFFFFF"/>
        </w:rPr>
        <w:t>Руководство по разбиению</w:t>
      </w:r>
      <w:r>
        <w:rPr>
          <w:rFonts w:hint="default" w:ascii="Times New Roman" w:hAnsi="Times New Roman" w:eastAsia="Helvetica" w:cs="Times New Roman"/>
          <w:i w:val="0"/>
          <w:iCs w:val="0"/>
          <w:caps w:val="0"/>
          <w:color w:val="333333"/>
          <w:spacing w:val="0"/>
          <w:sz w:val="32"/>
          <w:szCs w:val="32"/>
          <w:shd w:val="clear" w:fill="FFFFFF"/>
        </w:rPr>
        <w:t> определяет полезность методологии в эффективном разбиении предприятия на отделы, что весьма важно при управлении сложностью.</w:t>
      </w:r>
    </w:p>
    <w:p w14:paraId="491E2CB6">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32"/>
          <w:szCs w:val="32"/>
        </w:rPr>
      </w:pPr>
      <w:r>
        <w:rPr>
          <w:rStyle w:val="5"/>
          <w:rFonts w:hint="default" w:ascii="Times New Roman" w:hAnsi="Times New Roman" w:eastAsia="Helvetica" w:cs="Times New Roman"/>
          <w:b/>
          <w:bCs/>
          <w:i w:val="0"/>
          <w:iCs w:val="0"/>
          <w:caps w:val="0"/>
          <w:color w:val="333333"/>
          <w:spacing w:val="0"/>
          <w:sz w:val="32"/>
          <w:szCs w:val="32"/>
          <w:shd w:val="clear" w:fill="FFFFFF"/>
        </w:rPr>
        <w:t>Наличие каталога</w:t>
      </w:r>
      <w:r>
        <w:rPr>
          <w:rFonts w:hint="default" w:ascii="Times New Roman" w:hAnsi="Times New Roman" w:eastAsia="Helvetica" w:cs="Times New Roman"/>
          <w:i w:val="0"/>
          <w:iCs w:val="0"/>
          <w:caps w:val="0"/>
          <w:color w:val="333333"/>
          <w:spacing w:val="0"/>
          <w:sz w:val="32"/>
          <w:szCs w:val="32"/>
          <w:shd w:val="clear" w:fill="FFFFFF"/>
        </w:rPr>
        <w:t> определяет, насколько эффективно методология позволяет создать каталог архитектурных активов, которые можно будет использовать в дальнейшем.</w:t>
      </w:r>
    </w:p>
    <w:p w14:paraId="262BB269">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32"/>
          <w:szCs w:val="32"/>
        </w:rPr>
      </w:pPr>
      <w:r>
        <w:rPr>
          <w:rStyle w:val="5"/>
          <w:rFonts w:hint="default" w:ascii="Times New Roman" w:hAnsi="Times New Roman" w:eastAsia="Helvetica" w:cs="Times New Roman"/>
          <w:i w:val="0"/>
          <w:iCs w:val="0"/>
          <w:caps w:val="0"/>
          <w:color w:val="333333"/>
          <w:spacing w:val="0"/>
          <w:sz w:val="32"/>
          <w:szCs w:val="32"/>
          <w:shd w:val="clear" w:fill="FFFFFF"/>
        </w:rPr>
        <w:t> </w:t>
      </w:r>
      <w:r>
        <w:rPr>
          <w:rStyle w:val="6"/>
          <w:rFonts w:hint="default" w:ascii="Times New Roman" w:hAnsi="Times New Roman" w:eastAsia="Helvetica" w:cs="Times New Roman"/>
          <w:b/>
          <w:bCs/>
          <w:i w:val="0"/>
          <w:iCs w:val="0"/>
          <w:caps w:val="0"/>
          <w:color w:val="333333"/>
          <w:spacing w:val="0"/>
          <w:sz w:val="32"/>
          <w:szCs w:val="32"/>
          <w:shd w:val="clear" w:fill="FFFFFF"/>
        </w:rPr>
        <w:t>Нейтральность по отношению к поставщикам услуг</w:t>
      </w:r>
      <w:r>
        <w:rPr>
          <w:rFonts w:hint="default" w:ascii="Times New Roman" w:hAnsi="Times New Roman" w:eastAsia="Helvetica" w:cs="Times New Roman"/>
          <w:i w:val="0"/>
          <w:iCs w:val="0"/>
          <w:caps w:val="0"/>
          <w:color w:val="333333"/>
          <w:spacing w:val="0"/>
          <w:sz w:val="32"/>
          <w:szCs w:val="32"/>
          <w:shd w:val="clear" w:fill="FFFFFF"/>
        </w:rPr>
        <w:t> определяет вероятность того, что при внедрении методологии вы окажетесь привязанными к конкретной консалтинговой организации. Высокая оценка означает низкую степень привязки к конкретной организации.</w:t>
      </w:r>
    </w:p>
    <w:p w14:paraId="78A99CB3">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32"/>
          <w:szCs w:val="32"/>
        </w:rPr>
      </w:pPr>
      <w:r>
        <w:rPr>
          <w:rStyle w:val="5"/>
          <w:rFonts w:hint="default" w:ascii="Times New Roman" w:hAnsi="Times New Roman" w:eastAsia="Helvetica" w:cs="Times New Roman"/>
          <w:i w:val="0"/>
          <w:iCs w:val="0"/>
          <w:caps w:val="0"/>
          <w:color w:val="333333"/>
          <w:spacing w:val="0"/>
          <w:sz w:val="32"/>
          <w:szCs w:val="32"/>
          <w:shd w:val="clear" w:fill="FFFFFF"/>
        </w:rPr>
        <w:t> </w:t>
      </w:r>
      <w:r>
        <w:rPr>
          <w:rStyle w:val="6"/>
          <w:rFonts w:hint="default" w:ascii="Times New Roman" w:hAnsi="Times New Roman" w:eastAsia="Helvetica" w:cs="Times New Roman"/>
          <w:b/>
          <w:bCs/>
          <w:i w:val="0"/>
          <w:iCs w:val="0"/>
          <w:caps w:val="0"/>
          <w:color w:val="333333"/>
          <w:spacing w:val="0"/>
          <w:sz w:val="32"/>
          <w:szCs w:val="32"/>
          <w:shd w:val="clear" w:fill="FFFFFF"/>
        </w:rPr>
        <w:t>Доступность информации</w:t>
      </w:r>
      <w:r>
        <w:rPr>
          <w:rFonts w:hint="default" w:ascii="Times New Roman" w:hAnsi="Times New Roman" w:eastAsia="Helvetica" w:cs="Times New Roman"/>
          <w:i w:val="0"/>
          <w:iCs w:val="0"/>
          <w:caps w:val="0"/>
          <w:color w:val="333333"/>
          <w:spacing w:val="0"/>
          <w:sz w:val="32"/>
          <w:szCs w:val="32"/>
          <w:shd w:val="clear" w:fill="FFFFFF"/>
        </w:rPr>
        <w:t> определяет количество и качество бесплатных или относительно недорогих материалов по данной методологии.</w:t>
      </w:r>
    </w:p>
    <w:p w14:paraId="4F8BBDCB">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32"/>
          <w:szCs w:val="32"/>
        </w:rPr>
      </w:pPr>
      <w:r>
        <w:rPr>
          <w:rStyle w:val="5"/>
          <w:rFonts w:hint="default" w:ascii="Times New Roman" w:hAnsi="Times New Roman" w:eastAsia="Helvetica" w:cs="Times New Roman"/>
          <w:i w:val="0"/>
          <w:iCs w:val="0"/>
          <w:caps w:val="0"/>
          <w:color w:val="333333"/>
          <w:spacing w:val="0"/>
          <w:sz w:val="32"/>
          <w:szCs w:val="32"/>
          <w:shd w:val="clear" w:fill="FFFFFF"/>
        </w:rPr>
        <w:t> </w:t>
      </w:r>
      <w:r>
        <w:rPr>
          <w:rStyle w:val="6"/>
          <w:rFonts w:hint="default" w:ascii="Times New Roman" w:hAnsi="Times New Roman" w:eastAsia="Helvetica" w:cs="Times New Roman"/>
          <w:b/>
          <w:bCs/>
          <w:i w:val="0"/>
          <w:iCs w:val="0"/>
          <w:caps w:val="0"/>
          <w:color w:val="333333"/>
          <w:spacing w:val="0"/>
          <w:sz w:val="32"/>
          <w:szCs w:val="32"/>
          <w:shd w:val="clear" w:fill="FFFFFF"/>
        </w:rPr>
        <w:t>Время окупаемости инвестиций</w:t>
      </w:r>
      <w:r>
        <w:rPr>
          <w:rFonts w:hint="default" w:ascii="Times New Roman" w:hAnsi="Times New Roman" w:eastAsia="Helvetica" w:cs="Times New Roman"/>
          <w:i w:val="0"/>
          <w:iCs w:val="0"/>
          <w:caps w:val="0"/>
          <w:color w:val="333333"/>
          <w:spacing w:val="0"/>
          <w:sz w:val="32"/>
          <w:szCs w:val="32"/>
          <w:shd w:val="clear" w:fill="FFFFFF"/>
        </w:rPr>
        <w:t> определяет продолжительность периода, в течение которого вы будете использовать данную методологию, прежде чем сможете построить на ее основе решения, обеспечивающие высокую ценность бизнеса.</w:t>
      </w:r>
    </w:p>
    <w:p w14:paraId="13FDB4D6">
      <w:pPr>
        <w:keepNext w:val="0"/>
        <w:keepLines w:val="0"/>
        <w:widowControl/>
        <w:suppressLineNumbers w:val="0"/>
        <w:pBdr>
          <w:top w:val="single" w:color="EEEEEE" w:sz="4" w:space="0"/>
          <w:left w:val="none" w:color="auto" w:sz="0" w:space="0"/>
          <w:bottom w:val="none" w:color="auto" w:sz="0" w:space="0"/>
          <w:right w:val="none" w:color="auto" w:sz="0" w:space="0"/>
        </w:pBdr>
        <w:shd w:val="clear" w:fill="FFFFFF"/>
        <w:spacing w:before="240" w:beforeAutospacing="0" w:after="240" w:afterAutospacing="0"/>
        <w:ind w:lef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cs="Times New Roman"/>
          <w:sz w:val="32"/>
          <w:szCs w:val="32"/>
        </w:rPr>
        <w:pict>
          <v:rect id="_x0000_i1031" o:spt="1" style="height:1.5pt;width:432pt;" fillcolor="#333333" filled="t" stroked="f" coordsize="21600,21600" o:hr="t" o:hrstd="t" o:hrnoshade="t" o:hralign="center">
            <v:path/>
            <v:fill on="t" focussize="0,0"/>
            <v:stroke on="f"/>
            <v:imagedata o:title=""/>
            <o:lock v:ext="edit"/>
            <w10:wrap type="none"/>
            <w10:anchorlock/>
          </v:rect>
        </w:pict>
      </w:r>
    </w:p>
    <w:p w14:paraId="01AC03B5">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Каждой из методологий будет присвоена оценка по каждому из критери-ев от 0 до 5 (0 – непригодная для данной области, 5 –отлично работает в данной области)</w:t>
      </w:r>
    </w:p>
    <w:p w14:paraId="44282902">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bdr w:val="none" w:color="auto" w:sz="0" w:space="0"/>
          <w:shd w:val="clear" w:fill="FFFFFF"/>
        </w:rPr>
        <w:drawing>
          <wp:inline distT="0" distB="0" distL="114300" distR="114300">
            <wp:extent cx="4143375" cy="5829300"/>
            <wp:effectExtent l="0" t="0" r="1905" b="7620"/>
            <wp:docPr id="3" name="Изображение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8" descr="IMG_260"/>
                    <pic:cNvPicPr>
                      <a:picLocks noChangeAspect="1"/>
                    </pic:cNvPicPr>
                  </pic:nvPicPr>
                  <pic:blipFill>
                    <a:blip r:embed="rId9"/>
                    <a:stretch>
                      <a:fillRect/>
                    </a:stretch>
                  </pic:blipFill>
                  <pic:spPr>
                    <a:xfrm>
                      <a:off x="0" y="0"/>
                      <a:ext cx="4143375" cy="5829300"/>
                    </a:xfrm>
                    <a:prstGeom prst="rect">
                      <a:avLst/>
                    </a:prstGeom>
                    <a:noFill/>
                    <a:ln w="9525">
                      <a:noFill/>
                    </a:ln>
                  </pic:spPr>
                </pic:pic>
              </a:graphicData>
            </a:graphic>
          </wp:inline>
        </w:drawing>
      </w:r>
    </w:p>
    <w:p w14:paraId="18F1AD23">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Style w:val="6"/>
          <w:rFonts w:hint="default" w:ascii="Times New Roman" w:hAnsi="Times New Roman" w:eastAsia="Helvetica" w:cs="Times New Roman"/>
          <w:b/>
          <w:bCs/>
          <w:i w:val="0"/>
          <w:iCs w:val="0"/>
          <w:caps w:val="0"/>
          <w:color w:val="333333"/>
          <w:spacing w:val="0"/>
          <w:sz w:val="32"/>
          <w:szCs w:val="32"/>
          <w:shd w:val="clear" w:fill="FFFFFF"/>
        </w:rPr>
        <w:t>Рисунок 4 Оценка современных методологий по критериям</w:t>
      </w:r>
    </w:p>
    <w:p w14:paraId="0446D61A">
      <w:pPr>
        <w:pStyle w:val="2"/>
        <w:keepNext w:val="0"/>
        <w:keepLines w:val="0"/>
        <w:widowControl/>
        <w:suppressLineNumbers w:val="0"/>
        <w:shd w:val="clear" w:fill="FFFFFF"/>
        <w:spacing w:before="240" w:beforeAutospacing="0" w:after="120" w:afterAutospacing="0" w:line="12" w:lineRule="atLeast"/>
        <w:ind w:left="0" w:firstLine="0"/>
        <w:rPr>
          <w:rFonts w:hint="default" w:ascii="Times New Roman" w:hAnsi="Times New Roman" w:eastAsia="Helvetica" w:cs="Times New Roman"/>
          <w:i w:val="0"/>
          <w:iCs w:val="0"/>
          <w:caps w:val="0"/>
          <w:color w:val="333333"/>
          <w:spacing w:val="0"/>
          <w:sz w:val="32"/>
          <w:szCs w:val="32"/>
        </w:rPr>
      </w:pPr>
      <w:bookmarkStart w:id="4" w:name="%D0%90%D0%BD%D0%B0%D0%BB%D0%B8%D0%B7%20%D0%B8%20%D0%B2%D1%8B%D0%B1%D0%BE%D1%80%20%D0%B8%D0%BD%D1%81%D1%82%D1%80%D1%83%D0%BC%D0%B5%D0%BD%D1%82%D0%B0%D0%BB%D1%8C%D0%BD%D1%8B%D1%85%20%D1%81%D1%80%D0%B5%D0%B4%D1%81%D1%82%D0%B2%20%D0%BC%D0%BE%D0%B4%D0%B5%D0%BB%D0%B8%D1%80%D0%BE%D0%B2%D0%B0%D0%BD%D0%B8%D1%8F%20%D0%B0%D1%80%D1%85%D0%B8%D1%82%D0%B5%D0%BA%D1%82%D1%83%D1%80%D1%8B%20%D0%BF%D1%80%D0%B5%D0%B4%D0%BF%D1%80%D0%B8%D1%8F%D1%82%D0%B8%D1%8F"/>
      <w:bookmarkEnd w:id="4"/>
      <w:r>
        <w:rPr>
          <w:rStyle w:val="6"/>
          <w:rFonts w:hint="default" w:ascii="Times New Roman" w:hAnsi="Times New Roman" w:eastAsia="Helvetica" w:cs="Times New Roman"/>
          <w:b/>
          <w:bCs/>
          <w:i w:val="0"/>
          <w:iCs w:val="0"/>
          <w:caps w:val="0"/>
          <w:color w:val="333333"/>
          <w:spacing w:val="0"/>
          <w:sz w:val="32"/>
          <w:szCs w:val="32"/>
          <w:shd w:val="clear" w:fill="FFFFFF"/>
        </w:rPr>
        <w:t>Анализ и выбор инструментальных средств моделирования архитектуры предприятия</w:t>
      </w:r>
    </w:p>
    <w:p w14:paraId="36D6CC4E">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Style w:val="6"/>
          <w:rFonts w:hint="default" w:ascii="Times New Roman" w:hAnsi="Times New Roman" w:eastAsia="Helvetica" w:cs="Times New Roman"/>
          <w:b/>
          <w:bCs/>
          <w:i w:val="0"/>
          <w:iCs w:val="0"/>
          <w:caps w:val="0"/>
          <w:color w:val="333333"/>
          <w:spacing w:val="0"/>
          <w:sz w:val="32"/>
          <w:szCs w:val="32"/>
          <w:shd w:val="clear" w:fill="FFFFFF"/>
        </w:rPr>
        <w:t>EA tools (Enterprise Architecture tools)</w:t>
      </w:r>
      <w:r>
        <w:rPr>
          <w:rFonts w:hint="default" w:ascii="Times New Roman" w:hAnsi="Times New Roman" w:eastAsia="Helvetica" w:cs="Times New Roman"/>
          <w:i w:val="0"/>
          <w:iCs w:val="0"/>
          <w:caps w:val="0"/>
          <w:color w:val="333333"/>
          <w:spacing w:val="0"/>
          <w:sz w:val="32"/>
          <w:szCs w:val="32"/>
          <w:shd w:val="clear" w:fill="FFFFFF"/>
        </w:rPr>
        <w:t>- это набор инструментов, ориентированный на моделирование архитектуры предприятия. Инструменты этой группы должны позволить связывать различные разрозненные типы данных в единое целое. Одной из основных особенностей продуктов класса Enterprise Architecture Tools является возможность не только моделировать различные элементы деятельности компании (программно-аппаратные средства, бизнес-процессы, приложения, интерфейсы, организационная структура, стратегические цели), но и интегрировать их.</w:t>
      </w:r>
    </w:p>
    <w:p w14:paraId="742B96A8">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Enterprise Architecture Tools должны включать в себя следующие компоненты: репозиторий (repository), обеспечивающий структурированное хранение всех данных, описывающих состояние компании; метамодель (metamodel), которая поддерживает возможность описания всех слоев архитектуры предприятия (бизнес, информация, приложения, технологии) и обеспечивает связи между всеми объектами; возможность создавать и импортировать модели; возможность извлекать информацию из репозитория и предоставлять ее пользователям, как в текстовом, так и в графическом виде.</w:t>
      </w:r>
    </w:p>
    <w:p w14:paraId="53F0F4EE">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Style w:val="6"/>
          <w:rFonts w:hint="default" w:ascii="Times New Roman" w:hAnsi="Times New Roman" w:eastAsia="Helvetica" w:cs="Times New Roman"/>
          <w:b/>
          <w:bCs/>
          <w:i w:val="0"/>
          <w:iCs w:val="0"/>
          <w:caps w:val="0"/>
          <w:color w:val="333333"/>
          <w:spacing w:val="0"/>
          <w:sz w:val="32"/>
          <w:szCs w:val="32"/>
          <w:shd w:val="clear" w:fill="FFFFFF"/>
        </w:rPr>
        <w:t>BPA (Business Process Analyze)</w:t>
      </w:r>
      <w:r>
        <w:rPr>
          <w:rFonts w:hint="default" w:ascii="Times New Roman" w:hAnsi="Times New Roman" w:eastAsia="Helvetica" w:cs="Times New Roman"/>
          <w:i w:val="0"/>
          <w:iCs w:val="0"/>
          <w:caps w:val="0"/>
          <w:color w:val="333333"/>
          <w:spacing w:val="0"/>
          <w:sz w:val="32"/>
          <w:szCs w:val="32"/>
          <w:shd w:val="clear" w:fill="FFFFFF"/>
        </w:rPr>
        <w:t>- это набор инструментов, ориентированный на моделирование и управление бизнес-процессами. При описании приложений этой группы часто используют термин BPMS (Business Process Management System) или BPM-система. BPA Tools (BPMS) позволяют не только моделировать бизнес-процессы, но и проводить мониторинг их количественных параметров, что позволяет выявлять узкие места и оптимизировать бизнес-процессы. BPA Tools ориентированы на анализ, моделирование, оптимизацию конкретных бизнес-процессов.</w:t>
      </w:r>
    </w:p>
    <w:p w14:paraId="45C33260">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Следует отметить, что инструменты моделирования архитектуры предприятия, как правило, включают в себя возможность моделирования бизнес-процессов, но при этом данная задача рассматривается с совершенно другого ракурса. В частности, эти инструменты ориентированы в первую очередь на то, чтобы прописать связи между бизнес-процессами и другими объектами.</w:t>
      </w:r>
    </w:p>
    <w:p w14:paraId="25AE8949">
      <w:pPr>
        <w:keepNext w:val="0"/>
        <w:keepLines w:val="0"/>
        <w:widowControl/>
        <w:suppressLineNumbers w:val="0"/>
        <w:pBdr>
          <w:top w:val="single" w:color="EEEEEE" w:sz="4" w:space="0"/>
          <w:left w:val="none" w:color="auto" w:sz="0" w:space="0"/>
          <w:bottom w:val="none" w:color="auto" w:sz="0" w:space="0"/>
          <w:right w:val="none" w:color="auto" w:sz="0" w:space="0"/>
        </w:pBdr>
        <w:shd w:val="clear" w:fill="FFFFFF"/>
        <w:spacing w:before="240" w:beforeAutospacing="0" w:after="240" w:afterAutospacing="0"/>
        <w:ind w:lef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rPr>
        <w:pict>
          <v:rect id="_x0000_i1033" o:spt="1" style="height:1.5pt;width:432pt;" fillcolor="#333333" filled="t" stroked="f" coordsize="21600,21600" o:hr="t" o:hrstd="t" o:hrnoshade="t" o:hralign="center">
            <v:path/>
            <v:fill on="t" focussize="0,0"/>
            <v:stroke on="f"/>
            <v:imagedata o:title=""/>
            <o:lock v:ext="edit"/>
            <w10:wrap type="none"/>
            <w10:anchorlock/>
          </v:rect>
        </w:pict>
      </w:r>
    </w:p>
    <w:p w14:paraId="24634635">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Style w:val="6"/>
          <w:rFonts w:hint="default" w:ascii="Times New Roman" w:hAnsi="Times New Roman" w:eastAsia="Helvetica" w:cs="Times New Roman"/>
          <w:b/>
          <w:bCs/>
          <w:i w:val="0"/>
          <w:iCs w:val="0"/>
          <w:caps w:val="0"/>
          <w:color w:val="333333"/>
          <w:spacing w:val="0"/>
          <w:sz w:val="32"/>
          <w:szCs w:val="32"/>
          <w:shd w:val="clear" w:fill="FFFFFF"/>
        </w:rPr>
        <w:t>Metadata Repositories</w:t>
      </w:r>
      <w:r>
        <w:rPr>
          <w:rFonts w:hint="default" w:ascii="Times New Roman" w:hAnsi="Times New Roman" w:eastAsia="Helvetica" w:cs="Times New Roman"/>
          <w:i w:val="0"/>
          <w:iCs w:val="0"/>
          <w:caps w:val="0"/>
          <w:color w:val="333333"/>
          <w:spacing w:val="0"/>
          <w:sz w:val="32"/>
          <w:szCs w:val="32"/>
          <w:shd w:val="clear" w:fill="FFFFFF"/>
        </w:rPr>
        <w:t>– это хранилище информации о текущей структуре предприятия. Подобные хранилища данных включают в себя информацию о бизнес- процессах, приложениях, интерфейсах, программно-аппаратных средствах. Информация, хранящаяся в такой базе данных, собирается из различного количества источников и, как правило, частично совпадает с информацией, находящейся в CMDB (configuration management databases).</w:t>
      </w:r>
    </w:p>
    <w:p w14:paraId="14146130">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Хранилище информации, как правило, не существует само по себе и является элементом инструментов, ориентированных на использование Business Process Analyze или Enterprise Architecture tools.</w:t>
      </w:r>
    </w:p>
    <w:p w14:paraId="78B5A718">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Style w:val="6"/>
          <w:rFonts w:hint="default" w:ascii="Times New Roman" w:hAnsi="Times New Roman" w:eastAsia="Helvetica" w:cs="Times New Roman"/>
          <w:b/>
          <w:bCs/>
          <w:i w:val="0"/>
          <w:iCs w:val="0"/>
          <w:caps w:val="0"/>
          <w:color w:val="333333"/>
          <w:spacing w:val="0"/>
          <w:sz w:val="32"/>
          <w:szCs w:val="32"/>
          <w:shd w:val="clear" w:fill="FFFFFF"/>
        </w:rPr>
        <w:t>Database and Data Design Tools</w:t>
      </w:r>
      <w:r>
        <w:rPr>
          <w:rFonts w:hint="default" w:ascii="Times New Roman" w:hAnsi="Times New Roman" w:eastAsia="Helvetica" w:cs="Times New Roman"/>
          <w:i w:val="0"/>
          <w:iCs w:val="0"/>
          <w:caps w:val="0"/>
          <w:color w:val="333333"/>
          <w:spacing w:val="0"/>
          <w:sz w:val="32"/>
          <w:szCs w:val="32"/>
          <w:shd w:val="clear" w:fill="FFFFFF"/>
        </w:rPr>
        <w:t>- набор инструментов, ориентированный на разработку моделей, описывающих информационную архитектуру предприятия. Инструменты этой группы включают в себя возможность визуального представления информации и редакторы для физического и логического описания модели данных.</w:t>
      </w:r>
    </w:p>
    <w:p w14:paraId="3946CC07">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Style w:val="6"/>
          <w:rFonts w:hint="default" w:ascii="Times New Roman" w:hAnsi="Times New Roman" w:eastAsia="Helvetica" w:cs="Times New Roman"/>
          <w:b/>
          <w:bCs/>
          <w:i w:val="0"/>
          <w:iCs w:val="0"/>
          <w:caps w:val="0"/>
          <w:color w:val="333333"/>
          <w:spacing w:val="0"/>
          <w:sz w:val="32"/>
          <w:szCs w:val="32"/>
          <w:shd w:val="clear" w:fill="FFFFFF"/>
        </w:rPr>
        <w:t>OOA&amp;D</w:t>
      </w:r>
      <w:r>
        <w:rPr>
          <w:rFonts w:hint="default" w:ascii="Times New Roman" w:hAnsi="Times New Roman" w:eastAsia="Helvetica" w:cs="Times New Roman"/>
          <w:i w:val="0"/>
          <w:iCs w:val="0"/>
          <w:caps w:val="0"/>
          <w:color w:val="333333"/>
          <w:spacing w:val="0"/>
          <w:sz w:val="32"/>
          <w:szCs w:val="32"/>
          <w:shd w:val="clear" w:fill="FFFFFF"/>
        </w:rPr>
        <w:t>(Object-Oriented Analysis and Design) - это набор инструментов для объектно-ориентированного анализа и проектирования. Используются для анализа предметной области и проектирования информационных систем с использованием объектно-ориентированного подхода.</w:t>
      </w:r>
    </w:p>
    <w:p w14:paraId="3DF108CE">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Современные приложения, использующиеся для объектно-ориентированного анализа, должны интегрироваться с инструментами моделирования бизнес-процессов (BPA Tools) и системами проектирования баз данных.</w:t>
      </w:r>
    </w:p>
    <w:p w14:paraId="709DE64D">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Наиболее интересный вариант классификации программных продуктов, использующихся для разработки моделей, предложен аналитиками IFEAD, которые выделяют следующие направления: Software Engineering (Разработка программного обеспечения), Service Oriented Architecture (Сервис ориентированная архитектура), Enterprise Architecture (Архитектура предприятия), Business / IT strategy (Бизнес / ИТ стратегия), Enterprise / IT portfolio (Предприятие / ИТ портфель), Program Management (Управление программами), Governance, Risk, Compliancy (Управление, риски, соответствие условиям).</w:t>
      </w:r>
    </w:p>
    <w:p w14:paraId="1EB4262E">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В качестве лидеров аналитиками выделяются следующие компании: IBM (купившая в апреле 2008 года компанию Telelogic), Troux Technologies (с их малоизвестным в России программным продуктом Metis), IDS Scheer (с их линейкой ARIS Solution для управления архитектурой предприятия).</w:t>
      </w:r>
    </w:p>
    <w:p w14:paraId="7E9949F8">
      <w:pPr>
        <w:pStyle w:val="2"/>
        <w:keepNext w:val="0"/>
        <w:keepLines w:val="0"/>
        <w:widowControl/>
        <w:suppressLineNumbers w:val="0"/>
        <w:shd w:val="clear" w:fill="FFFFFF"/>
        <w:spacing w:before="240" w:beforeAutospacing="0" w:after="120" w:afterAutospacing="0" w:line="12" w:lineRule="atLeast"/>
        <w:ind w:left="0" w:firstLine="0"/>
        <w:rPr>
          <w:rFonts w:hint="default" w:ascii="Times New Roman" w:hAnsi="Times New Roman" w:eastAsia="Helvetica" w:cs="Times New Roman"/>
          <w:i w:val="0"/>
          <w:iCs w:val="0"/>
          <w:caps w:val="0"/>
          <w:color w:val="333333"/>
          <w:spacing w:val="0"/>
          <w:sz w:val="32"/>
          <w:szCs w:val="32"/>
        </w:rPr>
      </w:pPr>
      <w:bookmarkStart w:id="5" w:name="%D0%92%D1%8B%D0%B2%D0%BE%D0%B4"/>
      <w:bookmarkEnd w:id="5"/>
      <w:r>
        <w:rPr>
          <w:rStyle w:val="6"/>
          <w:rFonts w:hint="default" w:ascii="Times New Roman" w:hAnsi="Times New Roman" w:eastAsia="Helvetica" w:cs="Times New Roman"/>
          <w:b/>
          <w:bCs/>
          <w:i w:val="0"/>
          <w:iCs w:val="0"/>
          <w:caps w:val="0"/>
          <w:color w:val="333333"/>
          <w:spacing w:val="0"/>
          <w:sz w:val="32"/>
          <w:szCs w:val="32"/>
          <w:shd w:val="clear" w:fill="FFFFFF"/>
        </w:rPr>
        <w:t>Вывод</w:t>
      </w:r>
    </w:p>
    <w:p w14:paraId="24056A46">
      <w:pPr>
        <w:pStyle w:val="7"/>
        <w:keepNext w:val="0"/>
        <w:keepLines w:val="0"/>
        <w:widowControl/>
        <w:suppressLineNumbers w:val="0"/>
        <w:shd w:val="clear" w:fill="FFFFFF"/>
        <w:spacing w:before="0" w:beforeAutospacing="0" w:after="120" w:afterAutospacing="0"/>
        <w:ind w:left="0" w:right="0" w:firstLine="0"/>
        <w:rPr>
          <w:rFonts w:hint="default" w:ascii="Times New Roman" w:hAnsi="Times New Roman" w:eastAsia="Helvetica" w:cs="Times New Roman"/>
          <w:i w:val="0"/>
          <w:iCs w:val="0"/>
          <w:caps w:val="0"/>
          <w:color w:val="333333"/>
          <w:spacing w:val="0"/>
          <w:sz w:val="32"/>
          <w:szCs w:val="32"/>
        </w:rPr>
      </w:pPr>
      <w:r>
        <w:rPr>
          <w:rFonts w:hint="default" w:ascii="Times New Roman" w:hAnsi="Times New Roman" w:eastAsia="Helvetica" w:cs="Times New Roman"/>
          <w:i w:val="0"/>
          <w:iCs w:val="0"/>
          <w:caps w:val="0"/>
          <w:color w:val="333333"/>
          <w:spacing w:val="0"/>
          <w:sz w:val="32"/>
          <w:szCs w:val="32"/>
          <w:shd w:val="clear" w:fill="FFFFFF"/>
        </w:rPr>
        <w:t>Проведя анализ по критериям можно сделать вывод, что ни одна из рассматриваемых методологией не является полной. У каждой из них есть свои плюсы и минусы. Так как же выбрать наиболее подходящую методологию? Стоит задавать те критерии, которые наиболее важны для вашей организации.  После этого вы сможете получить хорошее представление по каждой из рассмотренных методологий с точки зрения ваших потребностей. В большинстве случае не удается выбрать одну методологию и приходиться прибегать к их смешиванию из наиболее подходящих для вашей компании компонентов из каждой отдельной методологии.</w:t>
      </w:r>
    </w:p>
    <w:p w14:paraId="39A53DB3">
      <w:pPr>
        <w:rPr>
          <w:rFonts w:hint="default" w:ascii="Times New Roman" w:hAnsi="Times New Roman" w:cs="Times New Roman"/>
          <w:sz w:val="32"/>
          <w:szCs w:val="32"/>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itka Small Semibold">
    <w:panose1 w:val="00000000000000000000"/>
    <w:charset w:val="00"/>
    <w:family w:val="auto"/>
    <w:pitch w:val="default"/>
    <w:sig w:usb0="A00002EF" w:usb1="4000204B" w:usb2="00000000" w:usb3="00000000" w:csb0="2000019F" w:csb1="00000000"/>
  </w:font>
  <w:font w:name="Sitka Subheading">
    <w:panose1 w:val="00000000000000000000"/>
    <w:charset w:val="00"/>
    <w:family w:val="auto"/>
    <w:pitch w:val="default"/>
    <w:sig w:usb0="A00002EF" w:usb1="4000204B" w:usb2="00000000" w:usb3="00000000" w:csb0="2000019F" w:csb1="00000000"/>
  </w:font>
  <w:font w:name="STFangsong">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7C47BF"/>
    <w:multiLevelType w:val="multilevel"/>
    <w:tmpl w:val="887C47B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
    <w:nsid w:val="56BD38D5"/>
    <w:multiLevelType w:val="multilevel"/>
    <w:tmpl w:val="56BD38D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D34675"/>
    <w:rsid w:val="39D346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Emphasis"/>
    <w:basedOn w:val="3"/>
    <w:qFormat/>
    <w:uiPriority w:val="0"/>
    <w:rPr>
      <w:i/>
      <w:iCs/>
    </w:rPr>
  </w:style>
  <w:style w:type="character" w:styleId="6">
    <w:name w:val="Strong"/>
    <w:basedOn w:val="3"/>
    <w:qFormat/>
    <w:uiPriority w:val="0"/>
    <w:rPr>
      <w:b/>
      <w:bCs/>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table" w:styleId="8">
    <w:name w:val="Table Grid"/>
    <w:basedOn w:val="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No Spacing"/>
    <w:qFormat/>
    <w:uiPriority w:val="1"/>
    <w:pPr>
      <w:spacing w:after="0" w:line="240" w:lineRule="auto"/>
    </w:pPr>
    <w:rPr>
      <w:rFonts w:asciiTheme="minorHAnsi" w:hAnsiTheme="minorHAnsi" w:eastAsiaTheme="minorHAnsi" w:cstheme="minorBidi"/>
      <w:sz w:val="22"/>
      <w:szCs w:val="22"/>
      <w:lang w:val="ru-RU"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2</TotalTime>
  <ScaleCrop>false</ScaleCrop>
  <LinksUpToDate>false</LinksUpToDate>
  <CharactersWithSpaces>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2025-04-28T11:01:00Z</dcterms:created>
  <dc:creator>Пользователь</dc:creator>
  <cp:lastModifiedBy>Пользователь</cp:lastModifiedBy>
  <dcterms:modified xsi:type="dcterms:W3CDTF">2025-04-28T11:06:50Z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1049-12.2.0.20795</vt:lpwstr>
  </property>
  <property fmtid="{D5CDD505-2E9C-101B-9397-08002B2CF9AE}" pid="3" name="ICV">
    <vt:lpwstr>9046E625F4E84488A3F993ED79DB1A2E_11</vt:lpwstr>
  </property>
</Properties>
</file>