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 Реферат: 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  на тему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Перспективы развития средств проектирования архитектуры предприятия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Архитектура предприятия (Enterprise Architecture, EA) представляет собой важный аспект управления бизнесом, который позволяет организовать, управлять и оптимизировать ресурсы и процессы внутри организации. В последние годы наблюдается рост интереса к средствам проектирования архитектуры предприятия, что обусловлено необходимостью адаптации к динамично меняющимся условиям рынка и технологическим изменениям.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Тенденции и вызовы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1. Цифровая трансформация: Большинство компаний стремятся интегрировать цифровые технологии в свои бизнес-операции. В этом контексте средства проектирования архитектуры играют ключевую роль в формировании стратегий по внедрению цифровых решений.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2. Гибкость и адаптивность: Современные организации должны быть гибкими и быстро адаптироваться к изменениям. Средства проектирования архитектуры должны обеспечивать возможность быстрой модификации моделей и процессов.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3. Интеграция с облачными технологиями: С ростом использования облачных решений возникает необходимость в инструментов, которые могут интегрироваться с облачными сервисами для обеспечения более эффективного проектирования архитектуры.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Перспективы развития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1. Автоматизация и использование ИИ: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Внедрение искусственного интеллекта и машинного обучения в средства проектирования архитектуры может значительно повысить их эффективность. Автоматизация рутинных задач позволит архитекторам сосредоточиться на стратегической деятельности.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2. Модели на основе микросервисов: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Переход к микросервисной архитектуре требует новых подходов и инструментов для проектирования. Средства, которые поддерживают разработку и внедрение микросервисов, будут оставаться востребованными.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3. Совместная работа и коллективное проектирование: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Разработка инструментов, которые позволяют командам работать совместно в реальном времени, может облегчить процесс проектирования и повысить качество архитектуры.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4. Устойчивый подход: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С учетом изменений климата и нарастающих требований к устойчивому развитию, инструменты проектирования должны учитывать экологические аспекты, что потребует разработки новых методологий и критериев.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Заключение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Перспективы развития средств проектирования архитектуры предприятия обширны и разнообразны. Адаптация к современным требованиям и трендам, таким как цифровая трансформация и интеграция инновационных технологий, станет основным направлением в дальнейшем развитии. Компании, которые смогут эффективно использовать эти инструменты и адаптировать свою архитектуру к новым условиям, получат конкурентные преимущества и смогут успешно развиваться в будущем.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