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54D" w:rsidRPr="00B51F79" w:rsidRDefault="0092754D" w:rsidP="0092754D">
      <w:pPr>
        <w:widowControl w:val="0"/>
        <w:spacing w:after="0" w:line="240" w:lineRule="auto"/>
        <w:ind w:right="-850" w:hanging="1701"/>
        <w:jc w:val="both"/>
        <w:rPr>
          <w:rFonts w:eastAsiaTheme="minorEastAsia"/>
          <w:kern w:val="2"/>
          <w:sz w:val="20"/>
          <w:szCs w:val="21"/>
          <w:lang w:val="en-US" w:eastAsia="zh-CN"/>
        </w:rPr>
      </w:pPr>
      <w:r w:rsidRPr="00B51F79">
        <w:rPr>
          <w:rFonts w:eastAsiaTheme="minorEastAsia"/>
          <w:noProof/>
          <w:kern w:val="2"/>
          <w:sz w:val="20"/>
          <w:szCs w:val="21"/>
          <w:lang w:eastAsia="ru-RU"/>
        </w:rPr>
        <w:drawing>
          <wp:inline distT="0" distB="0" distL="0" distR="0" wp14:anchorId="0B9A77BB" wp14:editId="3FEFE9EB">
            <wp:extent cx="7574280" cy="914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54D" w:rsidRPr="00B51F79" w:rsidRDefault="0092754D" w:rsidP="0092754D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НЕГОСУДАРСТВЕННОЕ ОБРАЗОВАТЕЛЬНОЕ ЧАСТНОЕ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УЧРЕЖДЕНИЕ ВЫСШЕГО ОБРАЗОВАНИЯ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«МОСКОВСКИЙ ФИНАНСОВО-ПРОМЫШЛЕННЫЙ УНИВЕРСИТЕТ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«СИНЕРГИЯ»</w:t>
      </w:r>
    </w:p>
    <w:p w:rsidR="0092754D" w:rsidRPr="00B51F79" w:rsidRDefault="0092754D" w:rsidP="0092754D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2754D" w:rsidRPr="00B51F79" w:rsidTr="00255E32">
        <w:tc>
          <w:tcPr>
            <w:tcW w:w="3115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Факультет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/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Институт</w:t>
            </w:r>
            <w:proofErr w:type="spellEnd"/>
          </w:p>
        </w:tc>
        <w:tc>
          <w:tcPr>
            <w:tcW w:w="282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Университет</w:t>
            </w:r>
            <w:proofErr w:type="spellEnd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Синергия</w:t>
            </w:r>
            <w:proofErr w:type="spellEnd"/>
          </w:p>
        </w:tc>
      </w:tr>
      <w:tr w:rsidR="0092754D" w:rsidRPr="00B51F79" w:rsidTr="00255E32">
        <w:tc>
          <w:tcPr>
            <w:tcW w:w="3115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факультета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/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Института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92754D" w:rsidRPr="00B51F79" w:rsidTr="00255E32">
        <w:tc>
          <w:tcPr>
            <w:tcW w:w="3115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Направление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/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специальность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2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eastAsia="ru-RU"/>
              </w:rPr>
            </w:pPr>
            <w:r w:rsidRPr="00B51F79">
              <w:rPr>
                <w:rFonts w:ascii="Times New Roman" w:eastAsia="Times New Roman" w:hAnsi="Times New Roman" w:cs="Times New Roman"/>
                <w:lang w:eastAsia="ru-RU"/>
              </w:rPr>
              <w:t xml:space="preserve">            Инструментальные средства информационных систем</w:t>
            </w:r>
          </w:p>
        </w:tc>
      </w:tr>
      <w:tr w:rsidR="0092754D" w:rsidRPr="00B51F79" w:rsidTr="00255E32">
        <w:tc>
          <w:tcPr>
            <w:tcW w:w="3115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подготовки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  <w:t>(код и наименование направления /специальности подготовки)</w:t>
            </w:r>
          </w:p>
        </w:tc>
      </w:tr>
      <w:tr w:rsidR="0092754D" w:rsidRPr="00B51F79" w:rsidTr="00255E32">
        <w:tc>
          <w:tcPr>
            <w:tcW w:w="3115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Форма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обучения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  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Очно-заочная</w:t>
            </w:r>
            <w:proofErr w:type="spellEnd"/>
          </w:p>
        </w:tc>
      </w:tr>
      <w:tr w:rsidR="0092754D" w:rsidRPr="00B51F79" w:rsidTr="00255E32">
        <w:tc>
          <w:tcPr>
            <w:tcW w:w="3115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,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очно-заочная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,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заочная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92754D" w:rsidRPr="00B51F79" w:rsidTr="00255E32">
        <w:trPr>
          <w:trHeight w:val="68"/>
        </w:trPr>
        <w:tc>
          <w:tcPr>
            <w:tcW w:w="3115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</w:p>
        </w:tc>
      </w:tr>
    </w:tbl>
    <w:p w:rsidR="0092754D" w:rsidRPr="00B51F79" w:rsidRDefault="0092754D" w:rsidP="0092754D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t>.</w:t>
      </w:r>
    </w:p>
    <w:p w:rsidR="0092754D" w:rsidRPr="00B51F79" w:rsidRDefault="0092754D" w:rsidP="0092754D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br/>
      </w:r>
      <w:r w:rsidRPr="00B51F79"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  <w:br/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Отчет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по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лабораторной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работе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№</w:t>
      </w:r>
      <w:r w:rsidRPr="00B51F79"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val="en-US" w:eastAsia="zh-CN"/>
        </w:rPr>
        <w:t xml:space="preserve"> _</w:t>
      </w:r>
      <w:r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eastAsia="zh-CN"/>
        </w:rPr>
        <w:t>5</w:t>
      </w:r>
      <w:r w:rsidRPr="00B51F79"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val="en-US" w:eastAsia="zh-CN"/>
        </w:rPr>
        <w:t>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92754D" w:rsidRPr="00B51F79" w:rsidTr="00255E32">
        <w:tc>
          <w:tcPr>
            <w:tcW w:w="1276" w:type="dxa"/>
            <w:gridSpan w:val="2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на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тему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85321B" w:rsidP="0085321B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2"/>
                <w:lang w:eastAsia="zh-CN"/>
              </w:rPr>
            </w:pPr>
            <w:bookmarkStart w:id="0" w:name="_GoBack"/>
            <w:r>
              <w:rPr>
                <w:rStyle w:val="a6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Стандарты, подходы, методы и средства создания архитектуры предприятия.</w:t>
            </w:r>
            <w:bookmarkEnd w:id="0"/>
          </w:p>
        </w:tc>
      </w:tr>
      <w:tr w:rsidR="0092754D" w:rsidRPr="00B51F79" w:rsidTr="00255E32">
        <w:tc>
          <w:tcPr>
            <w:tcW w:w="3115" w:type="dxa"/>
            <w:gridSpan w:val="6"/>
            <w:shd w:val="clear" w:color="auto" w:fill="auto"/>
          </w:tcPr>
          <w:p w:rsidR="0092754D" w:rsidRPr="0085321B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92754D" w:rsidRPr="0085321B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темы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92754D" w:rsidRPr="00B51F79" w:rsidTr="00255E32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FF0000"/>
                <w:kern w:val="2"/>
                <w:sz w:val="16"/>
                <w:szCs w:val="16"/>
                <w:lang w:val="en-US" w:eastAsia="zh-CN"/>
              </w:rPr>
            </w:pPr>
          </w:p>
        </w:tc>
      </w:tr>
      <w:tr w:rsidR="0092754D" w:rsidRPr="00B51F79" w:rsidTr="00255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  <w:p w:rsidR="0092754D" w:rsidRPr="00B51F79" w:rsidRDefault="0092754D" w:rsidP="00255E32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по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дисциплине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2719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eastAsia="zh-CN"/>
              </w:rPr>
            </w:pPr>
          </w:p>
          <w:p w:rsidR="0092754D" w:rsidRPr="00B51F79" w:rsidRDefault="0085321B" w:rsidP="00255E32">
            <w:pPr>
              <w:widowControl w:val="0"/>
              <w:spacing w:after="0" w:line="240" w:lineRule="auto"/>
              <w:ind w:right="1894"/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lang w:eastAsia="zh-CN"/>
              </w:rPr>
            </w:pPr>
            <w:r w:rsidRPr="00AC2C5E">
              <w:rPr>
                <w:rFonts w:ascii="Times New Roman" w:eastAsiaTheme="minorEastAsia" w:hAnsi="Times New Roman" w:cs="Times New Roman"/>
                <w:b/>
                <w:kern w:val="2"/>
                <w:sz w:val="20"/>
                <w:szCs w:val="18"/>
                <w:lang w:eastAsia="zh-CN"/>
              </w:rPr>
              <w:t>Инструментальные средства информационных систем</w:t>
            </w:r>
          </w:p>
        </w:tc>
      </w:tr>
      <w:tr w:rsidR="0092754D" w:rsidRPr="00B51F79" w:rsidTr="00255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дисциплины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</w:tbl>
    <w:p w:rsidR="0092754D" w:rsidRPr="00B51F79" w:rsidRDefault="0092754D" w:rsidP="0092754D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92754D" w:rsidRPr="00B51F79" w:rsidRDefault="0092754D" w:rsidP="0092754D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2754D" w:rsidRPr="00B51F79" w:rsidTr="00255E32">
        <w:tc>
          <w:tcPr>
            <w:tcW w:w="2061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bookmarkStart w:id="1" w:name="_Hlk81468603"/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Обучающийся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Гулиев</w:t>
            </w:r>
            <w:proofErr w:type="spellEnd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Хайал</w:t>
            </w:r>
            <w:proofErr w:type="spellEnd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Вагифович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92754D" w:rsidRPr="00B51F79" w:rsidTr="00255E32">
        <w:tc>
          <w:tcPr>
            <w:tcW w:w="2061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подпись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)</w:t>
            </w:r>
            <w:bookmarkEnd w:id="1"/>
          </w:p>
        </w:tc>
      </w:tr>
      <w:tr w:rsidR="0092754D" w:rsidRPr="00B51F79" w:rsidTr="00255E3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Группа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eastAsiaTheme="minorEastAsia"/>
                <w:kern w:val="2"/>
                <w:sz w:val="20"/>
                <w:szCs w:val="21"/>
                <w:lang w:val="en-US" w:eastAsia="zh-CN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  <w:tr w:rsidR="0092754D" w:rsidRPr="00B51F79" w:rsidTr="00255E3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3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</w:tbl>
    <w:p w:rsidR="0092754D" w:rsidRPr="00B51F79" w:rsidRDefault="0092754D" w:rsidP="0092754D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92754D" w:rsidRPr="00B51F79" w:rsidRDefault="0092754D" w:rsidP="0092754D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2754D" w:rsidRPr="00B51F79" w:rsidTr="00255E32">
        <w:tc>
          <w:tcPr>
            <w:tcW w:w="2268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Преподаватель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  <w:t>Сибирев</w:t>
            </w:r>
            <w:proofErr w:type="spellEnd"/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92754D" w:rsidRPr="00B51F79" w:rsidTr="00255E32">
        <w:tc>
          <w:tcPr>
            <w:tcW w:w="2268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4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2754D" w:rsidRPr="00B51F79" w:rsidRDefault="0092754D" w:rsidP="00255E32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подпись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)</w:t>
            </w:r>
          </w:p>
        </w:tc>
      </w:tr>
    </w:tbl>
    <w:p w:rsidR="0092754D" w:rsidRPr="00B51F79" w:rsidRDefault="0092754D" w:rsidP="0092754D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92754D" w:rsidRPr="00B51F79" w:rsidRDefault="0092754D" w:rsidP="0092754D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92754D" w:rsidRPr="00B51F79" w:rsidRDefault="0092754D" w:rsidP="0092754D">
      <w:pPr>
        <w:widowControl w:val="0"/>
        <w:spacing w:after="0" w:line="240" w:lineRule="auto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</w:pPr>
      <w:r w:rsidRPr="00B51F79">
        <w:rPr>
          <w:rFonts w:ascii="TimesNewRomanPSMT" w:eastAsiaTheme="minorEastAsia" w:hAnsi="TimesNewRomanPSMT"/>
          <w:color w:val="000000"/>
          <w:kern w:val="2"/>
          <w:sz w:val="14"/>
          <w:szCs w:val="15"/>
          <w:lang w:val="en-US" w:eastAsia="zh-CN"/>
        </w:rPr>
        <w:br/>
      </w:r>
      <w:proofErr w:type="spellStart"/>
      <w:r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Москва</w:t>
      </w:r>
      <w:proofErr w:type="spellEnd"/>
      <w:r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2025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</w:p>
    <w:p w:rsidR="005637A0" w:rsidRDefault="005637A0"/>
    <w:p w:rsidR="0092754D" w:rsidRDefault="0092754D"/>
    <w:p w:rsidR="0092754D" w:rsidRDefault="0092754D"/>
    <w:p w:rsidR="0092754D" w:rsidRDefault="0092754D"/>
    <w:p w:rsidR="0092754D" w:rsidRDefault="0092754D"/>
    <w:p w:rsidR="0092754D" w:rsidRDefault="0092754D"/>
    <w:p w:rsidR="0092754D" w:rsidRDefault="0092754D"/>
    <w:p w:rsidR="0092754D" w:rsidRDefault="0092754D"/>
    <w:p w:rsidR="0092754D" w:rsidRPr="0092754D" w:rsidRDefault="0092754D" w:rsidP="0092754D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2754D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предприятия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ФитТех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>»</w:t>
      </w:r>
    </w:p>
    <w:p w:rsidR="0092754D" w:rsidRPr="0092754D" w:rsidRDefault="0092754D" w:rsidP="0092754D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92754D">
        <w:rPr>
          <w:rFonts w:ascii="Times New Roman" w:hAnsi="Times New Roman" w:cs="Times New Roman"/>
          <w:color w:val="000000" w:themeColor="text1"/>
          <w:lang w:val="ru-RU"/>
        </w:rPr>
        <w:t xml:space="preserve">Задание 1: Ментальная карта по </w:t>
      </w:r>
      <w:r w:rsidRPr="0092754D">
        <w:rPr>
          <w:rFonts w:ascii="Times New Roman" w:hAnsi="Times New Roman" w:cs="Times New Roman"/>
          <w:color w:val="000000" w:themeColor="text1"/>
        </w:rPr>
        <w:t>ISO</w:t>
      </w:r>
      <w:r w:rsidRPr="0092754D">
        <w:rPr>
          <w:rFonts w:ascii="Times New Roman" w:hAnsi="Times New Roman" w:cs="Times New Roman"/>
          <w:color w:val="000000" w:themeColor="text1"/>
          <w:lang w:val="ru-RU"/>
        </w:rPr>
        <w:t xml:space="preserve"> 15288:2005</w:t>
      </w:r>
    </w:p>
    <w:p w:rsidR="0092754D" w:rsidRPr="0092754D" w:rsidRDefault="0092754D" w:rsidP="0092754D">
      <w:pPr>
        <w:rPr>
          <w:rFonts w:ascii="Times New Roman" w:hAnsi="Times New Roman" w:cs="Times New Roman"/>
          <w:sz w:val="28"/>
          <w:szCs w:val="28"/>
        </w:rPr>
      </w:pPr>
      <w:r w:rsidRPr="0092754D">
        <w:rPr>
          <w:rFonts w:ascii="Times New Roman" w:hAnsi="Times New Roman" w:cs="Times New Roman"/>
          <w:sz w:val="28"/>
          <w:szCs w:val="28"/>
        </w:rPr>
        <w:t>Ментальная карта описывает управление проектом архитектуры предприятия согласно ISO 15288:2005. Включены фазы жизненного цикла и поддерживающие процессы.</w:t>
      </w:r>
    </w:p>
    <w:p w:rsidR="0092754D" w:rsidRPr="0092754D" w:rsidRDefault="0092754D" w:rsidP="0092754D">
      <w:pPr>
        <w:rPr>
          <w:rFonts w:ascii="Times New Roman" w:hAnsi="Times New Roman" w:cs="Times New Roman"/>
          <w:sz w:val="28"/>
          <w:szCs w:val="28"/>
        </w:rPr>
      </w:pPr>
      <w:r w:rsidRPr="0092754D">
        <w:rPr>
          <w:rFonts w:ascii="Times New Roman" w:hAnsi="Times New Roman" w:cs="Times New Roman"/>
          <w:sz w:val="28"/>
          <w:szCs w:val="28"/>
        </w:rPr>
        <w:t>Основные разделы ментальной карты:</w:t>
      </w:r>
    </w:p>
    <w:p w:rsidR="0092754D" w:rsidRPr="0092754D" w:rsidRDefault="0092754D" w:rsidP="0092754D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92754D">
        <w:rPr>
          <w:rFonts w:ascii="Times New Roman" w:hAnsi="Times New Roman" w:cs="Times New Roman"/>
          <w:sz w:val="28"/>
          <w:szCs w:val="28"/>
          <w:lang w:val="ru-RU"/>
        </w:rPr>
        <w:t>- Управление проектом (инициация, планирование, контроль, ресурсы, завершение)</w:t>
      </w:r>
    </w:p>
    <w:p w:rsidR="0092754D" w:rsidRPr="0092754D" w:rsidRDefault="0092754D" w:rsidP="0092754D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92754D">
        <w:rPr>
          <w:rFonts w:ascii="Times New Roman" w:hAnsi="Times New Roman" w:cs="Times New Roman"/>
          <w:sz w:val="28"/>
          <w:szCs w:val="28"/>
          <w:lang w:val="ru-RU"/>
        </w:rPr>
        <w:t>- Жизненный цикл архитектуры (концепция, разработка, производство, эксплуатация, вывод)</w:t>
      </w:r>
    </w:p>
    <w:p w:rsidR="0092754D" w:rsidRPr="0092754D" w:rsidRDefault="0092754D" w:rsidP="0092754D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92754D">
        <w:rPr>
          <w:rFonts w:ascii="Times New Roman" w:hAnsi="Times New Roman" w:cs="Times New Roman"/>
          <w:sz w:val="28"/>
          <w:szCs w:val="28"/>
          <w:lang w:val="ru-RU"/>
        </w:rPr>
        <w:t>- Поддерживающие процессы (риски, качество, конфигурация, версии)</w:t>
      </w:r>
    </w:p>
    <w:p w:rsidR="0092754D" w:rsidRPr="0092754D" w:rsidRDefault="0092754D" w:rsidP="0092754D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92754D">
        <w:rPr>
          <w:rFonts w:ascii="Times New Roman" w:hAnsi="Times New Roman" w:cs="Times New Roman"/>
          <w:sz w:val="28"/>
          <w:szCs w:val="28"/>
          <w:lang w:val="ru-RU"/>
        </w:rPr>
        <w:t xml:space="preserve">- Технические процессы (интеграция, </w:t>
      </w:r>
      <w:proofErr w:type="spellStart"/>
      <w:r w:rsidRPr="0092754D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Pr="0092754D">
        <w:rPr>
          <w:rFonts w:ascii="Times New Roman" w:hAnsi="Times New Roman" w:cs="Times New Roman"/>
          <w:sz w:val="28"/>
          <w:szCs w:val="28"/>
          <w:lang w:val="ru-RU"/>
        </w:rPr>
        <w:t>, безопасность)</w:t>
      </w:r>
    </w:p>
    <w:p w:rsidR="0092754D" w:rsidRPr="0092754D" w:rsidRDefault="0092754D" w:rsidP="0092754D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92754D">
        <w:rPr>
          <w:rFonts w:ascii="Times New Roman" w:hAnsi="Times New Roman" w:cs="Times New Roman"/>
          <w:color w:val="000000" w:themeColor="text1"/>
          <w:lang w:val="ru-RU"/>
        </w:rPr>
        <w:t xml:space="preserve">Задание 2: Документация по </w:t>
      </w:r>
      <w:r w:rsidRPr="0092754D">
        <w:rPr>
          <w:rFonts w:ascii="Times New Roman" w:hAnsi="Times New Roman" w:cs="Times New Roman"/>
          <w:color w:val="000000" w:themeColor="text1"/>
        </w:rPr>
        <w:t>ISO</w:t>
      </w:r>
      <w:r w:rsidRPr="0092754D">
        <w:rPr>
          <w:rFonts w:ascii="Times New Roman" w:hAnsi="Times New Roman" w:cs="Times New Roman"/>
          <w:color w:val="000000" w:themeColor="text1"/>
          <w:lang w:val="ru-RU"/>
        </w:rPr>
        <w:t xml:space="preserve"> 15704:2000 (</w:t>
      </w:r>
      <w:r w:rsidRPr="0092754D">
        <w:rPr>
          <w:rFonts w:ascii="Times New Roman" w:hAnsi="Times New Roman" w:cs="Times New Roman"/>
          <w:color w:val="000000" w:themeColor="text1"/>
        </w:rPr>
        <w:t>GERAM</w:t>
      </w:r>
      <w:r w:rsidRPr="0092754D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92754D" w:rsidRPr="0092754D" w:rsidRDefault="0092754D" w:rsidP="0092754D">
      <w:pPr>
        <w:rPr>
          <w:rFonts w:ascii="Times New Roman" w:hAnsi="Times New Roman" w:cs="Times New Roman"/>
          <w:sz w:val="28"/>
          <w:szCs w:val="28"/>
        </w:rPr>
      </w:pPr>
      <w:r w:rsidRPr="0092754D">
        <w:rPr>
          <w:rFonts w:ascii="Times New Roman" w:hAnsi="Times New Roman" w:cs="Times New Roman"/>
          <w:sz w:val="28"/>
          <w:szCs w:val="28"/>
        </w:rPr>
        <w:t>Документация по архитектуре предприятия соответствует стандарту ISO 15704:2000 и основана на модели GERAM.</w:t>
      </w:r>
    </w:p>
    <w:p w:rsidR="0092754D" w:rsidRPr="0092754D" w:rsidRDefault="0092754D" w:rsidP="0092754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5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Общее описание предприятия</w:t>
      </w:r>
    </w:p>
    <w:p w:rsidR="0092754D" w:rsidRPr="0092754D" w:rsidRDefault="0092754D" w:rsidP="0092754D">
      <w:pPr>
        <w:rPr>
          <w:rFonts w:ascii="Times New Roman" w:hAnsi="Times New Roman" w:cs="Times New Roman"/>
          <w:sz w:val="28"/>
          <w:szCs w:val="28"/>
        </w:rPr>
      </w:pPr>
      <w:r w:rsidRPr="0092754D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ФитТех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 xml:space="preserve">» — разработка 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 xml:space="preserve">-продуктов для фитнес-индустрии. Миссия: 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цифровизация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 xml:space="preserve"> управления спорт-объектами.</w:t>
      </w:r>
    </w:p>
    <w:p w:rsidR="0092754D" w:rsidRPr="0092754D" w:rsidRDefault="0092754D" w:rsidP="0092754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5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Компоненты архитектуры по </w:t>
      </w:r>
      <w:r w:rsidRPr="0092754D">
        <w:rPr>
          <w:rFonts w:ascii="Times New Roman" w:hAnsi="Times New Roman" w:cs="Times New Roman"/>
          <w:color w:val="000000" w:themeColor="text1"/>
          <w:sz w:val="28"/>
          <w:szCs w:val="28"/>
        </w:rPr>
        <w:t>GERAM</w:t>
      </w:r>
    </w:p>
    <w:p w:rsidR="0092754D" w:rsidRPr="0092754D" w:rsidRDefault="0092754D" w:rsidP="0092754D">
      <w:pPr>
        <w:rPr>
          <w:rFonts w:ascii="Times New Roman" w:hAnsi="Times New Roman" w:cs="Times New Roman"/>
          <w:sz w:val="28"/>
          <w:szCs w:val="28"/>
        </w:rPr>
      </w:pPr>
      <w:r w:rsidRPr="0092754D">
        <w:rPr>
          <w:rFonts w:ascii="Times New Roman" w:hAnsi="Times New Roman" w:cs="Times New Roman"/>
          <w:sz w:val="28"/>
          <w:szCs w:val="28"/>
        </w:rPr>
        <w:t>GERA — структура, иерархия, архитектурные уровни</w:t>
      </w:r>
      <w:r w:rsidRPr="0092754D">
        <w:rPr>
          <w:rFonts w:ascii="Times New Roman" w:hAnsi="Times New Roman" w:cs="Times New Roman"/>
          <w:sz w:val="28"/>
          <w:szCs w:val="28"/>
        </w:rPr>
        <w:br/>
        <w:t xml:space="preserve">GEM — методология: 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>, TOGAF, BPMN</w:t>
      </w:r>
      <w:r w:rsidRPr="0092754D">
        <w:rPr>
          <w:rFonts w:ascii="Times New Roman" w:hAnsi="Times New Roman" w:cs="Times New Roman"/>
          <w:sz w:val="28"/>
          <w:szCs w:val="28"/>
        </w:rPr>
        <w:br/>
        <w:t xml:space="preserve">GEML — языки описания: BPMN, UML, 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br/>
        <w:t xml:space="preserve">GEEM — средства: 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Archi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 xml:space="preserve">, Draw.io, 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br/>
        <w:t>GERP — жизненный цикл: ISO 15288 (инициация → эксплуатация)</w:t>
      </w:r>
      <w:r w:rsidRPr="0092754D">
        <w:rPr>
          <w:rFonts w:ascii="Times New Roman" w:hAnsi="Times New Roman" w:cs="Times New Roman"/>
          <w:sz w:val="28"/>
          <w:szCs w:val="28"/>
        </w:rPr>
        <w:br/>
        <w:t>GERC — составляющие: бизнес, ИТ, инфраструктура</w:t>
      </w:r>
      <w:r w:rsidRPr="0092754D">
        <w:rPr>
          <w:rFonts w:ascii="Times New Roman" w:hAnsi="Times New Roman" w:cs="Times New Roman"/>
          <w:sz w:val="28"/>
          <w:szCs w:val="28"/>
        </w:rPr>
        <w:br/>
        <w:t>GERT — путь реализации архитектуры</w:t>
      </w:r>
      <w:r w:rsidRPr="0092754D">
        <w:rPr>
          <w:rFonts w:ascii="Times New Roman" w:hAnsi="Times New Roman" w:cs="Times New Roman"/>
          <w:sz w:val="28"/>
          <w:szCs w:val="28"/>
        </w:rPr>
        <w:br/>
        <w:t xml:space="preserve">GERF — 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 xml:space="preserve"> и стандарты: ISO 15288, 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>, COBIT</w:t>
      </w:r>
    </w:p>
    <w:p w:rsidR="0092754D" w:rsidRPr="0092754D" w:rsidRDefault="0092754D" w:rsidP="0092754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5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Примеры архитектурной документации</w:t>
      </w:r>
    </w:p>
    <w:p w:rsidR="0092754D" w:rsidRPr="0092754D" w:rsidRDefault="0092754D" w:rsidP="0092754D">
      <w:pPr>
        <w:rPr>
          <w:rFonts w:ascii="Times New Roman" w:hAnsi="Times New Roman" w:cs="Times New Roman"/>
          <w:sz w:val="28"/>
          <w:szCs w:val="28"/>
        </w:rPr>
      </w:pPr>
      <w:r w:rsidRPr="0092754D">
        <w:rPr>
          <w:rFonts w:ascii="Times New Roman" w:hAnsi="Times New Roman" w:cs="Times New Roman"/>
          <w:sz w:val="28"/>
          <w:szCs w:val="28"/>
        </w:rPr>
        <w:t>- Архитектура процессов: BPMN-диаграммы</w:t>
      </w:r>
      <w:r w:rsidRPr="0092754D">
        <w:rPr>
          <w:rFonts w:ascii="Times New Roman" w:hAnsi="Times New Roman" w:cs="Times New Roman"/>
          <w:sz w:val="28"/>
          <w:szCs w:val="28"/>
        </w:rPr>
        <w:br/>
        <w:t>- ИТ-архитектура: данные, логика, приложения</w:t>
      </w:r>
      <w:r w:rsidRPr="0092754D">
        <w:rPr>
          <w:rFonts w:ascii="Times New Roman" w:hAnsi="Times New Roman" w:cs="Times New Roman"/>
          <w:sz w:val="28"/>
          <w:szCs w:val="28"/>
        </w:rPr>
        <w:br/>
        <w:t>- Техническая архитектура: серверы, CI/CD</w:t>
      </w:r>
      <w:r w:rsidRPr="0092754D">
        <w:rPr>
          <w:rFonts w:ascii="Times New Roman" w:hAnsi="Times New Roman" w:cs="Times New Roman"/>
          <w:sz w:val="28"/>
          <w:szCs w:val="28"/>
        </w:rPr>
        <w:br/>
        <w:t>- Информационные потоки: связи между системами</w:t>
      </w:r>
      <w:r w:rsidRPr="0092754D">
        <w:rPr>
          <w:rFonts w:ascii="Times New Roman" w:hAnsi="Times New Roman" w:cs="Times New Roman"/>
          <w:sz w:val="28"/>
          <w:szCs w:val="28"/>
        </w:rPr>
        <w:br/>
        <w:t>- Каталог приложений: CRM, BI, мобильное приложение</w:t>
      </w:r>
      <w:r w:rsidRPr="0092754D">
        <w:rPr>
          <w:rFonts w:ascii="Times New Roman" w:hAnsi="Times New Roman" w:cs="Times New Roman"/>
          <w:sz w:val="28"/>
          <w:szCs w:val="28"/>
        </w:rPr>
        <w:br/>
        <w:t xml:space="preserve">- Стратегия развития: </w:t>
      </w:r>
      <w:proofErr w:type="spellStart"/>
      <w:r w:rsidRPr="0092754D">
        <w:rPr>
          <w:rFonts w:ascii="Times New Roman" w:hAnsi="Times New Roman" w:cs="Times New Roman"/>
          <w:sz w:val="28"/>
          <w:szCs w:val="28"/>
        </w:rPr>
        <w:t>Roadmap</w:t>
      </w:r>
      <w:proofErr w:type="spellEnd"/>
      <w:r w:rsidRPr="0092754D">
        <w:rPr>
          <w:rFonts w:ascii="Times New Roman" w:hAnsi="Times New Roman" w:cs="Times New Roman"/>
          <w:sz w:val="28"/>
          <w:szCs w:val="28"/>
        </w:rPr>
        <w:t xml:space="preserve"> на 1, 3, 5 лет</w:t>
      </w:r>
    </w:p>
    <w:p w:rsidR="0092754D" w:rsidRDefault="0092754D"/>
    <w:sectPr w:rsidR="00927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82B2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EA"/>
    <w:rsid w:val="005637A0"/>
    <w:rsid w:val="0085321B"/>
    <w:rsid w:val="0092754D"/>
    <w:rsid w:val="00A5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2C273-DE89-4900-B05B-15DB81AD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754D"/>
  </w:style>
  <w:style w:type="paragraph" w:styleId="1">
    <w:name w:val="heading 1"/>
    <w:basedOn w:val="a0"/>
    <w:next w:val="a0"/>
    <w:link w:val="10"/>
    <w:uiPriority w:val="9"/>
    <w:qFormat/>
    <w:rsid w:val="0092754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92754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275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2754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92754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5">
    <w:name w:val="Заголовок Знак"/>
    <w:basedOn w:val="a1"/>
    <w:link w:val="a4"/>
    <w:uiPriority w:val="10"/>
    <w:rsid w:val="009275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">
    <w:name w:val="List Bullet"/>
    <w:basedOn w:val="a0"/>
    <w:uiPriority w:val="99"/>
    <w:unhideWhenUsed/>
    <w:rsid w:val="0092754D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a6">
    <w:name w:val="Emphasis"/>
    <w:basedOn w:val="a1"/>
    <w:uiPriority w:val="20"/>
    <w:qFormat/>
    <w:rsid w:val="00853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Ауд-Нагатинская-807 Студент</cp:lastModifiedBy>
  <cp:revision>3</cp:revision>
  <dcterms:created xsi:type="dcterms:W3CDTF">2025-04-05T12:06:00Z</dcterms:created>
  <dcterms:modified xsi:type="dcterms:W3CDTF">2025-04-05T12:23:00Z</dcterms:modified>
</cp:coreProperties>
</file>