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F2D" w:rsidRPr="00B51F79" w:rsidRDefault="00D03F2D" w:rsidP="00D03F2D">
      <w:pPr>
        <w:widowControl w:val="0"/>
        <w:spacing w:after="0" w:line="240" w:lineRule="auto"/>
        <w:ind w:right="-850" w:hanging="1701"/>
        <w:jc w:val="both"/>
        <w:rPr>
          <w:rFonts w:eastAsiaTheme="minorEastAsia"/>
          <w:kern w:val="2"/>
          <w:sz w:val="20"/>
          <w:szCs w:val="21"/>
          <w:lang w:val="en-US" w:eastAsia="zh-CN"/>
        </w:rPr>
      </w:pPr>
      <w:r w:rsidRPr="00B51F79">
        <w:rPr>
          <w:rFonts w:eastAsiaTheme="minorEastAsia"/>
          <w:noProof/>
          <w:kern w:val="2"/>
          <w:sz w:val="20"/>
          <w:szCs w:val="21"/>
          <w:lang w:eastAsia="ru-RU"/>
        </w:rPr>
        <w:drawing>
          <wp:inline distT="0" distB="0" distL="0" distR="0" wp14:anchorId="1BE39B16" wp14:editId="05C14E82">
            <wp:extent cx="7574280" cy="914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2D" w:rsidRPr="00B51F79" w:rsidRDefault="00D03F2D" w:rsidP="00D03F2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НЕГОСУДАРСТВЕННОЕ ОБРАЗОВАТЕЛЬНОЕ ЧАСТНОЕ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УЧРЕЖДЕНИЕ ВЫСШЕГО ОБРАЗОВАНИЯ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«МОСКОВСКИЙ ФИНАНСОВО-ПРОМЫШЛЕННЫЙ УНИВЕРСИТЕТ</w:t>
      </w:r>
      <w:r w:rsidRPr="00B51F79">
        <w:rPr>
          <w:rFonts w:ascii="TimesNewRomanPS-BoldMT" w:eastAsiaTheme="minorEastAsia" w:hAnsi="TimesNewRomanPS-BoldMT"/>
          <w:color w:val="000000"/>
          <w:kern w:val="2"/>
          <w:sz w:val="24"/>
          <w:szCs w:val="24"/>
          <w:lang w:eastAsia="zh-CN"/>
        </w:rPr>
        <w:t xml:space="preserve"> 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  <w:t>«СИНЕРГИЯ»</w:t>
      </w:r>
    </w:p>
    <w:p w:rsidR="00D03F2D" w:rsidRPr="00B51F79" w:rsidRDefault="00D03F2D" w:rsidP="00D03F2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4"/>
          <w:szCs w:val="24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D03F2D" w:rsidRPr="00B51F79" w:rsidTr="00A75512"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Факультет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Институт</w:t>
            </w:r>
            <w:proofErr w:type="spellEnd"/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Университет</w:t>
            </w:r>
            <w:proofErr w:type="spellEnd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Синергия</w:t>
            </w:r>
            <w:proofErr w:type="spellEnd"/>
          </w:p>
        </w:tc>
      </w:tr>
      <w:tr w:rsidR="00D03F2D" w:rsidRPr="00B51F79" w:rsidTr="00A75512"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факультета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/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Института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D03F2D" w:rsidRPr="00B51F79" w:rsidTr="00A75512"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Направление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/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специальность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16"/>
                <w:sz w:val="24"/>
                <w:szCs w:val="24"/>
                <w:lang w:eastAsia="ru-RU"/>
              </w:rPr>
            </w:pPr>
            <w:r w:rsidRPr="00B51F79">
              <w:rPr>
                <w:rFonts w:ascii="Times New Roman" w:eastAsia="Times New Roman" w:hAnsi="Times New Roman" w:cs="Times New Roman"/>
                <w:lang w:eastAsia="ru-RU"/>
              </w:rPr>
              <w:t xml:space="preserve">            Инструментальные средства информационных систем</w:t>
            </w:r>
          </w:p>
        </w:tc>
      </w:tr>
      <w:tr w:rsidR="00D03F2D" w:rsidRPr="00B51F79" w:rsidTr="00A75512"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подготовки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eastAsia="zh-CN"/>
              </w:rPr>
              <w:t>(код и наименование направления /специальности подготовки)</w:t>
            </w:r>
          </w:p>
        </w:tc>
      </w:tr>
      <w:tr w:rsidR="00D03F2D" w:rsidRPr="00B51F79" w:rsidTr="00A75512"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Форма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19"/>
                <w:szCs w:val="21"/>
                <w:lang w:val="en-US" w:eastAsia="zh-CN"/>
              </w:rPr>
              <w:t>обучения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 xml:space="preserve">                    </w:t>
            </w:r>
            <w:proofErr w:type="spellStart"/>
            <w:r w:rsidRPr="00B51F79">
              <w:rPr>
                <w:rFonts w:ascii="Times New Roman" w:eastAsiaTheme="minorEastAsia" w:hAnsi="Times New Roman" w:cs="Times New Roman"/>
                <w:kern w:val="2"/>
                <w:lang w:val="en-US" w:eastAsia="zh-CN"/>
              </w:rPr>
              <w:t>Очно-заочная</w:t>
            </w:r>
            <w:proofErr w:type="spellEnd"/>
          </w:p>
        </w:tc>
      </w:tr>
      <w:tr w:rsidR="00D03F2D" w:rsidRPr="00B51F79" w:rsidTr="00A75512"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очно-заочная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,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заочная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D03F2D" w:rsidRPr="00B51F79" w:rsidTr="00A75512">
        <w:trPr>
          <w:trHeight w:val="68"/>
        </w:trPr>
        <w:tc>
          <w:tcPr>
            <w:tcW w:w="3115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5948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</w:p>
        </w:tc>
      </w:tr>
    </w:tbl>
    <w:p w:rsidR="00D03F2D" w:rsidRPr="00B51F79" w:rsidRDefault="00D03F2D" w:rsidP="00D03F2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t>.</w:t>
      </w:r>
    </w:p>
    <w:p w:rsidR="00D03F2D" w:rsidRPr="00B51F79" w:rsidRDefault="00D03F2D" w:rsidP="00D03F2D">
      <w:pPr>
        <w:widowControl w:val="0"/>
        <w:spacing w:after="0" w:line="240" w:lineRule="auto"/>
        <w:ind w:right="-1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-BoldMT" w:eastAsiaTheme="minorEastAsia" w:hAnsi="TimesNewRomanPS-BoldMT"/>
          <w:color w:val="FFFFFF"/>
          <w:kern w:val="2"/>
          <w:sz w:val="26"/>
          <w:szCs w:val="24"/>
          <w:lang w:val="en-US" w:eastAsia="zh-CN"/>
        </w:rPr>
        <w:br/>
      </w:r>
      <w:r w:rsidRPr="00B51F79"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  <w:br/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Отчет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по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лабораторной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  <w:proofErr w:type="spellStart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работе</w:t>
      </w:r>
      <w:proofErr w:type="spellEnd"/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№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 xml:space="preserve"> _</w:t>
      </w:r>
      <w:r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eastAsia="zh-CN"/>
        </w:rPr>
        <w:t>6</w:t>
      </w:r>
      <w:r w:rsidRPr="00B51F79">
        <w:rPr>
          <w:rFonts w:ascii="TimesNewRomanPS-BoldMT" w:eastAsiaTheme="minorEastAsia" w:hAnsi="TimesNewRomanPS-BoldMT"/>
          <w:b/>
          <w:bCs/>
          <w:kern w:val="2"/>
          <w:sz w:val="26"/>
          <w:szCs w:val="24"/>
          <w:lang w:val="en-US" w:eastAsia="zh-CN"/>
        </w:rPr>
        <w:t>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D03F2D" w:rsidRPr="00B51F79" w:rsidTr="00A75512">
        <w:tc>
          <w:tcPr>
            <w:tcW w:w="1276" w:type="dxa"/>
            <w:gridSpan w:val="2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на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тему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D03F2D">
            <w:pPr>
              <w:widowControl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kern w:val="2"/>
                <w:lang w:eastAsia="zh-CN"/>
              </w:rPr>
            </w:pPr>
            <w:r>
              <w:rPr>
                <w:rStyle w:val="a3"/>
                <w:rFonts w:ascii="Tahoma" w:hAnsi="Tahoma" w:cs="Tahoma"/>
                <w:b/>
                <w:bCs/>
                <w:color w:val="292929"/>
                <w:sz w:val="21"/>
                <w:szCs w:val="21"/>
                <w:shd w:val="clear" w:color="auto" w:fill="FFFFFF"/>
              </w:rPr>
              <w:t>Планирование и организация проекта создания и развития архитектуры предприятия.</w:t>
            </w:r>
          </w:p>
        </w:tc>
      </w:tr>
      <w:tr w:rsidR="00D03F2D" w:rsidRPr="00B51F79" w:rsidTr="00A75512">
        <w:tc>
          <w:tcPr>
            <w:tcW w:w="3115" w:type="dxa"/>
            <w:gridSpan w:val="6"/>
            <w:shd w:val="clear" w:color="auto" w:fill="auto"/>
          </w:tcPr>
          <w:p w:rsidR="00D03F2D" w:rsidRPr="00D03F2D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shd w:val="clear" w:color="auto" w:fill="auto"/>
          </w:tcPr>
          <w:p w:rsidR="00D03F2D" w:rsidRPr="00D03F2D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темы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  <w:tr w:rsidR="00D03F2D" w:rsidRPr="00B51F79" w:rsidTr="00A75512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FF0000"/>
                <w:kern w:val="2"/>
                <w:sz w:val="16"/>
                <w:szCs w:val="16"/>
                <w:lang w:val="en-US" w:eastAsia="zh-CN"/>
              </w:rPr>
            </w:pPr>
          </w:p>
        </w:tc>
      </w:tr>
      <w:tr w:rsidR="00D03F2D" w:rsidRPr="00B51F79" w:rsidTr="00A755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  <w:p w:rsidR="00D03F2D" w:rsidRPr="00B51F79" w:rsidRDefault="00D03F2D" w:rsidP="00A75512">
            <w:pPr>
              <w:widowControl w:val="0"/>
              <w:spacing w:after="0" w:line="240" w:lineRule="auto"/>
              <w:ind w:right="-113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по</w:t>
            </w:r>
            <w:proofErr w:type="spellEnd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дисциплине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2719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eastAsia="zh-CN"/>
              </w:rPr>
            </w:pPr>
          </w:p>
          <w:p w:rsidR="00D03F2D" w:rsidRPr="00B51F79" w:rsidRDefault="00AF11F1" w:rsidP="00A75512">
            <w:pPr>
              <w:widowControl w:val="0"/>
              <w:spacing w:after="0" w:line="240" w:lineRule="auto"/>
              <w:ind w:right="1894"/>
              <w:jc w:val="center"/>
              <w:rPr>
                <w:rFonts w:ascii="Times New Roman" w:eastAsiaTheme="minorEastAsia" w:hAnsi="Times New Roman" w:cs="Times New Roman"/>
                <w:color w:val="000000"/>
                <w:kern w:val="2"/>
                <w:lang w:eastAsia="zh-CN"/>
              </w:rPr>
            </w:pPr>
            <w:r w:rsidRPr="00AC2C5E">
              <w:rPr>
                <w:rFonts w:ascii="Times New Roman" w:eastAsiaTheme="minorEastAsia" w:hAnsi="Times New Roman" w:cs="Times New Roman"/>
                <w:b/>
                <w:kern w:val="2"/>
                <w:sz w:val="20"/>
                <w:szCs w:val="18"/>
                <w:lang w:eastAsia="zh-CN"/>
              </w:rPr>
              <w:t>Инструментальные средства информационных систем</w:t>
            </w:r>
            <w:bookmarkStart w:id="0" w:name="_GoBack"/>
            <w:bookmarkEnd w:id="0"/>
          </w:p>
        </w:tc>
      </w:tr>
      <w:tr w:rsidR="00D03F2D" w:rsidRPr="00B51F79" w:rsidTr="00A755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ind w:right="-1"/>
              <w:jc w:val="both"/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6"/>
                <w:szCs w:val="16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наименование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дисциплины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6"/>
                <w:szCs w:val="16"/>
                <w:lang w:val="en-US" w:eastAsia="zh-CN"/>
              </w:rPr>
              <w:t>)</w:t>
            </w:r>
          </w:p>
        </w:tc>
      </w:tr>
    </w:tbl>
    <w:p w:rsidR="00D03F2D" w:rsidRPr="00B51F79" w:rsidRDefault="00D03F2D" w:rsidP="00D03F2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D03F2D" w:rsidRPr="00B51F79" w:rsidRDefault="00D03F2D" w:rsidP="00D03F2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D03F2D" w:rsidRPr="00B51F79" w:rsidTr="00A75512">
        <w:tc>
          <w:tcPr>
            <w:tcW w:w="2061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bookmarkStart w:id="1" w:name="_Hlk81468603"/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Обучающийся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Гулиев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Хайал</w:t>
            </w:r>
            <w:proofErr w:type="spellEnd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 xml:space="preserve"> </w:t>
            </w:r>
            <w:proofErr w:type="spellStart"/>
            <w:r w:rsidRPr="00B51F79">
              <w:rPr>
                <w:rFonts w:ascii="TimesNewRomanPS-BoldMT" w:eastAsiaTheme="minorEastAsia" w:hAnsi="TimesNewRomanPS-BoldMT"/>
                <w:iCs/>
                <w:kern w:val="2"/>
                <w:sz w:val="26"/>
                <w:szCs w:val="24"/>
                <w:lang w:val="en-US" w:eastAsia="zh-CN"/>
              </w:rPr>
              <w:t>Вагифович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D03F2D" w:rsidRPr="00B51F79" w:rsidTr="00A75512">
        <w:tc>
          <w:tcPr>
            <w:tcW w:w="2061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  <w:bookmarkEnd w:id="1"/>
          </w:p>
        </w:tc>
      </w:tr>
      <w:tr w:rsidR="00D03F2D" w:rsidRPr="00B51F79" w:rsidTr="00A7551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Группа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eastAsiaTheme="minorEastAsia"/>
                <w:kern w:val="2"/>
                <w:sz w:val="20"/>
                <w:szCs w:val="21"/>
                <w:lang w:val="en-US" w:eastAsia="zh-CN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  <w:tr w:rsidR="00D03F2D" w:rsidRPr="00B51F79" w:rsidTr="00A75512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3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</w:tr>
    </w:tbl>
    <w:p w:rsidR="00D03F2D" w:rsidRPr="00B51F79" w:rsidRDefault="00D03F2D" w:rsidP="00D03F2D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D03F2D" w:rsidRPr="00B51F79" w:rsidRDefault="00D03F2D" w:rsidP="00D03F2D">
      <w:pPr>
        <w:widowControl w:val="0"/>
        <w:spacing w:after="0" w:line="240" w:lineRule="auto"/>
        <w:ind w:right="-1"/>
        <w:jc w:val="center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D03F2D" w:rsidRPr="00B51F79" w:rsidTr="00A75512">
        <w:tc>
          <w:tcPr>
            <w:tcW w:w="2268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  <w:t>Преподаватель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</w:pPr>
            <w:proofErr w:type="spellStart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>Сибирев</w:t>
            </w:r>
            <w:proofErr w:type="spellEnd"/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eastAsia="zh-CN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</w:p>
        </w:tc>
      </w:tr>
      <w:tr w:rsidR="00D03F2D" w:rsidRPr="00B51F79" w:rsidTr="00A75512">
        <w:tc>
          <w:tcPr>
            <w:tcW w:w="2268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both"/>
              <w:rPr>
                <w:rFonts w:ascii="TimesNewRomanPS-BoldMT" w:eastAsiaTheme="minorEastAsia" w:hAnsi="TimesNewRomanPS-BoldMT"/>
                <w:b/>
                <w:bCs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284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  <w:r w:rsidRPr="00B51F79">
              <w:rPr>
                <w:rFonts w:ascii="TimesNewRomanPS-BoldMT" w:eastAsiaTheme="minorEastAsia" w:hAnsi="TimesNewRomanPS-Bold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-BoldMT" w:eastAsiaTheme="minorEastAsia" w:hAnsi="TimesNewRomanPS-BoldMT"/>
                <w:color w:val="000000"/>
                <w:kern w:val="2"/>
                <w:sz w:val="26"/>
                <w:szCs w:val="24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D03F2D" w:rsidRPr="00B51F79" w:rsidRDefault="00D03F2D" w:rsidP="00A75512">
            <w:pPr>
              <w:widowControl w:val="0"/>
              <w:spacing w:after="0" w:line="240" w:lineRule="auto"/>
              <w:jc w:val="center"/>
              <w:rPr>
                <w:rFonts w:ascii="TimesNewRomanPSMT" w:eastAsiaTheme="minorEastAsia" w:hAnsi="TimesNewRomanPSMT"/>
                <w:color w:val="000000"/>
                <w:kern w:val="2"/>
                <w:lang w:val="en-US" w:eastAsia="zh-CN"/>
              </w:rPr>
            </w:pPr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(</w:t>
            </w:r>
            <w:proofErr w:type="spellStart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подпись</w:t>
            </w:r>
            <w:proofErr w:type="spellEnd"/>
            <w:r w:rsidRPr="00B51F79">
              <w:rPr>
                <w:rFonts w:ascii="TimesNewRomanPSMT" w:eastAsiaTheme="minorEastAsia" w:hAnsi="TimesNewRomanPSMT"/>
                <w:color w:val="000000"/>
                <w:kern w:val="2"/>
                <w:sz w:val="14"/>
                <w:szCs w:val="15"/>
                <w:lang w:val="en-US" w:eastAsia="zh-CN"/>
              </w:rPr>
              <w:t>)</w:t>
            </w:r>
          </w:p>
        </w:tc>
      </w:tr>
    </w:tbl>
    <w:p w:rsidR="00D03F2D" w:rsidRPr="00B51F79" w:rsidRDefault="00D03F2D" w:rsidP="00D03F2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D03F2D" w:rsidRPr="00B51F79" w:rsidRDefault="00D03F2D" w:rsidP="00D03F2D">
      <w:pPr>
        <w:widowControl w:val="0"/>
        <w:spacing w:after="0" w:line="240" w:lineRule="auto"/>
        <w:ind w:right="-1"/>
        <w:jc w:val="both"/>
        <w:rPr>
          <w:rFonts w:ascii="TimesNewRomanPSMT" w:eastAsiaTheme="minorEastAsia" w:hAnsi="TimesNewRomanPSMT"/>
          <w:color w:val="000000"/>
          <w:kern w:val="2"/>
          <w:sz w:val="16"/>
          <w:szCs w:val="16"/>
          <w:lang w:val="en-US" w:eastAsia="zh-CN"/>
        </w:rPr>
      </w:pPr>
    </w:p>
    <w:p w:rsidR="00D03F2D" w:rsidRPr="00B51F79" w:rsidRDefault="00D03F2D" w:rsidP="00D03F2D">
      <w:pPr>
        <w:widowControl w:val="0"/>
        <w:spacing w:after="0" w:line="240" w:lineRule="auto"/>
        <w:jc w:val="center"/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</w:pPr>
      <w:r w:rsidRPr="00B51F79">
        <w:rPr>
          <w:rFonts w:ascii="TimesNewRomanPSMT" w:eastAsiaTheme="minorEastAsia" w:hAnsi="TimesNewRomanPSMT"/>
          <w:color w:val="000000"/>
          <w:kern w:val="2"/>
          <w:sz w:val="14"/>
          <w:szCs w:val="15"/>
          <w:lang w:val="en-US" w:eastAsia="zh-CN"/>
        </w:rPr>
        <w:br/>
      </w:r>
      <w:proofErr w:type="spellStart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>Москва</w:t>
      </w:r>
      <w:proofErr w:type="spellEnd"/>
      <w:r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2025</w:t>
      </w:r>
      <w:r w:rsidRPr="00B51F79">
        <w:rPr>
          <w:rFonts w:ascii="TimesNewRomanPS-BoldMT" w:eastAsiaTheme="minorEastAsia" w:hAnsi="TimesNewRomanPS-BoldMT"/>
          <w:b/>
          <w:bCs/>
          <w:color w:val="000000"/>
          <w:kern w:val="2"/>
          <w:sz w:val="26"/>
          <w:szCs w:val="24"/>
          <w:lang w:val="en-US" w:eastAsia="zh-CN"/>
        </w:rPr>
        <w:t xml:space="preserve"> </w:t>
      </w:r>
    </w:p>
    <w:p w:rsidR="00D03F2D" w:rsidRDefault="00D03F2D" w:rsidP="00D03F2D"/>
    <w:p w:rsidR="00A862BF" w:rsidRDefault="00A862BF"/>
    <w:p w:rsidR="00D03F2D" w:rsidRDefault="00D03F2D"/>
    <w:p w:rsidR="00D03F2D" w:rsidRDefault="00D03F2D"/>
    <w:p w:rsidR="00D03F2D" w:rsidRDefault="00D03F2D"/>
    <w:p w:rsidR="00D03F2D" w:rsidRDefault="00D03F2D"/>
    <w:p w:rsidR="00D03F2D" w:rsidRDefault="00D03F2D"/>
    <w:p w:rsidR="00D03F2D" w:rsidRPr="00D03F2D" w:rsidRDefault="00D03F2D" w:rsidP="00D03F2D">
      <w:pPr>
        <w:pStyle w:val="a4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03F2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Моделирование и оценка архитектуры предприятия ООО «</w:t>
      </w:r>
      <w:proofErr w:type="spellStart"/>
      <w:r w:rsidRPr="00D03F2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ФитТех</w:t>
      </w:r>
      <w:proofErr w:type="spellEnd"/>
      <w:r w:rsidRPr="00D03F2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»</w:t>
      </w:r>
    </w:p>
    <w:p w:rsidR="00D03F2D" w:rsidRPr="00D03F2D" w:rsidRDefault="00D03F2D" w:rsidP="00D03F2D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D03F2D">
        <w:rPr>
          <w:rFonts w:ascii="Times New Roman" w:hAnsi="Times New Roman" w:cs="Times New Roman"/>
          <w:color w:val="000000" w:themeColor="text1"/>
          <w:lang w:val="ru-RU"/>
        </w:rPr>
        <w:t>Задание 1: Бизнес-моделирование ключевого бизнес-процесса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 xml:space="preserve">Выбранный процесс: Обработка заявки клиента на подключение к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SaaS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>-платформе для фитнес-клубов.</w:t>
      </w:r>
    </w:p>
    <w:p w:rsidR="00D03F2D" w:rsidRPr="00D03F2D" w:rsidRDefault="00D03F2D" w:rsidP="00D03F2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F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Основные бизнес-модели и модели архитектуры информации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- Диаграмма прецедентов (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>): описывает взаимодействие администратора фитнес-клуба с системой для регистрации заявки, оплаты и доступа к системе.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- Диаграмма деятельности (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>): включает этапы — регистрация заявки, подтверждение, подписание договора, настройка системы, обучение персонала.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- Диаграмма классов (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>): основные сущности — Клиент, Договор, Учетная запись, Тариф, Поддержка.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- Диаграмма взаимодействия (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>): шаги от создания заявки до завершения внедрения, включая уведомления и подтверждение оплаты.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 xml:space="preserve">Диаграммы могут быть реализованы в инструментах: Draw.io,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Archi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F2D">
        <w:rPr>
          <w:rFonts w:ascii="Times New Roman" w:hAnsi="Times New Roman" w:cs="Times New Roman"/>
          <w:sz w:val="28"/>
          <w:szCs w:val="28"/>
        </w:rPr>
        <w:t>Paradigm</w:t>
      </w:r>
      <w:proofErr w:type="spellEnd"/>
      <w:r w:rsidRPr="00D03F2D">
        <w:rPr>
          <w:rFonts w:ascii="Times New Roman" w:hAnsi="Times New Roman" w:cs="Times New Roman"/>
          <w:sz w:val="28"/>
          <w:szCs w:val="28"/>
        </w:rPr>
        <w:t>.</w:t>
      </w:r>
    </w:p>
    <w:p w:rsidR="00D03F2D" w:rsidRPr="00D03F2D" w:rsidRDefault="00D03F2D" w:rsidP="00D03F2D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D03F2D">
        <w:rPr>
          <w:rFonts w:ascii="Times New Roman" w:hAnsi="Times New Roman" w:cs="Times New Roman"/>
          <w:color w:val="000000" w:themeColor="text1"/>
          <w:lang w:val="ru-RU"/>
        </w:rPr>
        <w:t>Задание 2: Расчет затрат и оценка экономической эффективности</w:t>
      </w:r>
    </w:p>
    <w:p w:rsidR="00D03F2D" w:rsidRPr="00D03F2D" w:rsidRDefault="00D03F2D" w:rsidP="00D03F2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F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 Затраты на разработку архитектуры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• Заработная плата архитекторов (2 чел. × 3 мес. × 120 000 руб.) = 720 000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• Инструменты и ПО (лицензии, облако) = 100 000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• Консалтинг и обучение = 80 000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• Итого: 900 000 руб.</w:t>
      </w:r>
    </w:p>
    <w:p w:rsidR="00D03F2D" w:rsidRPr="00D03F2D" w:rsidRDefault="00D03F2D" w:rsidP="00D03F2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F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 Затраты на сопровождение (в год)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• Техническая поддержка и доработка = 200 000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• Обновление документации = 50 000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• Итого: 250 000 руб.</w:t>
      </w:r>
    </w:p>
    <w:p w:rsidR="00D03F2D" w:rsidRPr="00D03F2D" w:rsidRDefault="00D03F2D" w:rsidP="00D03F2D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03F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 Оценка экономической эффективности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t>Ожидаемое повышение эффективности управления ИТ и бизнес-процессами приведёт к снижению издержек на 15% и росту выручки на 10% за счёт повышения качества услуг.</w:t>
      </w:r>
    </w:p>
    <w:p w:rsidR="00D03F2D" w:rsidRPr="00D03F2D" w:rsidRDefault="00D03F2D" w:rsidP="00D03F2D">
      <w:pPr>
        <w:rPr>
          <w:rFonts w:ascii="Times New Roman" w:hAnsi="Times New Roman" w:cs="Times New Roman"/>
          <w:sz w:val="28"/>
          <w:szCs w:val="28"/>
        </w:rPr>
      </w:pPr>
      <w:r w:rsidRPr="00D03F2D">
        <w:rPr>
          <w:rFonts w:ascii="Times New Roman" w:hAnsi="Times New Roman" w:cs="Times New Roman"/>
          <w:sz w:val="28"/>
          <w:szCs w:val="28"/>
        </w:rPr>
        <w:lastRenderedPageBreak/>
        <w:t>Ожидаемая экономия за год: 1 000 000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Чистый дисконтированный доход (NPV) за 3 года: более 1 500 000 руб.</w:t>
      </w:r>
      <w:r w:rsidRPr="00D03F2D">
        <w:rPr>
          <w:rFonts w:ascii="Times New Roman" w:hAnsi="Times New Roman" w:cs="Times New Roman"/>
          <w:sz w:val="28"/>
          <w:szCs w:val="28"/>
        </w:rPr>
        <w:br/>
        <w:t>Срок окупаемости: около 1 года.</w:t>
      </w:r>
    </w:p>
    <w:p w:rsidR="00D03F2D" w:rsidRPr="00D03F2D" w:rsidRDefault="00D03F2D">
      <w:pPr>
        <w:rPr>
          <w:rFonts w:ascii="Times New Roman" w:hAnsi="Times New Roman" w:cs="Times New Roman"/>
          <w:sz w:val="28"/>
          <w:szCs w:val="28"/>
        </w:rPr>
      </w:pPr>
    </w:p>
    <w:sectPr w:rsidR="00D03F2D" w:rsidRPr="00D0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D9"/>
    <w:rsid w:val="009E56D9"/>
    <w:rsid w:val="00A862BF"/>
    <w:rsid w:val="00AF11F1"/>
    <w:rsid w:val="00D0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7FB00-9FAE-4C62-9560-471F5D7E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F2D"/>
  </w:style>
  <w:style w:type="paragraph" w:styleId="1">
    <w:name w:val="heading 1"/>
    <w:basedOn w:val="a"/>
    <w:next w:val="a"/>
    <w:link w:val="10"/>
    <w:uiPriority w:val="9"/>
    <w:qFormat/>
    <w:rsid w:val="00D03F2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03F2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03F2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03F2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D03F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a4">
    <w:name w:val="Title"/>
    <w:basedOn w:val="a"/>
    <w:next w:val="a"/>
    <w:link w:val="a5"/>
    <w:uiPriority w:val="10"/>
    <w:qFormat/>
    <w:rsid w:val="00D03F2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5">
    <w:name w:val="Заголовок Знак"/>
    <w:basedOn w:val="a0"/>
    <w:link w:val="a4"/>
    <w:uiPriority w:val="10"/>
    <w:rsid w:val="00D03F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3</cp:revision>
  <dcterms:created xsi:type="dcterms:W3CDTF">2025-04-05T12:12:00Z</dcterms:created>
  <dcterms:modified xsi:type="dcterms:W3CDTF">2025-04-05T12:23:00Z</dcterms:modified>
</cp:coreProperties>
</file>