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0EE3614C" w:rsidR="00E21821" w:rsidRDefault="00827F63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2A014C93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351FDF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4F491E70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</w:t>
      </w:r>
      <w:r w:rsidR="00827F63">
        <w:rPr>
          <w:sz w:val="24"/>
          <w:szCs w:val="24"/>
        </w:rPr>
        <w:t>_____Мокренская_Дарья_Александровна</w:t>
      </w:r>
      <w:r>
        <w:rPr>
          <w:sz w:val="24"/>
          <w:szCs w:val="24"/>
        </w:rPr>
        <w:t>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24E9B46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</w:t>
      </w:r>
      <w:r w:rsidR="00827F63">
        <w:rPr>
          <w:sz w:val="24"/>
          <w:szCs w:val="24"/>
        </w:rPr>
        <w:t>ДКИП-205-прог</w:t>
      </w:r>
      <w:r w:rsidR="00190378" w:rsidRPr="00190378">
        <w:rPr>
          <w:sz w:val="24"/>
          <w:szCs w:val="24"/>
        </w:rPr>
        <w:t>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686B2810" w:rsidR="00821716" w:rsidRPr="00E21821" w:rsidRDefault="00F56F29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1ECE82B" w:rsidR="00821716" w:rsidRPr="00E21821" w:rsidRDefault="00F56F29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2893AB37" w:rsidR="00821716" w:rsidRPr="00E21821" w:rsidRDefault="00F56F29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441C1E8B" w:rsidR="00821716" w:rsidRPr="00E21821" w:rsidRDefault="00F56F29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05CC91DE" w:rsidR="00821716" w:rsidRPr="00E21821" w:rsidRDefault="00F56F29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lastRenderedPageBreak/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14049D2F" w:rsidR="00821716" w:rsidRPr="00E21821" w:rsidRDefault="00F56F29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100EDC02" w:rsidR="00E21821" w:rsidRPr="00E21821" w:rsidRDefault="00F56F29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251AFA97" w:rsidR="00E21821" w:rsidRPr="00E21821" w:rsidRDefault="00F56F29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170C3FBC" w:rsidR="00383A40" w:rsidRPr="005162D7" w:rsidRDefault="00F56F2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4BF5D0B5" w:rsidR="00383A40" w:rsidRPr="005162D7" w:rsidRDefault="00F56F2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0E97E56C" w:rsidR="00383A40" w:rsidRPr="005162D7" w:rsidRDefault="00F56F2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4492936" w:rsidR="00383A40" w:rsidRPr="005162D7" w:rsidRDefault="00F56F2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5BEF9AC" w:rsidR="00383A40" w:rsidRPr="005162D7" w:rsidRDefault="00F56F2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A7D1B77" w:rsidR="00383A40" w:rsidRPr="005162D7" w:rsidRDefault="00F56F29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</w:t>
            </w:r>
            <w:r w:rsidR="00F80330">
              <w:rPr>
                <w:bCs/>
                <w:kern w:val="32"/>
              </w:rPr>
              <w:lastRenderedPageBreak/>
              <w:t>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338" w:type="dxa"/>
          </w:tcPr>
          <w:p w14:paraId="47034C27" w14:textId="2C939839" w:rsidR="00083DD9" w:rsidRPr="005162D7" w:rsidRDefault="00F56F29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2B058A50" w:rsidR="00083DD9" w:rsidRPr="005162D7" w:rsidRDefault="00F56F29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6B81AB01" w:rsidR="00100155" w:rsidRPr="00AB03AE" w:rsidRDefault="00F56F29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688A42DE" wp14:editId="1D0EB2C3">
                  <wp:extent cx="1029253" cy="527601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949" cy="53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2DEE8" w14:textId="77777777" w:rsidR="009432FA" w:rsidRDefault="009432FA" w:rsidP="00301E2C">
      <w:r>
        <w:separator/>
      </w:r>
    </w:p>
  </w:endnote>
  <w:endnote w:type="continuationSeparator" w:id="0">
    <w:p w14:paraId="0DB91337" w14:textId="77777777" w:rsidR="009432FA" w:rsidRDefault="009432FA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3C180" w14:textId="77777777" w:rsidR="009432FA" w:rsidRDefault="009432FA" w:rsidP="00301E2C">
      <w:r>
        <w:separator/>
      </w:r>
    </w:p>
  </w:footnote>
  <w:footnote w:type="continuationSeparator" w:id="0">
    <w:p w14:paraId="3174EBE4" w14:textId="77777777" w:rsidR="009432FA" w:rsidRDefault="009432FA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5E1C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283E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04D7F"/>
    <w:rsid w:val="008161A7"/>
    <w:rsid w:val="00817EE5"/>
    <w:rsid w:val="00821716"/>
    <w:rsid w:val="00826642"/>
    <w:rsid w:val="00827F63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432FA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912EE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08C6"/>
    <w:rsid w:val="00F44CC4"/>
    <w:rsid w:val="00F450C4"/>
    <w:rsid w:val="00F56219"/>
    <w:rsid w:val="00F56F2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2025-06-21T10:04:00Z</dcterms:created>
  <dcterms:modified xsi:type="dcterms:W3CDTF">2025-06-26T21:27:00Z</dcterms:modified>
</cp:coreProperties>
</file>