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2026" w:dyaOrig="1451">
          <v:rect xmlns:o="urn:schemas-microsoft-com:office:office" xmlns:v="urn:schemas-microsoft-com:vml" id="rectole0000000000" style="width:601.300000pt;height: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878"/>
        <w:gridCol w:w="274"/>
        <w:gridCol w:w="5656"/>
      </w:tblGrid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Синергия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системы и программирование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подготовки: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Форма обучения: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очная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300" w:line="300"/>
              <w:ind w:right="330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3F2EF" w:val="clear"/>
              </w:rPr>
              <w:t xml:space="preserve">Рекурсивные функции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83167"/>
                <w:spacing w:val="0"/>
                <w:position w:val="0"/>
                <w:sz w:val="28"/>
                <w:shd w:fill="FFFFFF" w:val="clear"/>
              </w:rPr>
              <w:t xml:space="preserve">Разработка программных модулей | ПМ.01 | Разработка модулей программного обеспечения для компьютерных систем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Шепелев Владислав Александрович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ДКИП-206ПРОГ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Иван Валерьевич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2024 г.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9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Теоретические сведения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Рекурсия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это метод, при котором функция вызывает саму себя для решения задачи, разбивая её на более простые подзадачи. В данной задаче требуется вычислить вложенные квадратные корни, где каждый следующий корень добавляется внутрь предыдущего. Это классический пример задачи, которую удобно решать с помощью рекурсии.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Рекурсивное решение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Рекурсивная функция для вычисления y(n)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 будет иметь следующий вид: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Базовый случай: Если current=n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 возвращаем 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​.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Рекурсивный случай: Возвращаем current+y(n,current+1)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+1)​, где current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текущий шаг рекурсии.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object w:dxaOrig="7950" w:dyaOrig="849">
          <v:rect xmlns:o="urn:schemas-microsoft-com:office:office" xmlns:v="urn:schemas-microsoft-com:vml" id="rectole0000000001" style="width:397.500000pt;height:4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Рекурсивное решение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415" w:dyaOrig="6885">
          <v:rect xmlns:o="urn:schemas-microsoft-com:office:office" xmlns:v="urn:schemas-microsoft-com:vml" id="rectole0000000002" style="width:470.750000pt;height:34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9415" w:dyaOrig="1407">
          <v:rect xmlns:o="urn:schemas-microsoft-com:office:office" xmlns:v="urn:schemas-microsoft-com:vml" id="rectole0000000003" style="width:470.750000pt;height:70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4190" w:dyaOrig="1598">
          <v:rect xmlns:o="urn:schemas-microsoft-com:office:office" xmlns:v="urn:schemas-microsoft-com:vml" id="rectole0000000004" style="width:209.500000pt;height:79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Итеративное решение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415" w:dyaOrig="7154">
          <v:rect xmlns:o="urn:schemas-microsoft-com:office:office" xmlns:v="urn:schemas-microsoft-com:vml" id="rectole0000000005" style="width:470.750000pt;height:35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9415" w:dyaOrig="1545">
          <v:rect xmlns:o="urn:schemas-microsoft-com:office:office" xmlns:v="urn:schemas-microsoft-com:vml" id="rectole0000000006" style="width:470.750000pt;height:7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802" w:dyaOrig="2059">
          <v:rect xmlns:o="urn:schemas-microsoft-com:office:office" xmlns:v="urn:schemas-microsoft-com:vml" id="rectole0000000007" style="width:190.100000pt;height:10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Какая функция называется рекурсивной?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Какая функция называется рекурсивной?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Рекурсивная функция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это функция, которая вызывает саму себя прямо или косвенно (через другую функцию) в процессе своего выполнения.</w:t>
        <w:br/>
        <w:t xml:space="preserve">Ключевые особенности: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Самовызов: Функция содержит вызов самой себя.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Базовый случай: Обязательное условие для остановки рекурсии (иначе произойдет переполнение стека).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Рекурсивный случай: Шаг, который приближает решение к базовому случаю.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Может ли в реализации рекурсивной функции существовать несколько операторов передачи управления return?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Да, рекурсивная функция может содержать несколько операторов return.</w:t>
        <w:br/>
        <w:t xml:space="preserve">Это часто необходимо для:</w:t>
      </w:r>
    </w:p>
    <w:p>
      <w:pPr>
        <w:numPr>
          <w:ilvl w:val="0"/>
          <w:numId w:val="81"/>
        </w:numPr>
        <w:tabs>
          <w:tab w:val="left" w:pos="720" w:leader="none"/>
        </w:tabs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Обработки базового случая (например, возврат конкретного значения).</w:t>
      </w:r>
    </w:p>
    <w:p>
      <w:pPr>
        <w:numPr>
          <w:ilvl w:val="0"/>
          <w:numId w:val="81"/>
        </w:numPr>
        <w:tabs>
          <w:tab w:val="left" w:pos="720" w:leader="none"/>
        </w:tabs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Разных ветвей логики (например, для положительных/отрицательных входных данных).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7">
    <w:abstractNumId w:val="12"/>
  </w:num>
  <w:num w:numId="79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