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3557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14:paraId="6009A08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 _</w:t>
      </w:r>
      <w:r>
        <w:rPr>
          <w:color w:val="000000"/>
          <w:spacing w:val="-5"/>
          <w:sz w:val="28"/>
          <w:szCs w:val="28"/>
          <w:u w:val="single"/>
        </w:rPr>
        <w:t>ДКИП-204прог</w:t>
      </w:r>
      <w:r>
        <w:rPr>
          <w:color w:val="000000"/>
          <w:spacing w:val="-5"/>
          <w:sz w:val="28"/>
          <w:szCs w:val="28"/>
        </w:rPr>
        <w:t>_</w:t>
      </w:r>
    </w:p>
    <w:p w14:paraId="6C5F2E1B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>шифр и номер группы</w:t>
      </w:r>
    </w:p>
    <w:p w14:paraId="1A78B952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____</w:t>
      </w:r>
      <w:r>
        <w:rPr>
          <w:color w:val="000000"/>
          <w:spacing w:val="-3"/>
          <w:sz w:val="28"/>
          <w:szCs w:val="28"/>
          <w:u w:val="single"/>
          <w:lang w:val="ru-RU"/>
        </w:rPr>
        <w:t>Алиев</w:t>
      </w:r>
      <w:r>
        <w:rPr>
          <w:color w:val="000000"/>
          <w:spacing w:val="-3"/>
          <w:sz w:val="28"/>
          <w:szCs w:val="28"/>
        </w:rPr>
        <w:t>__</w:t>
      </w:r>
      <w:r>
        <w:rPr>
          <w:color w:val="000000"/>
          <w:spacing w:val="-3"/>
          <w:sz w:val="28"/>
          <w:szCs w:val="28"/>
          <w:u w:val="single"/>
          <w:lang w:val="ru-RU"/>
        </w:rPr>
        <w:t>Тимур</w:t>
      </w:r>
      <w:r>
        <w:rPr>
          <w:color w:val="000000"/>
          <w:spacing w:val="-3"/>
          <w:sz w:val="28"/>
          <w:szCs w:val="28"/>
        </w:rPr>
        <w:t>__</w:t>
      </w:r>
      <w:r>
        <w:rPr>
          <w:color w:val="000000"/>
          <w:spacing w:val="-3"/>
          <w:sz w:val="28"/>
          <w:szCs w:val="28"/>
          <w:u w:val="single"/>
          <w:lang w:val="ru-RU"/>
        </w:rPr>
        <w:t>Заурович</w:t>
      </w:r>
      <w:r>
        <w:rPr>
          <w:color w:val="000000"/>
          <w:spacing w:val="-3"/>
          <w:sz w:val="28"/>
          <w:szCs w:val="28"/>
        </w:rPr>
        <w:t>____</w:t>
      </w:r>
    </w:p>
    <w:p w14:paraId="246A4DD7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14:paraId="1D38FCC9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Style w:val="5"/>
        <w:tblW w:w="9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866"/>
      </w:tblGrid>
      <w:tr w14:paraId="08B1D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E467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14:paraId="6C4B0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A6C16C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14:paraId="24922D86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 w14:paraId="2A4703E9">
            <w:pPr>
              <w:pStyle w:val="19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F52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6A1B31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vAlign w:val="center"/>
          </w:tcPr>
          <w:p w14:paraId="356A6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-28.05.2025</w:t>
            </w:r>
          </w:p>
        </w:tc>
      </w:tr>
      <w:tr w14:paraId="59AF4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CAF862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>
            <w:pPr>
              <w:pStyle w:val="19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14:paraId="0E8438D1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 w14:paraId="01846845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14:paraId="4FA0D756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 w14:paraId="4A44285B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vAlign w:val="center"/>
          </w:tcPr>
          <w:p w14:paraId="33CCFA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-01.06.2025</w:t>
            </w:r>
          </w:p>
        </w:tc>
      </w:tr>
      <w:tr w14:paraId="4C707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62" w:type="dxa"/>
            <w:vAlign w:val="center"/>
          </w:tcPr>
          <w:p w14:paraId="35834AC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14:paraId="75706690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>
            <w:pPr>
              <w:pStyle w:val="20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проделанной работы.</w:t>
            </w:r>
          </w:p>
        </w:tc>
        <w:tc>
          <w:tcPr>
            <w:tcW w:w="1866" w:type="dxa"/>
            <w:vAlign w:val="center"/>
          </w:tcPr>
          <w:p w14:paraId="1CC1A8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19.06.2025</w:t>
            </w:r>
          </w:p>
        </w:tc>
      </w:tr>
      <w:tr w14:paraId="5B992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0F4C609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20.06.2025</w:t>
            </w:r>
          </w:p>
        </w:tc>
      </w:tr>
      <w:tr w14:paraId="4701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E9BAD78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>
            <w:pPr>
              <w:pStyle w:val="18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 w14:paraId="1784B4B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14:paraId="393FC6D1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14:paraId="13EC0529"/>
    <w:p w14:paraId="4E48D5F4"/>
    <w:p w14:paraId="5B44D18C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63500</wp:posOffset>
                </wp:positionV>
                <wp:extent cx="213995" cy="262255"/>
                <wp:effectExtent l="9525" t="9525" r="24130" b="1397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5" name="Рукописный ввод 5"/>
                            <w14:cNvContentPartPr/>
                          </w14:nvContentPartPr>
                          <w14:xfrm>
                            <a:off x="4644390" y="8303260"/>
                            <a:ext cx="213995" cy="262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0.65pt;margin-top:5pt;height:20.65pt;width:16.85pt;z-index:251660288;mso-width-relative:page;mso-height-relative:page;" coordsize="21600,21600" o:gfxdata="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">
                <v:imagedata r:id="rId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63500</wp:posOffset>
                </wp:positionV>
                <wp:extent cx="225425" cy="213995"/>
                <wp:effectExtent l="9525" t="9525" r="12700" b="2413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1" name="Рукописный ввод 1"/>
                            <w14:cNvContentPartPr/>
                          </w14:nvContentPartPr>
                          <w14:xfrm>
                            <a:off x="4646295" y="8303260"/>
                            <a:ext cx="225425" cy="213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0.8pt;margin-top:5pt;height:16.85pt;width:17.75pt;z-index:251659264;mso-width-relative:page;mso-height-relative:page;" coordsize="21600,21600" o:gfxdata="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">
                <v:imagedata r:id="rId10" o:title=""/>
                <o:lock v:ext="edit"/>
              </v:shape>
            </w:pict>
          </mc:Fallback>
        </mc:AlternateContent>
      </w:r>
    </w:p>
    <w:p w14:paraId="7A27D4E0">
      <w:pPr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__</w:t>
      </w:r>
      <w:r>
        <w:rPr>
          <w:b w:val="0"/>
          <w:bCs w:val="0"/>
          <w:sz w:val="24"/>
          <w:szCs w:val="24"/>
          <w:u w:val="single"/>
          <w:lang w:val="ru-RU"/>
        </w:rPr>
        <w:t>Алиев</w:t>
      </w:r>
      <w:r>
        <w:rPr>
          <w:rFonts w:hint="default"/>
          <w:sz w:val="24"/>
          <w:szCs w:val="24"/>
          <w:lang w:val="ru-RU"/>
        </w:rPr>
        <w:t>_</w:t>
      </w:r>
      <w:r>
        <w:rPr>
          <w:rFonts w:hint="default"/>
          <w:sz w:val="24"/>
          <w:szCs w:val="24"/>
          <w:u w:val="single"/>
          <w:lang w:val="ru-RU"/>
        </w:rPr>
        <w:t>Т.</w:t>
      </w:r>
      <w:r>
        <w:rPr>
          <w:rFonts w:hint="default"/>
          <w:sz w:val="24"/>
          <w:szCs w:val="24"/>
          <w:lang w:val="ru-RU"/>
        </w:rPr>
        <w:t>_</w:t>
      </w:r>
      <w:bookmarkStart w:id="0" w:name="_GoBack"/>
      <w:r>
        <w:rPr>
          <w:rFonts w:hint="default"/>
          <w:sz w:val="24"/>
          <w:szCs w:val="24"/>
          <w:u w:val="single"/>
          <w:lang w:val="ru-RU"/>
        </w:rPr>
        <w:t>З.</w:t>
      </w:r>
      <w:bookmarkEnd w:id="0"/>
      <w:r>
        <w:rPr>
          <w:sz w:val="24"/>
          <w:szCs w:val="24"/>
        </w:rPr>
        <w:t>__</w:t>
      </w:r>
    </w:p>
    <w:p w14:paraId="651EA097">
      <w:pPr>
        <w:ind w:left="4248" w:firstLine="708"/>
        <w:jc w:val="center"/>
      </w:pPr>
      <w:r>
        <w:t>(подпись)</w:t>
      </w:r>
      <w:r>
        <w:tab/>
      </w:r>
      <w:r>
        <w:tab/>
      </w:r>
      <w:r>
        <w:t>(расшифровка)</w:t>
      </w:r>
    </w:p>
    <w:sectPr>
      <w:headerReference r:id="rId5" w:type="first"/>
      <w:pgSz w:w="11906" w:h="16838"/>
      <w:pgMar w:top="1134" w:right="851" w:bottom="993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 New Roman PSMT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B34629">
    <w:pPr>
      <w:pStyle w:val="14"/>
    </w:pPr>
    <w:r>
      <w:rPr>
        <w:rFonts w:ascii="Arial" w:hAnsi="Arial" w:cs="Arial"/>
        <w:b/>
        <w:sz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5"/>
      <w:tblW w:w="10064" w:type="dxa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36"/>
      <w:gridCol w:w="3827"/>
      <w:gridCol w:w="248"/>
      <w:gridCol w:w="4005"/>
      <w:gridCol w:w="248"/>
    </w:tblGrid>
    <w:tr w14:paraId="07A8AE1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87" w:hRule="atLeast"/>
      </w:trPr>
      <w:tc>
        <w:tcPr>
          <w:tcW w:w="5811" w:type="dxa"/>
          <w:gridSpan w:val="3"/>
          <w:vAlign w:val="center"/>
        </w:tcPr>
        <w:p w14:paraId="509759A0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14:paraId="5C203E5D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>
          <w:pPr>
            <w:jc w:val="center"/>
            <w:rPr>
              <w:b/>
              <w:sz w:val="22"/>
              <w:szCs w:val="22"/>
            </w:rPr>
          </w:pPr>
          <w: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3FD3116">
          <w:pPr>
            <w:jc w:val="center"/>
            <w:rPr>
              <w:b/>
              <w:sz w:val="22"/>
              <w:szCs w:val="22"/>
            </w:rPr>
          </w:pPr>
        </w:p>
        <w:p w14:paraId="335109E9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14:paraId="46F5FF3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14:paraId="664CDD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14:paraId="4DC15F3E">
          <w:pPr>
            <w:jc w:val="center"/>
            <w:rPr>
              <w:sz w:val="22"/>
              <w:szCs w:val="22"/>
            </w:rPr>
          </w:pPr>
          <w: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E6FAF62">
          <w:pPr>
            <w:jc w:val="center"/>
            <w:rPr>
              <w:sz w:val="22"/>
              <w:szCs w:val="22"/>
            </w:rPr>
          </w:pPr>
        </w:p>
        <w:p w14:paraId="6DA7FE9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14:paraId="60DFE03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14:paraId="46E8F42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gridAfter w:val="1"/>
        <w:wAfter w:w="248" w:type="dxa"/>
      </w:trPr>
      <w:tc>
        <w:tcPr>
          <w:tcW w:w="1736" w:type="dxa"/>
          <w:vAlign w:val="center"/>
        </w:tcPr>
        <w:p w14:paraId="6D2C611B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color="auto" w:sz="4" w:space="0"/>
          </w:tcBorders>
          <w:vAlign w:val="center"/>
        </w:tcPr>
        <w:p w14:paraId="5A96291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14:paraId="4DB340E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34EA5"/>
    <w:multiLevelType w:val="multilevel"/>
    <w:tmpl w:val="0B834EA5"/>
    <w:lvl w:ilvl="0" w:tentative="0">
      <w:start w:val="1"/>
      <w:numFmt w:val="bullet"/>
      <w:lvlText w:val=""/>
      <w:lvlJc w:val="left"/>
      <w:pPr>
        <w:ind w:left="11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1">
    <w:nsid w:val="69343882"/>
    <w:multiLevelType w:val="multilevel"/>
    <w:tmpl w:val="693438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  <w:rsid w:val="1608217E"/>
    <w:rsid w:val="411D3F82"/>
    <w:rsid w:val="535472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3"/>
    <w:basedOn w:val="1"/>
    <w:next w:val="1"/>
    <w:link w:val="24"/>
    <w:qFormat/>
    <w:uiPriority w:val="99"/>
    <w:pPr>
      <w:keepNext/>
      <w:widowControl/>
      <w:autoSpaceDE/>
      <w:autoSpaceDN/>
      <w:adjustRightInd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3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2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Plain Text"/>
    <w:basedOn w:val="1"/>
    <w:link w:val="27"/>
    <w:qFormat/>
    <w:uiPriority w:val="0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11">
    <w:name w:val="annotation text"/>
    <w:basedOn w:val="1"/>
    <w:link w:val="28"/>
    <w:semiHidden/>
    <w:unhideWhenUsed/>
    <w:qFormat/>
    <w:uiPriority w:val="99"/>
  </w:style>
  <w:style w:type="paragraph" w:styleId="12">
    <w:name w:val="annotation subject"/>
    <w:basedOn w:val="11"/>
    <w:next w:val="11"/>
    <w:link w:val="29"/>
    <w:semiHidden/>
    <w:unhideWhenUsed/>
    <w:qFormat/>
    <w:uiPriority w:val="99"/>
    <w:rPr>
      <w:b/>
      <w:bCs/>
    </w:rPr>
  </w:style>
  <w:style w:type="paragraph" w:styleId="13">
    <w:name w:val="footnote text"/>
    <w:basedOn w:val="1"/>
    <w:link w:val="31"/>
    <w:semiHidden/>
    <w:unhideWhenUsed/>
    <w:qFormat/>
    <w:uiPriority w:val="99"/>
  </w:style>
  <w:style w:type="paragraph" w:styleId="14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table" w:styleId="1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M3"/>
    <w:basedOn w:val="1"/>
    <w:next w:val="1"/>
    <w:qFormat/>
    <w:uiPriority w:val="99"/>
    <w:pPr>
      <w:spacing w:line="276" w:lineRule="atLeast"/>
    </w:pPr>
    <w:rPr>
      <w:rFonts w:ascii="Times New Roman PSMT" w:hAnsi="Times New Roman PSMT" w:eastAsia="Calibri"/>
      <w:sz w:val="24"/>
      <w:szCs w:val="24"/>
    </w:rPr>
  </w:style>
  <w:style w:type="paragraph" w:customStyle="1" w:styleId="18">
    <w:name w:val="Default"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9">
    <w:name w:val="List Paragraph"/>
    <w:basedOn w:val="1"/>
    <w:link w:val="30"/>
    <w:qFormat/>
    <w:uiPriority w:val="1"/>
    <w:pPr>
      <w:ind w:left="720"/>
      <w:contextualSpacing/>
    </w:pPr>
  </w:style>
  <w:style w:type="paragraph" w:customStyle="1" w:styleId="20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21">
    <w:name w:val="Текст выноски Знак"/>
    <w:basedOn w:val="4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22">
    <w:name w:val="Основной текст_"/>
    <w:basedOn w:val="4"/>
    <w:link w:val="23"/>
    <w:qFormat/>
    <w:uiPriority w:val="0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2"/>
    <w:basedOn w:val="1"/>
    <w:link w:val="22"/>
    <w:uiPriority w:val="0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24">
    <w:name w:val="Заголовок 3 Знак"/>
    <w:basedOn w:val="4"/>
    <w:link w:val="2"/>
    <w:qFormat/>
    <w:uiPriority w:val="99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customStyle="1" w:styleId="25">
    <w:name w:val="Заголовок 4 Знак"/>
    <w:basedOn w:val="4"/>
    <w:link w:val="3"/>
    <w:uiPriority w:val="99"/>
    <w:rPr>
      <w:rFonts w:asciiTheme="majorHAnsi" w:hAnsiTheme="majorHAnsi" w:eastAsiaTheme="majorEastAsia" w:cstheme="majorBidi"/>
      <w:i/>
      <w:iCs/>
      <w:color w:val="2E75B6" w:themeColor="accent1" w:themeShade="BF"/>
      <w:sz w:val="20"/>
      <w:szCs w:val="20"/>
      <w:lang w:eastAsia="ru-RU"/>
    </w:rPr>
  </w:style>
  <w:style w:type="paragraph" w:customStyle="1" w:styleId="26">
    <w:name w:val="menu_base_text1"/>
    <w:basedOn w:val="1"/>
    <w:qFormat/>
    <w:uiPriority w:val="0"/>
    <w:pPr>
      <w:widowControl/>
      <w:pBdr>
        <w:bottom w:val="single" w:color="D7DBDF" w:sz="6" w:space="8"/>
        <w:right w:val="single" w:color="D7DBDF" w:sz="6" w:space="15"/>
      </w:pBdr>
      <w:autoSpaceDE/>
      <w:autoSpaceDN/>
      <w:adjustRightInd/>
      <w:spacing w:before="100" w:beforeAutospacing="1" w:after="100" w:afterAutospacing="1"/>
      <w:jc w:val="both"/>
    </w:pPr>
  </w:style>
  <w:style w:type="character" w:customStyle="1" w:styleId="27">
    <w:name w:val="Текст Знак"/>
    <w:basedOn w:val="4"/>
    <w:link w:val="10"/>
    <w:qFormat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8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Тема примечания Знак"/>
    <w:basedOn w:val="28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0">
    <w:name w:val="Абзац списка Знак"/>
    <w:basedOn w:val="4"/>
    <w:link w:val="1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2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Ниж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34">
    <w:name w:val="Table 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4T20:43:08"/>
    </inkml:context>
    <inkml:brush xml:id="br0">
      <inkml:brushProperty name="width" value="0.0529194456206428" units="cm"/>
      <inkml:brushProperty name="height" value="0.0529194456206428" units="cm"/>
      <inkml:brushProperty name="color" value="#000000"/>
      <inkml:brushProperty name="ignorePressure" value="0"/>
    </inkml:brush>
  </inkml:definitions>
  <inkml:trace contextRef="#ctx0" brushRef="#br0">15939.000 30480.000 767,'-6.455'0.000'0,"0.229"0.000"0,-1.240 0.000-5,-2.626 0.000 3,-0.834 0.795 0,3.646 1.000 1,-4.511 1.908-3,2.027-0.301 2,-0.860 0.598 0,-0.394 0.775-2,-0.016 0.891 3,-3.533 3.219-3,0.436 0.879-1,-4.216 4.912 4,3.499-2.615-2,4.037-2.809 2,-1.063 1.986 2,0.979 0.488-1,1.127 0.211-1,1.194-0.002 1,-1.067 2.555-1,-2.629 3.502 6,0.763 1.910-7,1.742-4.137 6,0.062-0.100-5,-1.642 4.863 1,0.784 0.197 2,0.728-1.400-7,1.189-0.109 8,1.397-0.309-4,1.606-1.813 1,1.243-1.445 1,1.112-1.600 1,0.951-1.594 0,0.780-1.482-1,0.596-1.166-1,0.521-2.010-1,0.523 2.406 0,1.274-4.066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6-14T20:42:58"/>
    </inkml:context>
    <inkml:brush xml:id="br0">
      <inkml:brushProperty name="width" value="0.0529194456206428" units="cm"/>
      <inkml:brushProperty name="height" value="0.0529194456206428" units="cm"/>
      <inkml:brushProperty name="color" value="#000000"/>
      <inkml:brushProperty name="ignorePressure" value="0"/>
    </inkml:brush>
  </inkml:definitions>
  <inkml:trace contextRef="#ctx0" brushRef="#br0">15606.000 30480.000 767,'7.900'0.000'0,"-1.835"0.000"0,4.522 1.006-7,-3.581 0.957 5,0.029 1.416 0,-1.522-0.367 1,0.449 0.295 0,4.516 3.705-3,-1.661-1.117 2,4.248 1.355 2,0.345 1.674-2,-2.465-0.813 1,1.099 1.725 2,0.922 0.762-3,-1.045-0.461-1,0.542 1.111 3,2.981 3.289-2,-2.889-2.320-2,0.438 0.637 1,10.868 11.219 0,2.636 3.027-3,-1.541-1.328 3,-4.876-2.693-4,-7.566-7.596 7,-1.604-0.791-1,2.176 5.396 1,-3.473-3.387 7,-2.949-3.514 0,-2.374-3.283-3,-1.819-2.861-2,-1.080 0.494 0,-6.933-10.098-2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20239F-B351-4F6C-8495-7E7774754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548</Words>
  <Characters>3127</Characters>
  <Lines>26</Lines>
  <Paragraphs>7</Paragraphs>
  <TotalTime>3</TotalTime>
  <ScaleCrop>false</ScaleCrop>
  <LinksUpToDate>false</LinksUpToDate>
  <CharactersWithSpaces>3668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cp:lastModifiedBy>Morta Rionis</cp:lastModifiedBy>
  <cp:lastPrinted>2017-01-27T17:36:00Z</cp:lastPrinted>
  <dcterms:modified xsi:type="dcterms:W3CDTF">2025-06-16T18:05:33Z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CFD0D9BF0C3248999715DF9C1EE82104_12</vt:lpwstr>
  </property>
</Properties>
</file>