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4DA8D4AE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2D1DEB" w:rsidRPr="002D1DEB">
        <w:rPr>
          <w:color w:val="000000"/>
          <w:spacing w:val="-5"/>
          <w:sz w:val="28"/>
          <w:szCs w:val="28"/>
        </w:rPr>
        <w:t>VДКИП-111прог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6F2DC610" w:rsidR="00B36100" w:rsidRPr="00387B46" w:rsidRDefault="002D1DEB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Бакуменко Александра Олеговича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0FC7F3E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-28.05.2025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7BC60E62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72264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-01.06.2025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</w:t>
            </w:r>
            <w:proofErr w:type="spellStart"/>
            <w:r w:rsidRPr="008F1CF0">
              <w:rPr>
                <w:sz w:val="24"/>
                <w:szCs w:val="24"/>
              </w:rPr>
              <w:t>Git</w:t>
            </w:r>
            <w:proofErr w:type="spellEnd"/>
            <w:r w:rsidRPr="008F1CF0">
              <w:rPr>
                <w:sz w:val="24"/>
                <w:szCs w:val="24"/>
              </w:rPr>
              <w:t xml:space="preserve"> </w:t>
            </w:r>
            <w:proofErr w:type="spellStart"/>
            <w:r w:rsidRPr="008F1CF0">
              <w:rPr>
                <w:sz w:val="24"/>
                <w:szCs w:val="24"/>
              </w:rPr>
              <w:t>Bash</w:t>
            </w:r>
            <w:proofErr w:type="spellEnd"/>
            <w:r w:rsidRPr="008F1CF0">
              <w:rPr>
                <w:sz w:val="24"/>
                <w:szCs w:val="24"/>
              </w:rPr>
              <w:t xml:space="preserve">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904133E" w:rsidR="00406285" w:rsidRPr="009355EA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</w:t>
            </w:r>
            <w:r w:rsidR="009355EA">
              <w:rPr>
                <w:sz w:val="24"/>
                <w:szCs w:val="24"/>
              </w:rPr>
              <w:t>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785B84D4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43ABAFED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73E2F60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13EE46FA" w:rsidR="001A1019" w:rsidRDefault="002D1DEB" w:rsidP="001A1019"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95FD3A" wp14:editId="125317D6">
            <wp:simplePos x="0" y="0"/>
            <wp:positionH relativeFrom="column">
              <wp:posOffset>3015615</wp:posOffset>
            </wp:positionH>
            <wp:positionV relativeFrom="paragraph">
              <wp:posOffset>-66676</wp:posOffset>
            </wp:positionV>
            <wp:extent cx="1457325" cy="129222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70948">
                      <a:off x="0" y="0"/>
                      <a:ext cx="1457325" cy="129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48D5F4" w14:textId="53AF0B2E" w:rsidR="005C143E" w:rsidRDefault="005C143E" w:rsidP="005C143E"/>
    <w:p w14:paraId="5B44D18C" w14:textId="42F2B521" w:rsidR="005C143E" w:rsidRPr="00C33123" w:rsidRDefault="005C143E" w:rsidP="005C143E"/>
    <w:p w14:paraId="7A27D4E0" w14:textId="0CE6BB22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</w:r>
      <w:r w:rsidR="002D1DEB">
        <w:rPr>
          <w:sz w:val="24"/>
          <w:szCs w:val="24"/>
        </w:rPr>
        <w:t xml:space="preserve">      Бакуменко А.О.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9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66AEB" w14:textId="77777777" w:rsidR="00B61F46" w:rsidRDefault="00B61F46" w:rsidP="005C143E">
      <w:r>
        <w:separator/>
      </w:r>
    </w:p>
  </w:endnote>
  <w:endnote w:type="continuationSeparator" w:id="0">
    <w:p w14:paraId="7A3B306B" w14:textId="77777777" w:rsidR="00B61F46" w:rsidRDefault="00B61F46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B959D" w14:textId="77777777" w:rsidR="00B61F46" w:rsidRDefault="00B61F46" w:rsidP="005C143E">
      <w:r>
        <w:separator/>
      </w:r>
    </w:p>
  </w:footnote>
  <w:footnote w:type="continuationSeparator" w:id="0">
    <w:p w14:paraId="1F774569" w14:textId="77777777" w:rsidR="00B61F46" w:rsidRDefault="00B61F46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845E2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D1DEB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264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61F46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0239F-B351-4F6C-8495-7E7774754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Саня</cp:lastModifiedBy>
  <cp:revision>2</cp:revision>
  <cp:lastPrinted>2017-01-27T17:36:00Z</cp:lastPrinted>
  <dcterms:created xsi:type="dcterms:W3CDTF">2025-06-08T08:01:00Z</dcterms:created>
  <dcterms:modified xsi:type="dcterms:W3CDTF">2025-06-08T08:01:00Z</dcterms:modified>
</cp:coreProperties>
</file>