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jc w:val="center"/>
        <w:rPr/>
      </w:pPr>
      <w:r>
        <w:rPr/>
        <w:t xml:space="preserve">Работа с </w:t>
      </w:r>
      <w:r>
        <w:rPr>
          <w:lang w:val="en-US"/>
        </w:rPr>
        <w:t>Git</w:t>
      </w:r>
    </w:p>
    <w:p>
      <w:pPr>
        <w:pStyle w:val="Normal"/>
        <w:rPr/>
      </w:pPr>
      <w:r>
        <w:rPr/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(рисунок 1).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8010" cy="26098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– Клонирование репозитория и просмотр удаленных репозиториев</w:t>
      </w:r>
    </w:p>
    <w:p>
      <w:pPr>
        <w:pStyle w:val="Normal"/>
        <w:rPr/>
      </w:pPr>
      <w:r>
        <w:rPr/>
        <w:tab/>
        <w:t>Можно указать ключ -v, чтобы просмотреть адреса для чтения и записи, привязанные к репозиторию (рисунок 2).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10572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Просмотр удаленных репозиториев с ключом -</w:t>
      </w:r>
      <w:r>
        <w:rPr>
          <w:lang w:val="en-US"/>
        </w:rPr>
        <w:t>v</w:t>
      </w:r>
    </w:p>
    <w:p>
      <w:pPr>
        <w:pStyle w:val="Normal"/>
        <w:rPr/>
      </w:pPr>
      <w:r>
        <w:rPr/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</w:t>
      </w:r>
      <w:r>
        <w:rPr>
          <w:lang w:val="en-US"/>
        </w:rPr>
        <w:t>add</w:t>
      </w:r>
      <w:r>
        <w:rPr/>
        <w:t xml:space="preserve"> (рисунок 3).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785" cy="18383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Добавление удаленного репозитория</w:t>
      </w:r>
    </w:p>
    <w:p>
      <w:pPr>
        <w:pStyle w:val="Normal"/>
        <w:rPr/>
      </w:pPr>
      <w:r>
        <w:rPr/>
        <w:tab/>
        <w:t>После задания имени репозиторию впоследствии его можно использовать вместо указания полного пути (рисунок 4).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17907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Использование имени вместо пути</w:t>
      </w:r>
    </w:p>
    <w:p>
      <w:pPr>
        <w:pStyle w:val="Normal"/>
        <w:rPr/>
      </w:pPr>
      <w:r>
        <w:rPr/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fetch</w:t>
      </w:r>
      <w:r>
        <w:rPr/>
        <w:t xml:space="preserve"> (рисунок 5).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860" cy="18288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Получение данных из удаленных проектов</w:t>
      </w:r>
    </w:p>
    <w:p>
      <w:pPr>
        <w:pStyle w:val="Normal"/>
        <w:rPr/>
      </w:pPr>
      <w:r>
        <w:rPr/>
        <w:tab/>
        <w:t xml:space="preserve">Для отправки изменений в удаленный репозиторий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push</w:t>
      </w:r>
      <w:r>
        <w:rPr/>
        <w:t xml:space="preserve"> (рисунок 6).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Отправка изменений в удаленный репозиторий</w:t>
      </w:r>
    </w:p>
    <w:p>
      <w:pPr>
        <w:pStyle w:val="Normal"/>
        <w:rPr/>
      </w:pPr>
      <w:r>
        <w:rPr/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</w:t>
      </w:r>
      <w:r>
        <w:rPr>
          <w:lang w:val="en-US"/>
        </w:rPr>
        <w:t>show</w:t>
      </w:r>
      <w:r>
        <w:rPr/>
        <w:t xml:space="preserve"> (рисунок 7).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4775" cy="343852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940425" cy="3132455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- Информация об удаленном репозитории</w:t>
      </w:r>
    </w:p>
    <w:p>
      <w:pPr>
        <w:pStyle w:val="Normal"/>
        <w:rPr/>
      </w:pPr>
      <w:r>
        <w:rPr/>
        <w:tab/>
        <w:t>Для переименования удаленных репозиториев используется команда git remote rename (рисунок 8).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004060"/>
            <wp:effectExtent l="0" t="0" r="0" b="0"/>
            <wp:docPr id="8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Переименование удаленного репозитория</w:t>
      </w:r>
    </w:p>
    <w:p>
      <w:pPr>
        <w:pStyle w:val="Normal"/>
        <w:rPr/>
      </w:pPr>
      <w:r>
        <w:rPr/>
        <w:tab/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remote</w:t>
      </w:r>
      <w:r>
        <w:rPr/>
        <w:t xml:space="preserve"> </w:t>
      </w:r>
      <w:r>
        <w:rPr>
          <w:lang w:val="en-US"/>
        </w:rPr>
        <w:t>remove</w:t>
      </w:r>
      <w:r>
        <w:rPr/>
        <w:t xml:space="preserve"> (рисунок 9).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925955"/>
            <wp:effectExtent l="0" t="0" r="0" b="0"/>
            <wp:docPr id="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- Удаление удаленного репозитория</w:t>
      </w:r>
    </w:p>
    <w:p>
      <w:pPr>
        <w:pStyle w:val="Normal"/>
        <w:rPr/>
      </w:pPr>
      <w:r>
        <w:rPr/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tag</w:t>
      </w:r>
      <w:r>
        <w:rPr/>
        <w:t xml:space="preserve"> (рисунок 10).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288415"/>
            <wp:effectExtent l="0" t="0" r="0" b="0"/>
            <wp:docPr id="1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- Просмотр тегов</w:t>
      </w:r>
    </w:p>
    <w:p>
      <w:pPr>
        <w:pStyle w:val="Normal"/>
        <w:rPr/>
      </w:pPr>
      <w:r>
        <w:rPr/>
        <w:tab/>
        <w:t>Для создания аннотированной метки нужно выполнить команду,</w:t>
      </w:r>
      <w:bookmarkStart w:id="0" w:name="_GoBack"/>
      <w:bookmarkEnd w:id="0"/>
      <w:r>
        <w:rPr/>
        <w:t xml:space="preserve"> показанную на рисунке 11.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425700"/>
            <wp:effectExtent l="0" t="0" r="0" b="0"/>
            <wp:docPr id="1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Создание аннотированной метки</w:t>
      </w:r>
    </w:p>
    <w:p>
      <w:pPr>
        <w:pStyle w:val="Normal"/>
        <w:rPr/>
      </w:pPr>
      <w:r>
        <w:rPr/>
        <w:tab/>
        <w:t>Команда git show осуществляет просмотр данных тегов вместе с коммитом (рисунок 12).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4074795"/>
            <wp:effectExtent l="0" t="0" r="0" b="0"/>
            <wp:docPr id="1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Просмотр данных тега</w:t>
      </w:r>
    </w:p>
    <w:p>
      <w:pPr>
        <w:pStyle w:val="Normal"/>
        <w:rPr/>
      </w:pPr>
      <w:r>
        <w:rPr/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rPr/>
        <w:t>, -</w:t>
      </w:r>
      <w:r>
        <w:rPr>
          <w:lang w:val="en-US"/>
        </w:rPr>
        <w:t>s</w:t>
      </w:r>
      <w:r>
        <w:rPr/>
        <w:t xml:space="preserve"> и -</w:t>
      </w:r>
      <w:r>
        <w:rPr>
          <w:lang w:val="en-US"/>
        </w:rPr>
        <w:t>m</w:t>
      </w:r>
      <w:r>
        <w:rPr/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show</w:t>
      </w:r>
      <w:r>
        <w:rPr/>
        <w:t xml:space="preserve"> (рисунок 14).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586990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Создание легковесной метки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821430"/>
            <wp:effectExtent l="0" t="0" r="0" b="0"/>
            <wp:docPr id="1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Просмотр данных тега</w:t>
      </w:r>
    </w:p>
    <w:p>
      <w:pPr>
        <w:pStyle w:val="Normal"/>
        <w:rPr/>
      </w:pPr>
      <w:r>
        <w:rPr/>
        <w:tab/>
        <w:t>Для отметки определенного коммита тегом надо указать его хэш (рисунки 15-17).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515870"/>
            <wp:effectExtent l="0" t="0" r="0" b="0"/>
            <wp:docPr id="1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Просмотр истории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99025" cy="163322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- Создание тега определенному коммиту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777740" cy="2080260"/>
            <wp:effectExtent l="0" t="0" r="0" b="0"/>
            <wp:docPr id="1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Ввод сообщения в текстовом редакторе</w:t>
      </w:r>
    </w:p>
    <w:p>
      <w:pPr>
        <w:pStyle w:val="Normal"/>
        <w:rPr/>
      </w:pPr>
      <w:r>
        <w:rPr/>
        <w:tab/>
        <w:t>Данные этого тега можно просмотреть аналогичным образом (рисунок 18).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428688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Просмотр данных тега</w:t>
      </w:r>
    </w:p>
    <w:p>
      <w:pPr>
        <w:pStyle w:val="Normal"/>
        <w:rPr/>
      </w:pPr>
      <w:r>
        <w:rPr/>
        <w:tab/>
        <w:t xml:space="preserve">По умолчанию,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push</w:t>
      </w:r>
      <w:r>
        <w:rPr/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push</w:t>
      </w:r>
      <w:r>
        <w:rPr/>
        <w:t xml:space="preserve"> </w:t>
      </w:r>
      <w:r>
        <w:rPr>
          <w:lang w:val="en-US"/>
        </w:rPr>
        <w:t>shared</w:t>
      </w:r>
      <w:r>
        <w:rPr/>
        <w:t xml:space="preserve"> (рисунок 19).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112010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Отправка тега на удаленный сервер</w:t>
      </w:r>
    </w:p>
    <w:p>
      <w:pPr>
        <w:pStyle w:val="Normal"/>
        <w:rPr/>
      </w:pPr>
      <w:r>
        <w:rPr/>
        <w:tab/>
        <w:t>Можно использовать опцию --</w:t>
      </w:r>
      <w:r>
        <w:rPr>
          <w:lang w:val="en-US"/>
        </w:rPr>
        <w:t>tags</w:t>
      </w:r>
      <w:r>
        <w:rPr/>
        <w:t xml:space="preserve"> для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push</w:t>
      </w:r>
      <w:r>
        <w:rPr/>
        <w:t>. В таком случае все теги отправятся на удалённый сервер (рисунок 20).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277110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Отправка всех тегов на сервер</w:t>
      </w:r>
    </w:p>
    <w:p>
      <w:pPr>
        <w:pStyle w:val="Normal"/>
        <w:rPr/>
      </w:pPr>
      <w:r>
        <w:rPr/>
        <w:tab/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tag</w:t>
      </w:r>
      <w:r>
        <w:rPr/>
        <w:t xml:space="preserve"> с параметром -</w:t>
      </w:r>
      <w:r>
        <w:rPr>
          <w:lang w:val="en-US"/>
        </w:rPr>
        <w:t>d</w:t>
      </w:r>
      <w:r>
        <w:rPr/>
        <w:t xml:space="preserve"> (рисунок 21).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336675"/>
            <wp:effectExtent l="0" t="0" r="0" b="0"/>
            <wp:docPr id="2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Удаление тега</w:t>
      </w:r>
    </w:p>
    <w:p>
      <w:pPr>
        <w:pStyle w:val="Normal"/>
        <w:rPr/>
      </w:pPr>
      <w:r>
        <w:rPr/>
        <w:tab/>
        <w:t>Для удаления тега с сервера используется команда, показанная на рисунке 22.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621155"/>
            <wp:effectExtent l="0" t="0" r="0" b="0"/>
            <wp:docPr id="2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- Удаление тегов с сервера</w:t>
      </w:r>
    </w:p>
    <w:p>
      <w:pPr>
        <w:pStyle w:val="Normal"/>
        <w:rPr/>
      </w:pPr>
      <w:r>
        <w:rPr/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rPr/>
        <w:t xml:space="preserve"> </w:t>
      </w:r>
      <w:r>
        <w:rPr>
          <w:lang w:val="en-US"/>
        </w:rPr>
        <w:t>HEAD</w:t>
      </w:r>
      <w:r>
        <w:rPr/>
        <w:t>».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330575"/>
            <wp:effectExtent l="0" t="0" r="0" b="0"/>
            <wp:docPr id="23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- Переключение на метку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384300"/>
            <wp:effectExtent l="0" t="0" r="0" b="0"/>
            <wp:docPr id="24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- Создание новой ветки</w:t>
      </w:r>
    </w:p>
    <w:p>
      <w:pPr>
        <w:pStyle w:val="Normal"/>
        <w:rPr/>
      </w:pPr>
      <w:r>
        <w:rPr/>
        <w:tab/>
        <w:t>Можно создать псевдонимы (алиасы) для команд. Создание алиасов и примеры их использования показаны на рисунках 25-30.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855970" cy="2087880"/>
            <wp:effectExtent l="0" t="0" r="0" b="0"/>
            <wp:docPr id="2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2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25</w:t>
      </w:r>
      <w:r>
        <w:rPr/>
        <w:fldChar w:fldCharType="end"/>
      </w:r>
      <w:r>
        <w:rPr/>
        <w:t xml:space="preserve"> - Задание алиасов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172210"/>
            <wp:effectExtent l="0" t="0" r="0" b="0"/>
            <wp:docPr id="2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26</w:t>
      </w:r>
      <w:r>
        <w:rPr/>
        <w:fldChar w:fldCharType="end"/>
      </w:r>
      <w:r>
        <w:rPr/>
        <w:t xml:space="preserve"> - Создание псевдонима исключения файла из индекса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722755"/>
            <wp:effectExtent l="0" t="0" r="0" b="0"/>
            <wp:docPr id="2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27</w:t>
      </w:r>
      <w:r>
        <w:rPr/>
        <w:fldChar w:fldCharType="end"/>
      </w:r>
      <w:r>
        <w:rPr/>
        <w:t xml:space="preserve"> - Использование созданного псевдонима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188085"/>
            <wp:effectExtent l="0" t="0" r="0" b="0"/>
            <wp:docPr id="2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28</w:t>
      </w:r>
      <w:r>
        <w:rPr/>
        <w:fldChar w:fldCharType="end"/>
      </w:r>
      <w:r>
        <w:rPr/>
        <w:t xml:space="preserve"> - Создание алиаса для просмотра последнего коммита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629410"/>
            <wp:effectExtent l="0" t="0" r="0" b="0"/>
            <wp:docPr id="2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29</w:t>
      </w:r>
      <w:r>
        <w:rPr/>
        <w:fldChar w:fldCharType="end"/>
      </w:r>
      <w:r>
        <w:rPr/>
        <w:t xml:space="preserve"> - Результат работы созданного алиаса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219835"/>
            <wp:effectExtent l="0" t="0" r="0" b="0"/>
            <wp:docPr id="3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0" w:after="200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30</w:t>
      </w:r>
      <w:r>
        <w:rPr/>
        <w:fldChar w:fldCharType="end"/>
      </w:r>
      <w:r>
        <w:rPr/>
        <w:t xml:space="preserve"> - Создание псевдонима внешней команды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37735"/>
    <w:pPr>
      <w:widowControl/>
      <w:bidi w:val="0"/>
      <w:spacing w:lineRule="auto" w:line="360" w:before="0" w:after="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f37735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color w:themeColor="text1" w:val="000000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f37735"/>
    <w:pPr>
      <w:keepNext w:val="true"/>
      <w:keepLines/>
      <w:spacing w:before="40" w:after="0"/>
      <w:jc w:val="center"/>
      <w:outlineLvl w:val="1"/>
    </w:pPr>
    <w:rPr>
      <w:rFonts w:eastAsia="" w:cs="" w:cstheme="majorBidi" w:eastAsiaTheme="majorEastAsia"/>
      <w:b/>
      <w:color w:themeColor="text1" w:val="000000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f37735"/>
    <w:rPr>
      <w:rFonts w:ascii="Times New Roman" w:hAnsi="Times New Roman" w:eastAsia="" w:cs="" w:cstheme="majorBidi" w:eastAsiaTheme="majorEastAsia"/>
      <w:b/>
      <w:color w:themeColor="text1" w:val="000000"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f37735"/>
    <w:rPr>
      <w:rFonts w:ascii="Times New Roman" w:hAnsi="Times New Roman" w:eastAsia="" w:cs="" w:cstheme="majorBidi" w:eastAsiaTheme="majorEastAsia"/>
      <w:b/>
      <w:color w:themeColor="text1" w:val="000000"/>
      <w:sz w:val="28"/>
      <w:szCs w:val="26"/>
    </w:rPr>
  </w:style>
  <w:style w:type="character" w:styleId="Style12" w:customStyle="1">
    <w:name w:val="рисунок Знак"/>
    <w:basedOn w:val="DefaultParagraphFont"/>
    <w:link w:val="Style15"/>
    <w:qFormat/>
    <w:rsid w:val="00f37735"/>
    <w:rPr>
      <w:rFonts w:ascii="Times New Roman" w:hAnsi="Times New Roman"/>
      <w:iCs/>
      <w:color w:themeColor="text1" w:val="000000"/>
      <w:sz w:val="24"/>
      <w:szCs w:val="18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Default" w:customStyle="1">
    <w:name w:val="Default"/>
    <w:qFormat/>
    <w:rsid w:val="00f37735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Style15" w:customStyle="1">
    <w:name w:val="рисунок"/>
    <w:basedOn w:val="Caption1"/>
    <w:next w:val="Normal"/>
    <w:link w:val="Style12"/>
    <w:qFormat/>
    <w:rsid w:val="00f37735"/>
    <w:pPr>
      <w:jc w:val="center"/>
    </w:pPr>
    <w:rPr>
      <w:i w:val="false"/>
      <w:color w:themeColor="text1" w:val="000000"/>
      <w:sz w:val="24"/>
    </w:rPr>
  </w:style>
  <w:style w:type="paragraph" w:styleId="Caption1">
    <w:name w:val="caption1"/>
    <w:basedOn w:val="Normal"/>
    <w:next w:val="Normal"/>
    <w:uiPriority w:val="35"/>
    <w:unhideWhenUsed/>
    <w:qFormat/>
    <w:rsid w:val="00f37735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Application>Docx_Editor_PLUS/1.0.0.0$Windows_X86_64 LibreOffice_project/</Application>
  <AppVersion>15.0000</AppVersion>
  <Pages>11</Pages>
  <Words>564</Words>
  <Characters>3270</Characters>
  <CharactersWithSpaces>3803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2021-03-03T11:33:00Z</dcterms:created>
  <dc:creator>Elena Verstova</dc:creator>
  <dc:description/>
  <dc:language>ru-RU</dc:language>
  <cp:lastModifiedBy/>
  <dcterms:modified xsi:type="dcterms:W3CDTF">2025-06-07T21:27:16Z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