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76" w:lineRule="auto"/>
        <w:jc w:val="center"/>
        <w:rPr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-374647</wp:posOffset>
            </wp:positionH>
            <wp:positionV relativeFrom="page">
              <wp:posOffset>627094</wp:posOffset>
            </wp:positionV>
            <wp:extent cx="7955280" cy="960120"/>
            <wp:effectExtent l="0" t="0" r="0" b="0"/>
            <wp:wrapTopAndBottom distT="0" dist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“СИНЕРГИЯ”»</w:t>
      </w:r>
    </w:p>
    <w:p>
      <w:pPr>
        <w:pStyle w:val="Normal.0"/>
        <w:spacing w:line="276" w:lineRule="auto"/>
        <w:jc w:val="center"/>
        <w:rPr>
          <w:sz w:val="26"/>
          <w:szCs w:val="26"/>
        </w:rPr>
      </w:pPr>
    </w:p>
    <w:tbl>
      <w:tblPr>
        <w:tblW w:w="963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18"/>
        <w:gridCol w:w="282"/>
        <w:gridCol w:w="6237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Факультет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/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Институт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tl w:val="0"/>
                <w:lang w:val="ru-RU"/>
              </w:rPr>
              <w:t>Колледж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>наименование факультета</w:t>
            </w:r>
            <w:r>
              <w:rPr>
                <w:sz w:val="18"/>
                <w:szCs w:val="18"/>
                <w:rtl w:val="0"/>
                <w:lang w:val="ru-RU"/>
              </w:rPr>
              <w:t xml:space="preserve">/ </w:t>
            </w:r>
            <w:r>
              <w:rPr>
                <w:sz w:val="18"/>
                <w:szCs w:val="18"/>
                <w:rtl w:val="0"/>
                <w:lang w:val="ru-RU"/>
              </w:rPr>
              <w:t>Института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48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Направление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/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26"/>
                <w:szCs w:val="26"/>
                <w:rtl w:val="0"/>
                <w:lang w:val="ru-RU"/>
              </w:rPr>
              <w:t>Информационные технологии и программирование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подготовки</w:t>
            </w: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 xml:space="preserve">код и наименование направления </w:t>
            </w:r>
            <w:r>
              <w:rPr>
                <w:sz w:val="18"/>
                <w:szCs w:val="18"/>
                <w:rtl w:val="0"/>
                <w:lang w:val="ru-RU"/>
              </w:rPr>
              <w:t>/</w:t>
            </w:r>
            <w:r>
              <w:rPr>
                <w:sz w:val="18"/>
                <w:szCs w:val="18"/>
                <w:rtl w:val="0"/>
                <w:lang w:val="ru-RU"/>
              </w:rPr>
              <w:t>специальности подготовки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b w:val="1"/>
                <w:bCs w:val="1"/>
                <w:rtl w:val="0"/>
                <w:lang w:val="ru-RU"/>
              </w:rPr>
              <w:t>Форма обучения</w:t>
            </w:r>
            <w:r>
              <w:rPr>
                <w:b w:val="1"/>
                <w:bCs w:val="1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sz w:val="24"/>
                <w:szCs w:val="24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>очная</w:t>
            </w:r>
            <w:r>
              <w:rPr>
                <w:sz w:val="18"/>
                <w:szCs w:val="18"/>
                <w:rtl w:val="0"/>
                <w:lang w:val="ru-RU"/>
              </w:rPr>
              <w:t xml:space="preserve">, </w:t>
            </w:r>
            <w:r>
              <w:rPr>
                <w:sz w:val="18"/>
                <w:szCs w:val="18"/>
                <w:rtl w:val="0"/>
                <w:lang w:val="ru-RU"/>
              </w:rPr>
              <w:t>очно</w:t>
            </w:r>
            <w:r>
              <w:rPr>
                <w:sz w:val="18"/>
                <w:szCs w:val="18"/>
                <w:rtl w:val="0"/>
                <w:lang w:val="ru-RU"/>
              </w:rPr>
              <w:t>-</w:t>
            </w:r>
            <w:r>
              <w:rPr>
                <w:sz w:val="18"/>
                <w:szCs w:val="18"/>
                <w:rtl w:val="0"/>
                <w:lang w:val="ru-RU"/>
              </w:rPr>
              <w:t>заочная</w:t>
            </w:r>
            <w:r>
              <w:rPr>
                <w:sz w:val="18"/>
                <w:szCs w:val="18"/>
                <w:rtl w:val="0"/>
                <w:lang w:val="ru-RU"/>
              </w:rPr>
              <w:t xml:space="preserve">, </w:t>
            </w:r>
            <w:r>
              <w:rPr>
                <w:sz w:val="18"/>
                <w:szCs w:val="18"/>
                <w:rtl w:val="0"/>
                <w:lang w:val="ru-RU"/>
              </w:rPr>
              <w:t>заочная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sz w:val="26"/>
          <w:szCs w:val="26"/>
        </w:rPr>
      </w:pPr>
    </w:p>
    <w:p>
      <w:pPr>
        <w:pStyle w:val="Normal.0"/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Лабораторная №</w:t>
      </w:r>
      <w:r>
        <w:rPr>
          <w:sz w:val="26"/>
          <w:szCs w:val="26"/>
          <w:rtl w:val="0"/>
          <w:lang w:val="ru-RU"/>
        </w:rPr>
        <w:t>7</w:t>
      </w:r>
    </w:p>
    <w:p>
      <w:pPr>
        <w:pStyle w:val="Normal.0"/>
        <w:spacing w:line="276" w:lineRule="auto"/>
        <w:jc w:val="center"/>
        <w:rPr>
          <w:b w:val="1"/>
          <w:bCs w:val="1"/>
          <w:outline w:val="0"/>
          <w:color w:val="ff0000"/>
          <w:u w:color="ff0000"/>
          <w:lang w:val="en-US"/>
          <w14:textFill>
            <w14:solidFill>
              <w14:srgbClr w14:val="FF0000"/>
            </w14:solidFill>
          </w14:textFill>
        </w:rPr>
      </w:pPr>
    </w:p>
    <w:tbl>
      <w:tblPr>
        <w:tblW w:w="963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16"/>
        <w:gridCol w:w="283"/>
        <w:gridCol w:w="568"/>
        <w:gridCol w:w="282"/>
        <w:gridCol w:w="7085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14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на тему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934"/>
            <w:gridSpan w:val="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</w:pPr>
            <w:r>
              <w:rPr>
                <w:b w:val="1"/>
                <w:bCs w:val="1"/>
                <w:sz w:val="24"/>
                <w:szCs w:val="24"/>
                <w:rtl w:val="0"/>
                <w:lang w:val="en-US"/>
              </w:rPr>
              <w:t xml:space="preserve">                               </w:t>
            </w:r>
            <w:r>
              <w:rPr>
                <w:b w:val="1"/>
                <w:bCs w:val="1"/>
                <w:sz w:val="24"/>
                <w:szCs w:val="24"/>
                <w:rtl w:val="0"/>
                <w:lang w:val="ru-RU"/>
              </w:rPr>
              <w:t>Разработка тестовых пакетов</w:t>
            </w:r>
          </w:p>
        </w:tc>
      </w:tr>
      <w:tr>
        <w:tblPrEx>
          <w:shd w:val="clear" w:color="auto" w:fill="ced7e7"/>
        </w:tblPrEx>
        <w:trPr>
          <w:trHeight w:val="1019" w:hRule="atLeast"/>
        </w:trPr>
        <w:tc>
          <w:tcPr>
            <w:tcW w:type="dxa" w:w="2267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rPr>
                <w:b w:val="1"/>
                <w:bCs w:val="1"/>
                <w:sz w:val="30"/>
                <w:szCs w:val="30"/>
                <w:lang w:val="ru-RU"/>
              </w:rPr>
            </w:pPr>
          </w:p>
          <w:p>
            <w:pPr>
              <w:pStyle w:val="Normal.0"/>
              <w:bidi w:val="0"/>
              <w:spacing w:after="0"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по дисциплине</w:t>
            </w:r>
          </w:p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84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  <w:rPr>
                <w:lang w:val="ru-RU"/>
              </w:rPr>
            </w:pPr>
          </w:p>
          <w:p>
            <w:pPr>
              <w:pStyle w:val="Normal.0"/>
              <w:bidi w:val="0"/>
              <w:spacing w:after="0"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z w:val="24"/>
                <w:szCs w:val="24"/>
                <w:rtl w:val="0"/>
                <w:lang w:val="ru-RU"/>
              </w:rPr>
              <w:t>Инструментальные средства разработки программного обеспечения</w:t>
            </w:r>
          </w:p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267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8"/>
                <w:szCs w:val="18"/>
                <w:rtl w:val="0"/>
                <w:lang w:val="ru-RU"/>
              </w:rPr>
              <w:t>(</w:t>
            </w:r>
            <w:r>
              <w:rPr>
                <w:sz w:val="18"/>
                <w:szCs w:val="18"/>
                <w:rtl w:val="0"/>
                <w:lang w:val="ru-RU"/>
              </w:rPr>
              <w:t>наименование дисциплины</w:t>
            </w:r>
            <w:r>
              <w:rPr>
                <w:sz w:val="18"/>
                <w:szCs w:val="18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b w:val="1"/>
          <w:bCs w:val="1"/>
          <w:outline w:val="0"/>
          <w:color w:val="ff0000"/>
          <w:u w:color="ff000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line="276" w:lineRule="auto"/>
        <w:jc w:val="center"/>
        <w:rPr>
          <w:sz w:val="18"/>
          <w:szCs w:val="18"/>
        </w:rPr>
      </w:pPr>
    </w:p>
    <w:p>
      <w:pPr>
        <w:pStyle w:val="Normal.0"/>
        <w:spacing w:line="276" w:lineRule="auto"/>
        <w:jc w:val="center"/>
        <w:rPr>
          <w:sz w:val="10"/>
          <w:szCs w:val="10"/>
        </w:rPr>
      </w:pPr>
    </w:p>
    <w:tbl>
      <w:tblPr>
        <w:tblW w:w="960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61"/>
        <w:gridCol w:w="283"/>
        <w:gridCol w:w="5046"/>
        <w:gridCol w:w="283"/>
        <w:gridCol w:w="1930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rtl w:val="0"/>
                <w:lang w:val="ru-RU"/>
              </w:rPr>
              <w:t>Обучающийся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Рыскулов А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6"/>
                <w:szCs w:val="16"/>
                <w:rtl w:val="0"/>
                <w:lang w:val="ru-RU"/>
              </w:rPr>
              <w:t>(</w:t>
            </w:r>
            <w:r>
              <w:rPr>
                <w:sz w:val="16"/>
                <w:szCs w:val="16"/>
                <w:rtl w:val="0"/>
                <w:lang w:val="ru-RU"/>
              </w:rPr>
              <w:t>ФИО</w:t>
            </w:r>
            <w:r>
              <w:rPr>
                <w:sz w:val="16"/>
                <w:szCs w:val="16"/>
                <w:rtl w:val="0"/>
                <w:lang w:val="ru-RU"/>
              </w:rPr>
              <w:t>)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Группа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24"/>
                <w:szCs w:val="24"/>
                <w:rtl w:val="0"/>
                <w:lang w:val="ru-RU"/>
              </w:rPr>
              <w:t>ДКИП</w:t>
            </w:r>
            <w:r>
              <w:rPr>
                <w:sz w:val="24"/>
                <w:szCs w:val="24"/>
                <w:rtl w:val="0"/>
                <w:lang w:val="ru-RU"/>
              </w:rPr>
              <w:t>-201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0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46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sz w:val="10"/>
          <w:szCs w:val="10"/>
        </w:rPr>
      </w:pPr>
    </w:p>
    <w:p>
      <w:pPr>
        <w:pStyle w:val="Normal.0"/>
        <w:spacing w:line="276" w:lineRule="auto"/>
        <w:jc w:val="center"/>
        <w:rPr>
          <w:sz w:val="12"/>
          <w:szCs w:val="12"/>
        </w:rPr>
      </w:pPr>
    </w:p>
    <w:p>
      <w:pPr>
        <w:pStyle w:val="Normal.0"/>
        <w:spacing w:line="276" w:lineRule="auto"/>
        <w:jc w:val="center"/>
        <w:rPr>
          <w:sz w:val="26"/>
          <w:szCs w:val="26"/>
        </w:rPr>
      </w:pPr>
    </w:p>
    <w:tbl>
      <w:tblPr>
        <w:tblW w:w="95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55"/>
        <w:gridCol w:w="283"/>
        <w:gridCol w:w="4932"/>
        <w:gridCol w:w="283"/>
        <w:gridCol w:w="1918"/>
      </w:tblGrid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1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sz w:val="28"/>
                <w:szCs w:val="28"/>
                <w:rtl w:val="0"/>
                <w:lang w:val="ru-RU"/>
              </w:rPr>
              <w:t>Преподаватель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24"/>
                <w:szCs w:val="24"/>
                <w:rtl w:val="0"/>
                <w:lang w:val="ru-RU"/>
              </w:rPr>
              <w:t>Сибирев Иван Валерьевич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9" w:hRule="atLeast"/>
        </w:trPr>
        <w:tc>
          <w:tcPr>
            <w:tcW w:type="dxa" w:w="21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sz w:val="16"/>
                <w:szCs w:val="16"/>
                <w:rtl w:val="0"/>
                <w:lang w:val="ru-RU"/>
              </w:rPr>
              <w:t>(</w:t>
            </w:r>
            <w:r>
              <w:rPr>
                <w:sz w:val="16"/>
                <w:szCs w:val="16"/>
                <w:rtl w:val="0"/>
                <w:lang w:val="ru-RU"/>
              </w:rPr>
              <w:t>ФИО</w:t>
            </w:r>
            <w:r>
              <w:rPr>
                <w:sz w:val="16"/>
                <w:szCs w:val="16"/>
                <w:rtl w:val="0"/>
                <w:lang w:val="ru-RU"/>
              </w:rPr>
              <w:t>)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sz w:val="26"/>
          <w:szCs w:val="26"/>
        </w:rPr>
      </w:pPr>
    </w:p>
    <w:p>
      <w:pPr>
        <w:pStyle w:val="Normal.0"/>
        <w:spacing w:line="276" w:lineRule="auto"/>
        <w:jc w:val="left"/>
        <w:rPr>
          <w:b w:val="1"/>
          <w:bCs w:val="1"/>
        </w:rPr>
      </w:pPr>
    </w:p>
    <w:p>
      <w:pPr>
        <w:pStyle w:val="Normal.0"/>
        <w:spacing w:line="276" w:lineRule="auto"/>
        <w:jc w:val="center"/>
        <w:rPr>
          <w:b w:val="1"/>
          <w:bCs w:val="1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Москва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202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6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</w:t>
      </w:r>
      <w:r>
        <w:rPr>
          <w:b w:val="1"/>
          <w:bCs w:val="1"/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Определение области тестирования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проверить корректность и безопасность функции перевода денег между своими счетами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текущий → сберегательный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веб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версии интернет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банка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Границы тестирования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Только авторизованные пользователи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Только внутренние переводы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без других банков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Не включаем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push-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уведомления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историю операций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мобильное приложение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Критерии успеха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Деньги списываются и зачисляются точно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Остатки обновляются мгновенно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Нет возможности уйти в минус или создать дубликат перевода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Разработка тестовых случаев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примеры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ID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Предусловие Шаги Ожидаемый результат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TC-01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 счете «Текущий»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«Сберегательный» —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1.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Ввести сумму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1000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2.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Нажать «Перевести» Спишется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1000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 сберегательном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+1000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TC-02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 текущем счете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Ввести сумму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1000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Ошибка «Недостаточно средств»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перевод не выполнен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TC-03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Оба счета существуют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Ввести сумму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Ошибка валидации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сумма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&gt; 0)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TC-04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Ввести отрицательное число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(-100)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Ошибка или поле не принимает знак минус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TC-05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Пользователь только что сделал перевод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Нажать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F5 /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обновить страницу Остатки не удваиваются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повторного перевода нет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Подготовка тестовых данных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Нормальные данные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Пользователь с остатком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10 000 / 5 000 / 100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Разные суммы перевода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., 9999.99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ровно весь остаток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Граничные значения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Минимальная сумма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(0.01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или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— согласно требованиям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Максимальная сумма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весь остаток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Некорректные данные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Текст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«сто»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спецсимволы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пустое поле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очень большая сумма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млрд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Настройка тестового окружения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Стенд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копия продуктивного банка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с тестовыми счетами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БД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изолированная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возможностью отката после тестов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Сеть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имитируем задержки и обрывы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проверить идемпотентность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Инструменты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Postman (API), Selenium (UI),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баг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трекер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(Jira / YouTrack).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Выполнение тестов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Сначала ручные проверки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(TC-01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TC-05).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Затем автоматизированный прогон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30+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граничных случаев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Обязательно тестируем двойной клик по кнопке «Перевести» — не должно создаваться два перевода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Повторяем тесты после каждого исправления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Анализ результатов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Пример отклонения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переводе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 остатка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5000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списание проходит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но счёт уходит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-0.01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из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за округления комиссии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хотя комиссия не заявлена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→ Дефект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логика округления ошибочно применяется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→ Приоритет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высокий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финансовая ошибка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rPr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7.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Документирование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Создаются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Тест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план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цели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границы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риски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Тест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кейсы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(Excel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или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TestRail).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Отчёт о тестировании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сколько пройдено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упало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список багов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Рекомендации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например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добавить всплывающее подтверждение перед переводом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8.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Улучшение и исправление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Разработчик фиксит округление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Тестировщик прогоняет регресс по всем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TC.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Добавляется новый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TC: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перевод максимальной суммы без комиссии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следующий релиз планируется автоматическая проверка остатков после каждого перевода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5"/>
      <w:headerReference w:type="first" r:id="rId6"/>
      <w:footerReference w:type="default" r:id="rId7"/>
      <w:footerReference w:type="first" r:id="rId8"/>
      <w:pgSz w:w="11900" w:h="16840" w:orient="portrait"/>
      <w:pgMar w:top="1133" w:right="1133" w:bottom="1133" w:left="1133" w:header="708" w:footer="708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spacing w:line="276" w:lineRule="auto"/>
    </w:pPr>
  </w:p>
  <w:p>
    <w:pPr>
      <w:pStyle w:val="Normal.0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36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clear" w:color="auto" w:fill="ffffff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