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F78" w:rsidRPr="001F3956" w:rsidRDefault="00597F78">
      <w:pPr>
        <w:rPr>
          <w:rFonts w:ascii="Times New Roman" w:hAnsi="Times New Roman" w:cs="Times New Roman"/>
        </w:rPr>
      </w:pPr>
    </w:p>
    <w:p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Математическое обеспечение и администрирование информационных систем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>
      <w:pPr>
        <w:rPr>
          <w:rFonts w:ascii="Times New Roman" w:hAnsi="Times New Roman" w:cs="Times New Roman"/>
        </w:rPr>
      </w:pPr>
    </w:p>
    <w:p w:rsidR="000906CF" w:rsidRDefault="000906CF">
      <w:pPr>
        <w:rPr>
          <w:rFonts w:ascii="Times New Roman" w:hAnsi="Times New Roman" w:cs="Times New Roman"/>
        </w:rPr>
      </w:pPr>
    </w:p>
    <w:p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2C3AB2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="002C3A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AC08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2C3AB2" w:rsidRPr="002C3A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C08B0" w:rsidRPr="00AC08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5"/>
        <w:gridCol w:w="425"/>
        <w:gridCol w:w="4834"/>
        <w:gridCol w:w="251"/>
        <w:gridCol w:w="1860"/>
      </w:tblGrid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Крюков Захар Захарович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BB26FC" w:rsidRDefault="00670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06B6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>
                  <wp:extent cx="847896" cy="502123"/>
                  <wp:effectExtent l="19050" t="0" r="9354" b="0"/>
                  <wp:docPr id="2" name="Рисунок 0" descr="53799799908142958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79979990814295895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742" cy="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40"/>
        <w:gridCol w:w="236"/>
        <w:gridCol w:w="5209"/>
        <w:gridCol w:w="247"/>
        <w:gridCol w:w="1739"/>
      </w:tblGrid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:rsidR="00C20896" w:rsidRPr="004B47D5" w:rsidRDefault="00AC08B0" w:rsidP="00AC08B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Иван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F40E1B" w:rsidRDefault="002639C2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г. Москва, 202</w:t>
      </w:r>
      <w:r w:rsidR="00AC08B0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:rsidR="00CC1E3F" w:rsidRPr="00CC1E3F" w:rsidRDefault="00CC1E3F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40E1B" w:rsidRPr="00F40E1B" w:rsidRDefault="002C3AB2" w:rsidP="00F40E1B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b/>
          <w:sz w:val="28"/>
          <w:szCs w:val="28"/>
        </w:rPr>
        <w:t>Введение в эксплуатацию программного обеспечения: процессы, этапы и организационные аспекты</w:t>
      </w: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Создание программного продукта — это лишь половина пути к его успешному использованию. Ключевым моментом, определяющим, начнет ли система приносить реальную ценность бизнесу и пользователям, является процесс введения в эксплуатацию. В профессиональной лексике этот этап часто называют commissioning или cutover, подчеркивая его комплексный характер. Важно различать «введение в эксплуатацию» как организационно-технический процесс и «развертывание» (deploy), которое является лишь одной из технических операций внутри этого процесса.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F40E1B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Введение в эксплуатацию представляет собой совокупность мероприятий, направленных на перевод программного обеспечения из состояния «разработано» или «протестировано» в состояние «реально используется конечными пользователями для выполнения их задач». Данная работа представляет обзорный реферат, в котором рассматриваются сущность, нормативная база, ключевые этапы и стратегии ввода систем в эксплуатацию, а также роль приемочного тестирования и документационного обеспечения.</w:t>
      </w:r>
    </w:p>
    <w:p w:rsid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2C3AB2" w:rsidRPr="002C3AB2">
        <w:rPr>
          <w:rFonts w:ascii="Times New Roman" w:hAnsi="Times New Roman" w:cs="Times New Roman"/>
          <w:b/>
          <w:sz w:val="28"/>
          <w:szCs w:val="28"/>
        </w:rPr>
        <w:t>Сущность и нормативно-правовая основа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Под введением в эксплуатацию понимается процедура, оформленная юридически значимыми документами, которая фиксирует готовность программного средства к промышленной эксплуатации. Если операция deploy (развертывание) отвечает на вопрос «как установить и настроить код на серверах?», то введение в эксплуатацию отвечает на вопросы «готов ли продукт к реальной нагрузке?», «обучены ли пользователи?», «приемлет ли заказчик результат?».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 xml:space="preserve">В Российской Федерации базовым документом, регламентирующим эту область (применительно к государственным информационным системам и многим коммерческим проектам, следующим стандартам), является ГОСТ </w:t>
      </w:r>
      <w:r w:rsidRPr="002C3AB2">
        <w:rPr>
          <w:rFonts w:ascii="Times New Roman" w:hAnsi="Times New Roman" w:cs="Times New Roman"/>
          <w:sz w:val="28"/>
          <w:szCs w:val="28"/>
        </w:rPr>
        <w:lastRenderedPageBreak/>
        <w:t>34.601‑90 «Информационная технология. Комплекс стандартов на автоматизированные системы. Автоматизированные системы. Стадии создания». Согласно этому стандарту, стадия «Ввод в действие» включает в себя несколько видов работ: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Автономная наладка технических и программных средств;</w:t>
      </w:r>
    </w:p>
    <w:p w:rsidR="002C3AB2" w:rsidRPr="002C3AB2" w:rsidRDefault="002C3AB2" w:rsidP="002C3A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Настройка и конфигурирование системы;</w:t>
      </w:r>
    </w:p>
    <w:p w:rsidR="002C3AB2" w:rsidRPr="002C3AB2" w:rsidRDefault="002C3AB2" w:rsidP="002C3A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Опытная эксплуатация (реальная работа в ограниченном режиме для проверки);</w:t>
      </w:r>
    </w:p>
    <w:p w:rsidR="002C3AB2" w:rsidRPr="002C3AB2" w:rsidRDefault="002C3AB2" w:rsidP="002C3AB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Приемочные испытания (официальная передача заказчику).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Важно понимать, что без оформленного акта приемки в эксплуатацию юридически система не существует как промышленный объект, и вся ответственность за возможные сбои лежит на разработчике.</w:t>
      </w:r>
    </w:p>
    <w:p w:rsid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2C3AB2" w:rsidRPr="002C3AB2">
        <w:rPr>
          <w:rFonts w:ascii="Times New Roman" w:hAnsi="Times New Roman" w:cs="Times New Roman"/>
          <w:b/>
          <w:sz w:val="28"/>
          <w:szCs w:val="28"/>
        </w:rPr>
        <w:t>Документальное оформление и приемочные испытания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Любой процесс ввода в эксплуатацию сопровождается жесткой документальной процедурой. Это обусловлено необходимостью разграничения зон ответственности между разработчиком (вендором) и заказчиком (эксплуатирующей организацией). Ключевые документы включают: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Программа и методика испытаний (ПМИ) — документ, который создается на этапе разработки и утверждается до начала ввода в эксплуатацию. В нем описывается: что именно проверяется, в какой последовательности, какими средствами и какие результаты считаются успешными.</w:t>
      </w:r>
    </w:p>
    <w:p w:rsidR="002C3AB2" w:rsidRPr="002C3AB2" w:rsidRDefault="002C3AB2" w:rsidP="002C3A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Акт приемочных испытаний — первичный юридический документ, фиксирующий, что система соответствует техническому заданию и готова к работе.</w:t>
      </w:r>
    </w:p>
    <w:p w:rsidR="002C3AB2" w:rsidRPr="002C3AB2" w:rsidRDefault="002C3AB2" w:rsidP="002C3AB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Акт о вводе в эксплуатацию — финальный документ, который подписывается после устранения всех замечаний, выявленных на испытаниях, и после проведения обучения персонала.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CC1E3F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lastRenderedPageBreak/>
        <w:t>Сами приемочные испытания делятся на несколько этапов. Ключевым видом здесь является приемочное тестирование пользователями (User Acceptance Testing, UAT). В ходе UAT реальные сотрудники заказчика (будущие пользователи) выполняют свои бизнес-операции на тестовой или предпромышленной среде. Их задача — не искать баги в коде (это делали тестировщики ранее), а подтвердить, что система удобна и решает именно те задачи, для которых она создавалась. Любое расхождение с бизнес-требованиями, зафиксированное в UAT, является блокером для ввода в эксплуатацию.</w:t>
      </w:r>
    </w:p>
    <w:p w:rsid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2C3AB2" w:rsidP="00CC1E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CC1E3F" w:rsidRPr="00CC1E3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C3AB2">
        <w:rPr>
          <w:rFonts w:ascii="Times New Roman" w:hAnsi="Times New Roman" w:cs="Times New Roman"/>
          <w:b/>
          <w:sz w:val="28"/>
          <w:szCs w:val="28"/>
        </w:rPr>
        <w:t>Организационный аспект: обучение и поддержка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Технически исправная, успешно протестированная система может полностью провалить ввод в эксплуатацию, если пользователи не умеют или не хотят с ней работать. Поэтому неотъемлемой частью процесса является организационная подготовка. Она включает: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Обучение конечных пользователей: Разработка инструкций, проведение очных или дистанционных курсов. Ключевой момент — обучение должно вестись на реальных бизнес-сценариях, а не на абстрактных функциях кнопок.</w:t>
      </w:r>
    </w:p>
    <w:p w:rsidR="002C3AB2" w:rsidRPr="002C3AB2" w:rsidRDefault="002C3AB2" w:rsidP="002C3AB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Служба поддержки (Help Desk): В первые недели после ввода в эксплуатацию нагрузка на службу поддержки возрастает в 5-10 раз. Должен быть организован «горячий канал» (чат, телефон) с гарантированным временем ответа (SLA) — например, не более 15 минут для критических вопросов.</w:t>
      </w:r>
    </w:p>
    <w:p w:rsidR="002C3AB2" w:rsidRPr="002C3AB2" w:rsidRDefault="002C3AB2" w:rsidP="002C3AB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План отката (Rollback Plan): Это документ, регламентирующий действия при фатальном сбое. В нем прописано: кто принимает решение об откате, сколько времени дается на попытки исправить ситуацию (например, 2 часа) и как именно восстановить работу старой системы.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CC1E3F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Практика показывает, что неудачи при вводе в эксплуатацию в 70% случаев связаны не с ошибками в коде, а с недооценкой человеческого фактора — недостаточным обучением, плохой коммуникацией или отсутствием мотивации у пользователей меняться.</w:t>
      </w:r>
    </w:p>
    <w:p w:rsidR="00CC1E3F" w:rsidRPr="00CC1E3F" w:rsidRDefault="00CC1E3F" w:rsidP="00CC1E3F">
      <w:pPr>
        <w:rPr>
          <w:rFonts w:ascii="Times New Roman" w:hAnsi="Times New Roman" w:cs="Times New Roman"/>
          <w:b/>
          <w:sz w:val="28"/>
          <w:szCs w:val="28"/>
        </w:rPr>
      </w:pPr>
      <w:r w:rsidRPr="00CC1E3F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C3AB2">
        <w:rPr>
          <w:rFonts w:ascii="Times New Roman" w:hAnsi="Times New Roman" w:cs="Times New Roman"/>
          <w:sz w:val="28"/>
          <w:szCs w:val="28"/>
        </w:rPr>
        <w:t>ведение программного обеспечения в эксплуатацию — это критический рубеж любого IT-проекта. Данный процесс выходит далеко за рамки технической процедуры развертывания (deploy) и представляет собой комплекс организационных, юридических и социальных мероприятий.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В ходе работы было показано, что успешный ввод в эксплуатацию требует: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2C3AB2" w:rsidRPr="002C3AB2" w:rsidRDefault="002C3AB2" w:rsidP="002C3AB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Строгой документальной базы (ГОСТ 34, акты, программа испытаний).</w:t>
      </w:r>
    </w:p>
    <w:p w:rsidR="002C3AB2" w:rsidRPr="002C3AB2" w:rsidRDefault="002C3AB2" w:rsidP="002C3AB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Проведения приемочного тестирования силами пользователей (UAT) для подтверждения бизнес-ценности.</w:t>
      </w:r>
    </w:p>
    <w:p w:rsidR="002C3AB2" w:rsidRPr="002C3AB2" w:rsidRDefault="002C3AB2" w:rsidP="002C3AB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Выбора оптимальной стратегии перехода («Big Bang», параллельная, поэтапная или пилотная) с учетом толерантности бизнеса к рискам.</w:t>
      </w:r>
    </w:p>
    <w:p w:rsidR="002C3AB2" w:rsidRPr="002C3AB2" w:rsidRDefault="002C3AB2" w:rsidP="002C3AB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Обязательной подготовки пользователей и организации «быстрой» поддержки.</w:t>
      </w:r>
    </w:p>
    <w:p w:rsidR="002C3AB2" w:rsidRPr="002C3AB2" w:rsidRDefault="002C3AB2" w:rsidP="002C3AB2">
      <w:pPr>
        <w:rPr>
          <w:rFonts w:ascii="Times New Roman" w:hAnsi="Times New Roman" w:cs="Times New Roman"/>
          <w:sz w:val="28"/>
          <w:szCs w:val="28"/>
        </w:rPr>
      </w:pPr>
    </w:p>
    <w:p w:rsidR="00CC1E3F" w:rsidRPr="002639C2" w:rsidRDefault="002C3AB2" w:rsidP="002C3AB2">
      <w:pPr>
        <w:rPr>
          <w:rFonts w:ascii="Times New Roman" w:hAnsi="Times New Roman" w:cs="Times New Roman"/>
          <w:sz w:val="28"/>
          <w:szCs w:val="28"/>
        </w:rPr>
      </w:pPr>
      <w:r w:rsidRPr="002C3AB2">
        <w:rPr>
          <w:rFonts w:ascii="Times New Roman" w:hAnsi="Times New Roman" w:cs="Times New Roman"/>
          <w:sz w:val="28"/>
          <w:szCs w:val="28"/>
        </w:rPr>
        <w:t>Игнорирование этих аспектов, даже при наличии современного CI/CD-конвейера и идеального кода, ведет к отторжению системы коллективом и финансовым потерям. Таким образом, введение в эксплуатацию является не финальной технической задачей, а началом этапа реальной жизни продукта, где ключевым становится взаимодействие между разработчиками, бизнесом и конечными пользователями.</w:t>
      </w:r>
    </w:p>
    <w:sectPr w:rsidR="00CC1E3F" w:rsidRP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550" w:rsidRDefault="00296550" w:rsidP="009E0D2A">
      <w:pPr>
        <w:spacing w:after="0" w:line="240" w:lineRule="auto"/>
      </w:pPr>
      <w:r>
        <w:separator/>
      </w:r>
    </w:p>
  </w:endnote>
  <w:endnote w:type="continuationSeparator" w:id="1">
    <w:p w:rsidR="00296550" w:rsidRDefault="00296550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67042184"/>
      <w:docPartObj>
        <w:docPartGallery w:val="Page Numbers (Bottom of Page)"/>
        <w:docPartUnique/>
      </w:docPartObj>
    </w:sdtPr>
    <w:sdtContent>
      <w:p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2B34BD">
          <w:fldChar w:fldCharType="begin"/>
        </w:r>
        <w:r w:rsidR="002639C2">
          <w:instrText>PAGE   \* MERGEFORMAT</w:instrText>
        </w:r>
        <w:r w:rsidR="002B34BD">
          <w:fldChar w:fldCharType="separate"/>
        </w:r>
        <w:r w:rsidR="006706B6">
          <w:rPr>
            <w:noProof/>
          </w:rPr>
          <w:t>3</w:t>
        </w:r>
        <w:r w:rsidR="002B34BD">
          <w:fldChar w:fldCharType="end"/>
        </w:r>
      </w:p>
    </w:sdtContent>
  </w:sdt>
  <w:p w:rsidR="002639C2" w:rsidRDefault="002639C2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550" w:rsidRDefault="00296550" w:rsidP="009E0D2A">
      <w:pPr>
        <w:spacing w:after="0" w:line="240" w:lineRule="auto"/>
      </w:pPr>
      <w:r>
        <w:separator/>
      </w:r>
    </w:p>
  </w:footnote>
  <w:footnote w:type="continuationSeparator" w:id="1">
    <w:p w:rsidR="00296550" w:rsidRDefault="00296550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90B5D"/>
    <w:multiLevelType w:val="hybridMultilevel"/>
    <w:tmpl w:val="2AF0C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E6357"/>
    <w:multiLevelType w:val="hybridMultilevel"/>
    <w:tmpl w:val="7BA87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5E71D9"/>
    <w:multiLevelType w:val="hybridMultilevel"/>
    <w:tmpl w:val="CA98CE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B16DC"/>
    <w:multiLevelType w:val="hybridMultilevel"/>
    <w:tmpl w:val="76421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B6F6F"/>
    <w:multiLevelType w:val="hybridMultilevel"/>
    <w:tmpl w:val="A9FE2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56CA3"/>
    <w:rsid w:val="00175205"/>
    <w:rsid w:val="00180164"/>
    <w:rsid w:val="001A5668"/>
    <w:rsid w:val="001F3956"/>
    <w:rsid w:val="002179C2"/>
    <w:rsid w:val="002639C2"/>
    <w:rsid w:val="00296550"/>
    <w:rsid w:val="002B34BD"/>
    <w:rsid w:val="002C3AB2"/>
    <w:rsid w:val="003C0A08"/>
    <w:rsid w:val="00403B54"/>
    <w:rsid w:val="004130E9"/>
    <w:rsid w:val="004B47D5"/>
    <w:rsid w:val="004B6833"/>
    <w:rsid w:val="00597F78"/>
    <w:rsid w:val="005A6B3B"/>
    <w:rsid w:val="005D2815"/>
    <w:rsid w:val="005E4353"/>
    <w:rsid w:val="00606D77"/>
    <w:rsid w:val="006657B4"/>
    <w:rsid w:val="006706B6"/>
    <w:rsid w:val="006B374A"/>
    <w:rsid w:val="006C1E4A"/>
    <w:rsid w:val="007560D9"/>
    <w:rsid w:val="007F46D2"/>
    <w:rsid w:val="008A64DE"/>
    <w:rsid w:val="00923E59"/>
    <w:rsid w:val="009E0D2A"/>
    <w:rsid w:val="00A37FD0"/>
    <w:rsid w:val="00AC08B0"/>
    <w:rsid w:val="00AF0B77"/>
    <w:rsid w:val="00B17FBF"/>
    <w:rsid w:val="00BB26FC"/>
    <w:rsid w:val="00C05097"/>
    <w:rsid w:val="00C20896"/>
    <w:rsid w:val="00C64A8A"/>
    <w:rsid w:val="00C85BEB"/>
    <w:rsid w:val="00CC1E3F"/>
    <w:rsid w:val="00CE0F30"/>
    <w:rsid w:val="00DA7502"/>
    <w:rsid w:val="00DD32C1"/>
    <w:rsid w:val="00DF57D8"/>
    <w:rsid w:val="00E4015C"/>
    <w:rsid w:val="00E93E62"/>
    <w:rsid w:val="00EE16D5"/>
    <w:rsid w:val="00F33E3E"/>
    <w:rsid w:val="00F40E1B"/>
    <w:rsid w:val="00F5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9C2"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AC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C08B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40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Danila Balabaev</dc:creator>
  <cp:lastModifiedBy>Vitas</cp:lastModifiedBy>
  <cp:revision>7</cp:revision>
  <dcterms:created xsi:type="dcterms:W3CDTF">2026-04-29T01:58:00Z</dcterms:created>
  <dcterms:modified xsi:type="dcterms:W3CDTF">2026-04-29T02:57:00Z</dcterms:modified>
</cp:coreProperties>
</file>