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1E2" w:rsidRDefault="002D31E2" w:rsidP="002D31E2">
      <w:pPr>
        <w:pStyle w:val="2"/>
        <w:rPr>
          <w:rFonts w:ascii="Times New Roman" w:hAnsi="Times New Roman"/>
          <w:color w:val="auto"/>
          <w:sz w:val="28"/>
          <w:szCs w:val="28"/>
        </w:rPr>
      </w:pPr>
      <w:bookmarkStart w:id="0" w:name="_Toc401046561"/>
      <w:r w:rsidRPr="00A075E3">
        <w:rPr>
          <w:rFonts w:ascii="Times New Roman" w:hAnsi="Times New Roman"/>
          <w:color w:val="auto"/>
          <w:sz w:val="28"/>
          <w:szCs w:val="28"/>
        </w:rPr>
        <w:t>Выводы.</w:t>
      </w:r>
      <w:bookmarkEnd w:id="0"/>
    </w:p>
    <w:p w:rsidR="002D31E2" w:rsidRDefault="002D31E2" w:rsidP="002D31E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2D31E2" w:rsidRDefault="002D31E2" w:rsidP="002D31E2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Анализ результатов кластеризации показал, что типичная область деятельности ИТ-предприятий Ульяновской области – заказная разработка программного обеспечения: интернет-сайты, веб-приложения, разработка и сопровождение программных продуктов, интернет-провайдеры, ремонт и обслуживание техники, продажа, системная интеграция и администрирование. В Ульяновской области мало ИТ-предприятий занимаются обучением, научными исследованиями в сфере ИТ, защитой информации.Доля наукоёмких продуктов невелика. Лишь 4% предприятий имеют 100%, 4% предприятий – 25%, 2% – 10% наукоёмких продуктов.</w:t>
      </w:r>
    </w:p>
    <w:p w:rsidR="002D31E2" w:rsidRDefault="002D31E2" w:rsidP="002D31E2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F65761">
        <w:rPr>
          <w:rFonts w:ascii="Times New Roman" w:hAnsi="Times New Roman"/>
          <w:sz w:val="28"/>
          <w:szCs w:val="24"/>
        </w:rPr>
        <w:t xml:space="preserve">В основном </w:t>
      </w:r>
      <w:r>
        <w:rPr>
          <w:rFonts w:ascii="Times New Roman" w:hAnsi="Times New Roman"/>
          <w:sz w:val="28"/>
          <w:szCs w:val="24"/>
        </w:rPr>
        <w:t>ИТ-предприятия малочисленны от 1 до 10 сотрудников. Примерно четверть предприятий имеет боле 100 сотрудников. Средний возраст сотрудников 25-30 лет. Около 80% из них с высшим образованием. Малая доля предприятий занимается обучением своих сотрудников.</w:t>
      </w:r>
    </w:p>
    <w:p w:rsidR="002D31E2" w:rsidRDefault="002D31E2" w:rsidP="002D31E2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 отрасли высокая доля самофинансирования, что связано со  спецификой ИТ-отрасли. Средний объём реализации продуктов по самому  многочисленному кластеру невысок, 200 – 500 тыс. рублей в год. Это связанно с особенностями заполнения анкеты, где многие предприятия из соображений коммерческой тайны не указали объёмов реализации. Объёмы реализации у предприятий - лидеров – 100 – 500 млн. рублей в год.</w:t>
      </w:r>
    </w:p>
    <w:p w:rsidR="002D31E2" w:rsidRDefault="002D31E2" w:rsidP="002D31E2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Единичные предприятия занимаются социальными программами. Всего у 4 предприятий доля финансирования социальных программ 2 – 5 % от реализации. </w:t>
      </w:r>
    </w:p>
    <w:p w:rsidR="00DA262C" w:rsidRDefault="00DA262C"/>
    <w:sectPr w:rsidR="00DA2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D31E2"/>
    <w:rsid w:val="002D31E2"/>
    <w:rsid w:val="00DA2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2D31E2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31E2"/>
    <w:rPr>
      <w:rFonts w:ascii="Cambria" w:eastAsia="Times New Roman" w:hAnsi="Cambria" w:cs="Times New Roman"/>
      <w:b/>
      <w:bCs/>
      <w:color w:val="4F81BD"/>
      <w:sz w:val="26"/>
      <w:szCs w:val="2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1192</Characters>
  <Application>Microsoft Office Word</Application>
  <DocSecurity>0</DocSecurity>
  <Lines>9</Lines>
  <Paragraphs>2</Paragraphs>
  <ScaleCrop>false</ScaleCrop>
  <Company>йцукен продакшен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</dc:creator>
  <cp:keywords/>
  <dc:description/>
  <cp:lastModifiedBy>йцукен</cp:lastModifiedBy>
  <cp:revision>2</cp:revision>
  <dcterms:created xsi:type="dcterms:W3CDTF">2014-10-14T11:40:00Z</dcterms:created>
  <dcterms:modified xsi:type="dcterms:W3CDTF">2014-10-14T11:41:00Z</dcterms:modified>
</cp:coreProperties>
</file>