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3" w:name="content"/>
    <w:bookmarkStart w:id="52" w:name="X0fab49ee89d1285fee95fbafc0f10cd69cf5ddc"/>
    <w:p>
      <w:pPr>
        <w:pStyle w:val="Heading1"/>
      </w:pPr>
      <w:r>
        <w:t xml:space="preserve">Перспективные ниши для mobile mental health приложения</w:t>
      </w:r>
    </w:p>
    <w:bookmarkStart w:id="24" w:name="ключевой-вывод"/>
    <w:p>
      <w:pPr>
        <w:pStyle w:val="Heading2"/>
      </w:pPr>
      <w:r>
        <w:t xml:space="preserve">Ключевой вывод</w:t>
      </w:r>
    </w:p>
    <w:p>
      <w:pPr>
        <w:pStyle w:val="FirstParagraph"/>
      </w:pPr>
      <w:r>
        <w:t xml:space="preserve">Самые сильные ниши здесь —</w:t>
      </w:r>
      <w:r>
        <w:t xml:space="preserve"> </w:t>
      </w:r>
      <w:r>
        <w:rPr>
          <w:b/>
          <w:bCs/>
        </w:rPr>
        <w:t xml:space="preserve">adult ADHD-адаптация</w:t>
      </w:r>
      <w:r>
        <w:t xml:space="preserve">,</w:t>
      </w:r>
      <w:r>
        <w:t xml:space="preserve"> </w:t>
      </w:r>
      <w:r>
        <w:rPr>
          <w:b/>
          <w:bCs/>
        </w:rPr>
        <w:t xml:space="preserve">прокрастинация на фоне тревожности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восстановление/детачмент для удаленки и предпринимателей</w:t>
      </w:r>
      <w:r>
        <w:t xml:space="preserve">. Причина простая: это не “wellness на досуге”, а</w:t>
      </w:r>
      <w:r>
        <w:t xml:space="preserve"> </w:t>
      </w:r>
      <w:r>
        <w:rPr>
          <w:b/>
          <w:bCs/>
        </w:rPr>
        <w:t xml:space="preserve">повторяющиеся функциональные сбои</w:t>
      </w:r>
      <w:r>
        <w:t xml:space="preserve">, которые бьют по работе, отношениям, сну и самоуважению много раз в неделю. Именно такие боли проще монетизировать, легче встроить в “домашние задания” между сессиями и проще продвигать через специалистов. Напротив,</w:t>
      </w:r>
      <w:r>
        <w:t xml:space="preserve"> </w:t>
      </w:r>
      <w:r>
        <w:rPr>
          <w:b/>
          <w:bCs/>
        </w:rPr>
        <w:t xml:space="preserve">отдельное приложение только про синдром самозванца</w:t>
      </w:r>
      <w:r>
        <w:t xml:space="preserve"> </w:t>
      </w:r>
      <w:r>
        <w:t xml:space="preserve">выглядит слабее как самостоятельная B2C-категория: боль реальна, но чаще идет в связке с карьерными переходами, тревожностью, ADHD, перфекционизмом и выгоранием, а интервенты по IP пока слишком разнородны.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Самый большой white space рынка не в “еще одной медитации”, а в продуктах, которые закрывают</w:t>
      </w:r>
      <w:r>
        <w:t xml:space="preserve"> </w:t>
      </w:r>
      <w:r>
        <w:rPr>
          <w:b/>
          <w:bCs/>
        </w:rPr>
        <w:t xml:space="preserve">контекстную, поведенческую и социальную</w:t>
      </w:r>
      <w:r>
        <w:t xml:space="preserve"> </w:t>
      </w:r>
      <w:r>
        <w:t xml:space="preserve">боль: “не могу начать”, “не могу переключиться с работы”, “не понимаю, что со мной — ADHD или я просто сломан”, “я переехал и у меня исчезло чувство принадлежности”. Это боли, где человеку нужен не релакс-контент, а</w:t>
      </w:r>
      <w:r>
        <w:t xml:space="preserve"> </w:t>
      </w:r>
      <w:r>
        <w:rPr>
          <w:b/>
          <w:bCs/>
        </w:rPr>
        <w:t xml:space="preserve">моментальный перевод состояния в действие</w:t>
      </w:r>
      <w:r>
        <w:t xml:space="preserve">, плюс поддержка, которую можно безопасно рекомендовать и использовать регулярно.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Если нужен один короткий приоритет:</w:t>
      </w:r>
      <w:r>
        <w:t xml:space="preserve"> </w:t>
      </w:r>
      <w:r>
        <w:rPr>
          <w:b/>
          <w:bCs/>
        </w:rPr>
        <w:t xml:space="preserve">не делай standalone-app про “самоуспокоение”</w:t>
      </w:r>
      <w:r>
        <w:t xml:space="preserve">. Делай продукт про</w:t>
      </w:r>
      <w:r>
        <w:t xml:space="preserve"> </w:t>
      </w:r>
      <w:r>
        <w:rPr>
          <w:b/>
          <w:bCs/>
        </w:rPr>
        <w:t xml:space="preserve">срыв функции</w:t>
      </w:r>
      <w:r>
        <w:t xml:space="preserve">: запуск задачи, завершение рабочего дня, разруливание overload, self-regulation при ADHD, адаптацию в новой стране. Именно там рынок слабее, а ценность понятнее.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26" w:name="что-рынок-сейчас-реально-продает"/>
    <w:p>
      <w:pPr>
        <w:pStyle w:val="Heading2"/>
      </w:pPr>
      <w:r>
        <w:t xml:space="preserve">Что рынок сейчас реально продает</w:t>
      </w:r>
    </w:p>
    <w:p>
      <w:pPr>
        <w:pStyle w:val="FirstParagraph"/>
      </w:pPr>
      <w:r>
        <w:t xml:space="preserve">Даже крупнейшие продукты в категории продолжают продавать в основном знакомый набор:</w:t>
      </w:r>
      <w:r>
        <w:t xml:space="preserve"> </w:t>
      </w:r>
      <w:r>
        <w:rPr>
          <w:b/>
          <w:bCs/>
        </w:rPr>
        <w:t xml:space="preserve">медитации, sleep content, дыхание, mood tracking, journaling, gratitude, habit flows</w:t>
      </w:r>
      <w:r>
        <w:t xml:space="preserve">. Это видно и по текущему позиционированию Headspace, Wysa, Finch, Fabulous и Calm: у всех в центре — сон, медитация, mindfulness, привычки, дневники, affirmations и трекеры самочувствия.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Проблема не в том, что эти форматы бесполезны. Проблема в том, что они</w:t>
      </w:r>
      <w:r>
        <w:t xml:space="preserve"> </w:t>
      </w:r>
      <w:r>
        <w:rPr>
          <w:b/>
          <w:bCs/>
        </w:rPr>
        <w:t xml:space="preserve">плохо попадают в контекст боли</w:t>
      </w:r>
      <w:r>
        <w:t xml:space="preserve">, когда боль — это не общий стресс, а конкретный functional breakdown: тревожная отсрочка сложного письма, послевоенный/послемиграционный разрыв идентичности, after-hours rumination у фаундера, notification-driven overload, shame-cycle у взрослого с ADHD. При этом данные по качеству рынка слабые: в обзоре MIND только</w:t>
      </w:r>
      <w:r>
        <w:t xml:space="preserve"> </w:t>
      </w:r>
      <w:r>
        <w:rPr>
          <w:b/>
          <w:bCs/>
        </w:rPr>
        <w:t xml:space="preserve">15% general mental health apps</w:t>
      </w:r>
      <w:r>
        <w:t xml:space="preserve"> </w:t>
      </w:r>
      <w:r>
        <w:t xml:space="preserve">имели feasibility/effectiveness data; почти</w:t>
      </w:r>
      <w:r>
        <w:t xml:space="preserve"> </w:t>
      </w:r>
      <w:r>
        <w:rPr>
          <w:b/>
          <w:bCs/>
        </w:rPr>
        <w:t xml:space="preserve">четверть</w:t>
      </w:r>
      <w:r>
        <w:t xml:space="preserve"> </w:t>
      </w:r>
      <w:r>
        <w:t xml:space="preserve">не имели privacy policy;</w:t>
      </w:r>
      <w:r>
        <w:t xml:space="preserve"> </w:t>
      </w:r>
      <w:r>
        <w:rPr>
          <w:b/>
          <w:bCs/>
        </w:rPr>
        <w:t xml:space="preserve">44%</w:t>
      </w:r>
      <w:r>
        <w:t xml:space="preserve"> </w:t>
      </w:r>
      <w:r>
        <w:t xml:space="preserve">явно раскрывали sharing personal health information with third parties. APA App Evaluation Model именно поэтому ставит в основу не “красивый UX”, а</w:t>
      </w:r>
      <w:r>
        <w:t xml:space="preserve"> </w:t>
      </w:r>
      <w:r>
        <w:rPr>
          <w:b/>
          <w:bCs/>
        </w:rPr>
        <w:t xml:space="preserve">privacy, evidence, usability и interoperability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Спрос, впрочем, есть. В опросе пациентов про depression/anxiety apps</w:t>
      </w:r>
      <w:r>
        <w:t xml:space="preserve"> </w:t>
      </w:r>
      <w:r>
        <w:rPr>
          <w:b/>
          <w:bCs/>
        </w:rPr>
        <w:t xml:space="preserve">73.1%</w:t>
      </w:r>
      <w:r>
        <w:t xml:space="preserve"> </w:t>
      </w:r>
      <w:r>
        <w:t xml:space="preserve">говорили, что им было бы интересно использовать app для mental illness, но реально использовали только</w:t>
      </w:r>
      <w:r>
        <w:t xml:space="preserve"> </w:t>
      </w:r>
      <w:r>
        <w:rPr>
          <w:b/>
          <w:bCs/>
        </w:rPr>
        <w:t xml:space="preserve">10.7%</w:t>
      </w:r>
      <w:r>
        <w:t xml:space="preserve">. Главные барьеры:</w:t>
      </w:r>
      <w:r>
        <w:t xml:space="preserve"> </w:t>
      </w:r>
      <w:r>
        <w:rPr>
          <w:b/>
          <w:bCs/>
        </w:rPr>
        <w:t xml:space="preserve">нет доказательств эффективности</w:t>
      </w:r>
      <w:r>
        <w:t xml:space="preserve"> </w:t>
      </w:r>
      <w:r>
        <w:t xml:space="preserve">(71.8%),</w:t>
      </w:r>
      <w:r>
        <w:t xml:space="preserve"> </w:t>
      </w:r>
      <w:r>
        <w:rPr>
          <w:b/>
          <w:bCs/>
        </w:rPr>
        <w:t xml:space="preserve">страх за privacy</w:t>
      </w:r>
      <w:r>
        <w:t xml:space="preserve"> </w:t>
      </w:r>
      <w:r>
        <w:t xml:space="preserve">(59.1%) и</w:t>
      </w:r>
      <w:r>
        <w:t xml:space="preserve"> </w:t>
      </w:r>
      <w:r>
        <w:rPr>
          <w:b/>
          <w:bCs/>
        </w:rPr>
        <w:t xml:space="preserve">непонятно, где вообще искать нормальный app</w:t>
      </w:r>
      <w:r>
        <w:t xml:space="preserve"> </w:t>
      </w:r>
      <w:r>
        <w:t xml:space="preserve">(51.0%). Интерес особенно высок к</w:t>
      </w:r>
      <w:r>
        <w:t xml:space="preserve"> </w:t>
      </w:r>
      <w:r>
        <w:rPr>
          <w:b/>
          <w:bCs/>
        </w:rPr>
        <w:t xml:space="preserve">context-sensitive apps</w:t>
      </w:r>
      <w:r>
        <w:t xml:space="preserve">, а willingness to use заметно вырастает, если app</w:t>
      </w:r>
      <w:r>
        <w:t xml:space="preserve"> </w:t>
      </w:r>
      <w:r>
        <w:rPr>
          <w:b/>
          <w:bCs/>
        </w:rPr>
        <w:t xml:space="preserve">рекомендует клиницист</w:t>
      </w:r>
      <w:r>
        <w:t xml:space="preserve">, особенно mental health specialist.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Это и есть суть рынка:</w:t>
      </w:r>
      <w:r>
        <w:t xml:space="preserve"> </w:t>
      </w:r>
      <w:r>
        <w:rPr>
          <w:b/>
          <w:bCs/>
        </w:rPr>
        <w:t xml:space="preserve">спрос есть, доверия нет; каталогов полно, recommendable tools мало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bookmarkEnd w:id="26"/>
    <w:bookmarkStart w:id="32" w:name="смежные-ниши-и-скрытые-боли"/>
    <w:p>
      <w:pPr>
        <w:pStyle w:val="Heading2"/>
      </w:pPr>
      <w:r>
        <w:t xml:space="preserve">Смежные ниши и скрытые боли</w:t>
      </w:r>
    </w:p>
    <w:p>
      <w:pPr>
        <w:pStyle w:val="FirstParagraph"/>
      </w:pPr>
      <w:r>
        <w:rPr>
          <w:b/>
          <w:bCs/>
        </w:rPr>
        <w:t xml:space="preserve">Синдром самозванца</w:t>
      </w:r>
      <w:r>
        <w:t xml:space="preserve"> </w:t>
      </w:r>
      <w:r>
        <w:t xml:space="preserve">плохо описывать как просто “низкую самооценку”. В рабочем контексте это скорее сочетание</w:t>
      </w:r>
      <w:r>
        <w:t xml:space="preserve"> </w:t>
      </w:r>
      <w:r>
        <w:rPr>
          <w:b/>
          <w:bCs/>
        </w:rPr>
        <w:t xml:space="preserve">страха разоблачения, невозможности внутренне присвоить успех и склонности к avoidant coping</w:t>
      </w:r>
      <w:r>
        <w:t xml:space="preserve">. Обзор интервенций по impostor phenomenon нашел 31 исследование, но сами подходы и эффекты очень гетерогенны; отдельные работы прямо связывают IP с подавлением активных coping strategies и avoidant goal setting. Поэтому медитация здесь редко бьет в корень: она может снизить arousal, но не помогает</w:t>
      </w:r>
      <w:r>
        <w:t xml:space="preserve"> </w:t>
      </w:r>
      <w:r>
        <w:rPr>
          <w:b/>
          <w:bCs/>
        </w:rPr>
        <w:t xml:space="preserve">собирать факты компетентности, тренировать visibility behavior, разрывать паттерн “избегаю, потому что боюсь быть раскрытым”</w:t>
      </w:r>
      <w:r>
        <w:t xml:space="preserve">. Для продукта это означает: standalone “I am enough”-app — слабая ставка; сильнее — app, который превращает performance evidence и difficult tasks в структурированное, retrievable и action-oriented data.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Прокрастинация на фоне тревожности</w:t>
      </w:r>
      <w:r>
        <w:t xml:space="preserve"> </w:t>
      </w:r>
      <w:r>
        <w:t xml:space="preserve">— это не time management problem. В обзоре Sirois прокрастинация описана через</w:t>
      </w:r>
      <w:r>
        <w:t xml:space="preserve"> </w:t>
      </w:r>
      <w:r>
        <w:rPr>
          <w:b/>
          <w:bCs/>
        </w:rPr>
        <w:t xml:space="preserve">mood regulation</w:t>
      </w:r>
      <w:r>
        <w:t xml:space="preserve">: стрессовые контексты усиливают желание откладывать, потому что откладывание временно снижает неприятное чувство. State anxiety положительно связана с procrastination, а emotion dysregulation — с академической прокрастинацией и негативными эмоциями. Скрытая боль здесь — не “мало дисциплины”, а</w:t>
      </w:r>
      <w:r>
        <w:t xml:space="preserve"> </w:t>
      </w:r>
      <w:r>
        <w:rPr>
          <w:b/>
          <w:bCs/>
        </w:rPr>
        <w:t xml:space="preserve">“мне больно начинать, и я покупаю короткое облегчение отсрочкой”</w:t>
      </w:r>
      <w:r>
        <w:t xml:space="preserve">. Медитации в вакууме мало: нужен продукт, который делает</w:t>
      </w:r>
      <w:r>
        <w:t xml:space="preserve"> </w:t>
      </w:r>
      <w:r>
        <w:rPr>
          <w:b/>
          <w:bCs/>
        </w:rPr>
        <w:t xml:space="preserve">from avoidance to first step</w:t>
      </w:r>
      <w:r>
        <w:t xml:space="preserve">, а не просто успокаивает.</w:t>
      </w:r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Выгорание на удаленке, у knowledge workers и предпринимателей</w:t>
      </w:r>
      <w:r>
        <w:t xml:space="preserve"> </w:t>
      </w:r>
      <w:r>
        <w:t xml:space="preserve">— это не только усталость. Для remote workers techno-stressors напрямую связаны с anxiety symptoms и проходят через burnout как медиатор. В продольном исследовании psychological detachment from work предсказывал лучшее psychological wellbeing, ниже anxiety и выше life satisfaction спустя год. У предпринимателей ситуация еще жестче: в исследовании French small business owners recovery experiences были ниже, чем у employees, detachment имел самые низкие scores, а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оказался сильнейшим recovery-драйвером для снижения burnout и роста well-being. Скрытая боль здесь —</w:t>
      </w:r>
      <w:r>
        <w:t xml:space="preserve"> </w:t>
      </w:r>
      <w:r>
        <w:rPr>
          <w:b/>
          <w:bCs/>
        </w:rPr>
        <w:t xml:space="preserve">неспособность переключить режим</w:t>
      </w:r>
      <w:r>
        <w:t xml:space="preserve">, чувство вины за отдых и потеря контроля над нерабочим временем. Медитация может дать короткий relief, но не строит</w:t>
      </w:r>
      <w:r>
        <w:t xml:space="preserve"> </w:t>
      </w:r>
      <w:r>
        <w:rPr>
          <w:b/>
          <w:bCs/>
        </w:rPr>
        <w:t xml:space="preserve">boundary control</w:t>
      </w:r>
      <w:r>
        <w:t xml:space="preserve"> </w:t>
      </w:r>
      <w:r>
        <w:t xml:space="preserve">и не закрывает recovery deficit.</w:t>
      </w:r>
      <w:r>
        <w:t xml:space="preserve"> </w:t>
      </w:r>
      <w:hyperlink r:id="rId28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Цифровая зависимость и информационный перегруз</w:t>
      </w:r>
      <w:r>
        <w:t xml:space="preserve"> </w:t>
      </w:r>
      <w:r>
        <w:t xml:space="preserve">тоже часто неправильно осмысляют как “слишком много screen time”. Более точная формулировка —</w:t>
      </w:r>
      <w:r>
        <w:t xml:space="preserve"> </w:t>
      </w:r>
      <w:r>
        <w:rPr>
          <w:b/>
          <w:bCs/>
        </w:rPr>
        <w:t xml:space="preserve">interruption overload + telepressure + FoMO</w:t>
      </w:r>
      <w:r>
        <w:t xml:space="preserve">. Большой review по information overload показывает влияние на decision-making, productivity и wellbeing. Эксперимент с отключением notifications показал, что уменьшение notification-caused interruptions улучшает performance и снижает strain; отдельные исследования по smartphone notifications показывают slower responses и ухудшение cognitive control даже на уровне нейрофизиологии. Скрытая боль — не просто “я сижу в телефоне”, а</w:t>
      </w:r>
      <w:r>
        <w:t xml:space="preserve"> </w:t>
      </w:r>
      <w:r>
        <w:rPr>
          <w:b/>
          <w:bCs/>
        </w:rPr>
        <w:t xml:space="preserve">“мой мозг постоянно дергают из фокуса, и я к вечеру выжат, хотя ничего глубоко не сделал”</w:t>
      </w:r>
      <w:r>
        <w:t xml:space="preserve">. Медитации этого не чинят, если продукт не вмешивается в сам контекст interruptions.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Адаптация при эмиграции</w:t>
      </w:r>
      <w:r>
        <w:t xml:space="preserve"> </w:t>
      </w:r>
      <w:r>
        <w:t xml:space="preserve">— одно из самых недооцененных направлений. Основные факторы ухудшения mental health у мигрантов — не только trauma или loneliness, а еще</w:t>
      </w:r>
      <w:r>
        <w:t xml:space="preserve"> </w:t>
      </w:r>
      <w:r>
        <w:rPr>
          <w:b/>
          <w:bCs/>
        </w:rPr>
        <w:t xml:space="preserve">discrimination, language barriers, family conflict, acculturative stress и loss of social identity/belonging</w:t>
      </w:r>
      <w:r>
        <w:t xml:space="preserve">; social networking, наоборот, выступает защитным фактором. У forced migrants и refugees виртуальный mental health support имеет потенциал, но масштабированию мешают stigma, tech literacy, language/cultural mismatches и trust issues. Это значит, что стандартное wellness-app почти неизбежно промахивается: мигранту часто нужен</w:t>
      </w:r>
      <w:r>
        <w:t xml:space="preserve"> </w:t>
      </w:r>
      <w:r>
        <w:rPr>
          <w:b/>
          <w:bCs/>
        </w:rPr>
        <w:t xml:space="preserve">не calming content, а scripts, navigation, belonging cues, contextual resource map и обработка микропереживаний стыда/отчуждения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Adult ADHD</w:t>
      </w:r>
      <w:r>
        <w:t xml:space="preserve"> </w:t>
      </w:r>
      <w:r>
        <w:t xml:space="preserve">рынок до сих пор недозакрывает. Главные боли взрослых с ADHD — не только невнимательность, а</w:t>
      </w:r>
      <w:r>
        <w:t xml:space="preserve"> </w:t>
      </w:r>
      <w:r>
        <w:rPr>
          <w:b/>
          <w:bCs/>
        </w:rPr>
        <w:t xml:space="preserve">emotion dysregulation, sleep disturbance, executive overload, shame и частая коморбидность с anxiety/depression</w:t>
      </w:r>
      <w:r>
        <w:t xml:space="preserve">. Meta-analysis показывает выраженную эмоциональную dysregulation у взрослых с ADHD; проблемы со сном заметно бьют по mood, attention и work functioning. При этом digital ADHD literature признает пользу персонализированных и scalable supports, но подчеркивает, что evidence остается ограниченным; review для 16–25 лет прямо пишет, что доказательств пока недостаточно для clinical recommendations. Показательно, что psychoeducational Adult ADHD App в реальном использовании называли “one-stop shop”: за год он набрал &gt;18k downloads и &gt;12k active users, а пользователи особенно ценили</w:t>
      </w:r>
      <w:r>
        <w:t xml:space="preserve"> </w:t>
      </w:r>
      <w:r>
        <w:rPr>
          <w:b/>
          <w:bCs/>
        </w:rPr>
        <w:t xml:space="preserve">trustworthy information</w:t>
      </w:r>
      <w:r>
        <w:t xml:space="preserve">, особенно если были new to their ADHD. Это хороший сигнал: скрытая боль —</w:t>
      </w:r>
      <w:r>
        <w:t xml:space="preserve"> </w:t>
      </w:r>
      <w:r>
        <w:rPr>
          <w:b/>
          <w:bCs/>
        </w:rPr>
        <w:t xml:space="preserve">не отсутствие еще одного task tracker, а отсутствие надежного внешнего scaffolding для self-understanding и self-regulation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Эмоциональные качели</w:t>
      </w:r>
      <w:r>
        <w:t xml:space="preserve"> </w:t>
      </w:r>
      <w:r>
        <w:t xml:space="preserve">и “work-life balance” сами по себе — плохие продуктовые категории. Они слишком широкие. Как ниша они сильны только если переформулировать их в</w:t>
      </w:r>
      <w:r>
        <w:t xml:space="preserve"> </w:t>
      </w:r>
      <w:r>
        <w:rPr>
          <w:b/>
          <w:bCs/>
        </w:rPr>
        <w:t xml:space="preserve">emotion regulation loop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boundary control loop</w:t>
      </w:r>
      <w:r>
        <w:t xml:space="preserve">: “я не различаю, что именно чувствую”, “я замечаю перегрев слишком поздно”, “я не умею мягко завершать рабочий день”, “я залипаю в реактивность”. Тогда уже появляются конкретные product jobs-to-be-done.</w:t>
      </w:r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</w:p>
    <w:bookmarkEnd w:id="32"/>
    <w:bookmarkStart w:id="37" w:name="слабые-места-существующих-решений"/>
    <w:p>
      <w:pPr>
        <w:pStyle w:val="Heading2"/>
      </w:pPr>
      <w:r>
        <w:t xml:space="preserve">Слабые места существующих решений</w:t>
      </w:r>
    </w:p>
    <w:p>
      <w:pPr>
        <w:pStyle w:val="FirstParagraph"/>
      </w:pPr>
      <w:r>
        <w:t xml:space="preserve">Первая общая претензия рынка —</w:t>
      </w:r>
      <w:r>
        <w:t xml:space="preserve"> </w:t>
      </w:r>
      <w:r>
        <w:rPr>
          <w:b/>
          <w:bCs/>
        </w:rPr>
        <w:t xml:space="preserve">слишком много оболочки, слишком мало действия</w:t>
      </w:r>
      <w:r>
        <w:t xml:space="preserve">. Fabulous в Google Play получают критику за overwhelming UI, постоянное ощущение pop-up pressure, bloated interface и слабую кастомизацию; пользователи прямо пишут, что премиум не дает чего-то принципиально особенного по сравнению с обычным habit tracker. В обзорах Headspace на App Store тоже повторяется мотив overwhelm: контента много, но он плохо организован, users хотят filters by technique, better randomization и меньше ощущения “всего сразу”. Это важный сигнал: люди не против depth, они против</w:t>
      </w:r>
      <w:r>
        <w:t xml:space="preserve"> </w:t>
      </w:r>
      <w:r>
        <w:rPr>
          <w:b/>
          <w:bCs/>
        </w:rPr>
        <w:t xml:space="preserve">интерфейсного шума и “воды” вместо инструмента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Вторая претензия —</w:t>
      </w:r>
      <w:r>
        <w:t xml:space="preserve"> </w:t>
      </w:r>
      <w:r>
        <w:rPr>
          <w:b/>
          <w:bCs/>
        </w:rPr>
        <w:t xml:space="preserve">слабая персонализация и короткая память продукта</w:t>
      </w:r>
      <w:r>
        <w:t xml:space="preserve">. В Google Play у Wysa есть типичный отзыв: app “pretty limited”, не помнит, о чем говорили вчера, и помогает лишь частично. Это отлично совпадает с опросом пациентов, где особенно высокий интерес был именно к</w:t>
      </w:r>
      <w:r>
        <w:t xml:space="preserve"> </w:t>
      </w:r>
      <w:r>
        <w:rPr>
          <w:b/>
          <w:bCs/>
        </w:rPr>
        <w:t xml:space="preserve">context-sensitive apps</w:t>
      </w:r>
      <w:r>
        <w:t xml:space="preserve">, а также с интервью психиатров, которые хотели бы видеть</w:t>
      </w:r>
      <w:r>
        <w:t xml:space="preserve"> </w:t>
      </w:r>
      <w:r>
        <w:rPr>
          <w:b/>
          <w:bCs/>
        </w:rPr>
        <w:t xml:space="preserve">self-monitoring, emergency plan, positive and motivating app</w:t>
      </w:r>
      <w:r>
        <w:t xml:space="preserve"> </w:t>
      </w:r>
      <w:r>
        <w:t xml:space="preserve">и иногда peer support. Иными словами, рынок устал от generic soothing; users хотят, чтобы product</w:t>
      </w:r>
      <w:r>
        <w:t xml:space="preserve"> </w:t>
      </w:r>
      <w:r>
        <w:rPr>
          <w:b/>
          <w:bCs/>
        </w:rPr>
        <w:t xml:space="preserve">понимал контекст момента</w:t>
      </w:r>
      <w:r>
        <w:t xml:space="preserve">, а не только воспроизводил заготовки.</w:t>
      </w:r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Третья слабость —</w:t>
      </w:r>
      <w:r>
        <w:t xml:space="preserve"> </w:t>
      </w:r>
      <w:r>
        <w:rPr>
          <w:b/>
          <w:bCs/>
        </w:rPr>
        <w:t xml:space="preserve">продукт не выдерживает момент, когда он нужен</w:t>
      </w:r>
      <w:r>
        <w:t xml:space="preserve">. В Headspace публичные Google Play reviews жалуются на frequent crashes во время sleep content, медленные загрузки и проблемы с offline access; а когда пользователь уже stressed or overwhelmed, такая friction делает продукт контрпродуктивным. Fabulous получает замечания и по accessibility: невозможность нормально перенастроить goals, нельзя “skip ahead”, нет дружественных настроек шрифта для dyslexia. В mental health это не мелочь, а ядро UX: человек приходит в момент уязвимости, и продукт обязан быть</w:t>
      </w:r>
      <w:r>
        <w:t xml:space="preserve"> </w:t>
      </w:r>
      <w:r>
        <w:rPr>
          <w:b/>
          <w:bCs/>
        </w:rPr>
        <w:t xml:space="preserve">быстрее, чем импульс уйти в avoidance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Четвертая слабость —</w:t>
      </w:r>
      <w:r>
        <w:t xml:space="preserve"> </w:t>
      </w:r>
      <w:r>
        <w:rPr>
          <w:b/>
          <w:bCs/>
        </w:rPr>
        <w:t xml:space="preserve">цена при низком trust</w:t>
      </w:r>
      <w:r>
        <w:t xml:space="preserve">. BetterHelp прямо указывает стоимость</w:t>
      </w:r>
      <w:r>
        <w:t xml:space="preserve"> </w:t>
      </w:r>
      <w:r>
        <w:rPr>
          <w:b/>
          <w:bCs/>
        </w:rPr>
        <w:t xml:space="preserve">$60–$90 в неделю</w:t>
      </w:r>
      <w:r>
        <w:t xml:space="preserve">, а store reviews называют сервис simply too expensive; Calm и Headspace показывают цены порядка</w:t>
      </w:r>
      <w:r>
        <w:t xml:space="preserve"> </w:t>
      </w:r>
      <w:r>
        <w:rPr>
          <w:b/>
          <w:bCs/>
        </w:rPr>
        <w:t xml:space="preserve">$69.99 в год</w:t>
      </w:r>
      <w:r>
        <w:t xml:space="preserve"> </w:t>
      </w:r>
      <w:r>
        <w:t xml:space="preserve">плюс ежемесячные планы. Сам по себе paywall не проблема — проблема в том, что рынок одновременно просит деньги, не убедив пользователя в privacy и evidence. FTC в 2023–2024 годах добилась settlement с BetterHelp на</w:t>
      </w:r>
      <w:r>
        <w:t xml:space="preserve"> </w:t>
      </w:r>
      <w:r>
        <w:rPr>
          <w:b/>
          <w:bCs/>
        </w:rPr>
        <w:t xml:space="preserve">$7.8M</w:t>
      </w:r>
      <w:r>
        <w:t xml:space="preserve"> </w:t>
      </w:r>
      <w:r>
        <w:t xml:space="preserve">за allegations of sharing sensitive mental health data for advertising; Mozilla в 2023 году отмечала, что многие крупные mental health apps — включая Headspace и BetterHelp — оставались в категории poor privacy/security practices. На этом фоне вопрос “почему я должен платить?” превращается в двойной вопрос:</w:t>
      </w:r>
      <w:r>
        <w:t xml:space="preserve"> </w:t>
      </w:r>
      <w:r>
        <w:rPr>
          <w:b/>
          <w:bCs/>
        </w:rPr>
        <w:t xml:space="preserve">“почему это работает?” и “почему я должен вам доверять свои самые чувствительные данные?”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Пятая слабость —</w:t>
      </w:r>
      <w:r>
        <w:t xml:space="preserve"> </w:t>
      </w:r>
      <w:r>
        <w:rPr>
          <w:b/>
          <w:bCs/>
        </w:rPr>
        <w:t xml:space="preserve">неловкая геймификация</w:t>
      </w:r>
      <w:r>
        <w:t xml:space="preserve">. Finch — редкий пример, где gamification скорее помогает, чем мешает, но даже там reviews показывают две противоположные реакции: одни любят incentives, другие чувствуют app как немного pushy или, наоборот, недостаточно глубокий и слишком “мягкий” гейм-слой. Вывод жесткий: геймификация работает только если она</w:t>
      </w:r>
      <w:r>
        <w:t xml:space="preserve"> </w:t>
      </w:r>
      <w:r>
        <w:rPr>
          <w:b/>
          <w:bCs/>
        </w:rPr>
        <w:t xml:space="preserve">подкрепляет реальное действие</w:t>
      </w:r>
      <w:r>
        <w:t xml:space="preserve">, а не заменяет его или инфантилизирует пользователя.</w:t>
      </w:r>
      <w:r>
        <w:t xml:space="preserve"> </w:t>
      </w:r>
      <w:hyperlink r:id="rId36">
        <w:r>
          <w:rPr>
            <w:rStyle w:val="Hyperlink"/>
          </w:rPr>
          <w:t xml:space="preserve">[19]</w:t>
        </w:r>
      </w:hyperlink>
    </w:p>
    <w:bookmarkEnd w:id="37"/>
    <w:bookmarkStart w:id="43" w:name="X16be1d6171de6f0a77e15afab18ee84b2b11216"/>
    <w:p>
      <w:pPr>
        <w:pStyle w:val="Heading2"/>
      </w:pPr>
      <w:r>
        <w:t xml:space="preserve">Форматы, которые выглядят сильнее медитаций</w:t>
      </w:r>
    </w:p>
    <w:p>
      <w:pPr>
        <w:pStyle w:val="FirstParagraph"/>
      </w:pPr>
      <w:r>
        <w:t xml:space="preserve">Самый сильный формат сейчас — не длинные аудио-потоки, а</w:t>
      </w:r>
      <w:r>
        <w:t xml:space="preserve"> </w:t>
      </w:r>
      <w:r>
        <w:rPr>
          <w:b/>
          <w:bCs/>
        </w:rPr>
        <w:t xml:space="preserve">короткие skill-based interventions</w:t>
      </w:r>
      <w:r>
        <w:t xml:space="preserve">, которые можно вставить в день как микросессии. Самый убедительный сигнал здесь — RESiLIENT trial в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: app с пятью CBT-навыками (behavioral activation, cognitive restructuring, problem solving, assertion training и insomnia behavior therapy) дал устойчивые эффекты по depressive symptoms до 26 недель; follow-up был 97%, adherence — 84%, а usage pattern состоял из коротких эпизодов по</w:t>
      </w:r>
      <w:r>
        <w:t xml:space="preserve"> </w:t>
      </w:r>
      <w:r>
        <w:rPr>
          <w:b/>
          <w:bCs/>
        </w:rPr>
        <w:t xml:space="preserve">2–10 минут</w:t>
      </w:r>
      <w:r>
        <w:t xml:space="preserve">. Это очень важный продуктовый вывод: выигрывают не “глубокие библиотеки”, а</w:t>
      </w:r>
      <w:r>
        <w:t xml:space="preserve"> </w:t>
      </w:r>
      <w:r>
        <w:rPr>
          <w:b/>
          <w:bCs/>
        </w:rPr>
        <w:t xml:space="preserve">быстро отрабатываемые навыки</w:t>
      </w:r>
      <w:r>
        <w:t xml:space="preserve">, которые человек реально может выучить и потом применять без app.</w:t>
      </w:r>
      <w:r>
        <w:t xml:space="preserve"> </w:t>
      </w:r>
      <w:hyperlink r:id="rId38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Второй сильный формат —</w:t>
      </w:r>
      <w:r>
        <w:t xml:space="preserve"> </w:t>
      </w:r>
      <w:r>
        <w:rPr>
          <w:b/>
          <w:bCs/>
        </w:rPr>
        <w:t xml:space="preserve">JITAI/EMI</w:t>
      </w:r>
      <w:r>
        <w:t xml:space="preserve">, то есть just-in-time adaptive interventions и ecological momentary interventions. Мета-анализ 2025 года показывает, что JITAIs/EMIs</w:t>
      </w:r>
      <w:r>
        <w:t xml:space="preserve"> </w:t>
      </w:r>
      <w:r>
        <w:rPr>
          <w:b/>
          <w:bCs/>
        </w:rPr>
        <w:t xml:space="preserve">слегка улучшают mental health</w:t>
      </w:r>
      <w:r>
        <w:t xml:space="preserve">, включая эффекты до 6 месяцев; обзоры digital phenotyping показывают, что smartphone sensors уже способны выявлять behavioral patterns, связанные со stress, anxiety и mild depression. В связке с высокой пользовательской тягой к context-sensitive apps это означает, что сильный продукт — это не “приходи медитировать, когда вспомнишь”, а</w:t>
      </w:r>
      <w:r>
        <w:t xml:space="preserve"> </w:t>
      </w:r>
      <w:r>
        <w:rPr>
          <w:b/>
          <w:bCs/>
        </w:rPr>
        <w:t xml:space="preserve">ненавязчивый микровмешатель в момент риска</w:t>
      </w:r>
      <w:r>
        <w:t xml:space="preserve">: перед сложной задачей, после десяти notifications подряд, при затянувшемся after-hours rumination, перед тревожным звонком, в вечернем ADHD crash.</w:t>
      </w:r>
      <w:r>
        <w:t xml:space="preserve"> </w:t>
      </w:r>
      <w:hyperlink r:id="rId39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Третий сильный формат —</w:t>
      </w:r>
      <w:r>
        <w:t xml:space="preserve"> </w:t>
      </w:r>
      <w:r>
        <w:rPr>
          <w:b/>
          <w:bCs/>
        </w:rPr>
        <w:t xml:space="preserve">телесные и физиологические техники</w:t>
      </w:r>
      <w:r>
        <w:t xml:space="preserve">, но без биохакинг-культа. По обзорам, breathwork может помогать stress и mental health; в отдельном исследовании brief structured respiration улучшала mood и снижала negative emotion, причем по части настроения работала лучше, чем mindfulness meditation. HRV biofeedback на работе уже показывает улучшения по work-related stress, burnout symptoms и sleep quality. Но здесь важна дисциплина: не превращать продукт в endless metrics-chasing. Физиология должна быть</w:t>
      </w:r>
      <w:r>
        <w:t xml:space="preserve"> </w:t>
      </w:r>
      <w:r>
        <w:rPr>
          <w:b/>
          <w:bCs/>
        </w:rPr>
        <w:t xml:space="preserve">служебным слоем</w:t>
      </w:r>
      <w:r>
        <w:t xml:space="preserve">, а не новой формой тревожного контроля.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Четвертый формат —</w:t>
      </w:r>
      <w:r>
        <w:t xml:space="preserve"> </w:t>
      </w:r>
      <w:r>
        <w:rPr>
          <w:b/>
          <w:bCs/>
        </w:rPr>
        <w:t xml:space="preserve">low-friction capture</w:t>
      </w:r>
      <w:r>
        <w:t xml:space="preserve">, прежде всего voice-first reflection и сверхкороткие check-ins. Голос особенно логичен для ADHD, миграции и перегруза: писать в эти моменты тяжело. Исследования по smartphone voice features уже рассматривают voice data как канал мониторинга depressive states; music-based digital therapeutics и music therapy также выглядят перспективно для stress reduction, хотя evidence base здесь менее зрелая, чем у CBT-skills, breathwork или HRV-biofeedback. Практический вывод: voice и sound — это хорошие</w:t>
      </w:r>
      <w:r>
        <w:t xml:space="preserve"> </w:t>
      </w:r>
      <w:r>
        <w:rPr>
          <w:b/>
          <w:bCs/>
        </w:rPr>
        <w:t xml:space="preserve">input/output layers</w:t>
      </w:r>
      <w:r>
        <w:t xml:space="preserve">, но не ядро позиционирования.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AI здесь полезен только в одной роли:</w:t>
      </w:r>
      <w:r>
        <w:t xml:space="preserve"> </w:t>
      </w:r>
      <w:r>
        <w:rPr>
          <w:b/>
          <w:bCs/>
        </w:rPr>
        <w:t xml:space="preserve">bounded coach inside evidence-based flows</w:t>
      </w:r>
      <w:r>
        <w:t xml:space="preserve">. Не “терапевт в кармане”, а безопасный интерфейс к протоколам, микроразбору состояния, следующему шагу и навигации по support options. WHO уже отдельно подчеркивает, что generative AI rapidly enters mental health support while remaining largely untested, а APA выпустила consumer safety advisory по chatbot/wellness apps. Из этого следуют очень практичные продуктовые правила: AI должен</w:t>
      </w:r>
      <w:r>
        <w:t xml:space="preserve"> </w:t>
      </w:r>
      <w:r>
        <w:rPr>
          <w:b/>
          <w:bCs/>
        </w:rPr>
        <w:t xml:space="preserve">явно обозначать ограничения</w:t>
      </w:r>
      <w:r>
        <w:t xml:space="preserve">, опираться на проверяемые intervention templates, уметь делать crisis routing, не симулировать клиническую уверенность, давать пользователю контроль над памятью/историей и собирать минимум чувствительных данных. Если этого нет, AI — не moat, а liability.</w:t>
      </w:r>
      <w:r>
        <w:t xml:space="preserve"> </w:t>
      </w:r>
      <w:hyperlink r:id="rId42">
        <w:r>
          <w:rPr>
            <w:rStyle w:val="Hyperlink"/>
          </w:rPr>
          <w:t xml:space="preserve">[24]</w:t>
        </w:r>
      </w:hyperlink>
    </w:p>
    <w:bookmarkEnd w:id="43"/>
    <w:bookmarkStart w:id="50" w:name="стратегия-b2c-и-b2b2c"/>
    <w:p>
      <w:pPr>
        <w:pStyle w:val="Heading2"/>
      </w:pPr>
      <w:r>
        <w:t xml:space="preserve">Стратегия B2C и B2B2C</w:t>
      </w:r>
    </w:p>
    <w:p>
      <w:pPr>
        <w:pStyle w:val="FirstParagraph"/>
      </w:pPr>
      <w:r>
        <w:t xml:space="preserve">Самый легкий B2C-вход — там, где value ощущается</w:t>
      </w:r>
      <w:r>
        <w:t xml:space="preserve"> </w:t>
      </w:r>
      <w:r>
        <w:rPr>
          <w:b/>
          <w:bCs/>
        </w:rPr>
        <w:t xml:space="preserve">в течение дня</w:t>
      </w:r>
      <w:r>
        <w:t xml:space="preserve">, а не “через месяц mindfulness practice”. Поэтому adult ADHD-адаптация и тревожная прокрастинация сильнее, чем просто “mental wellness”. Взрослый с ADHD страдает от регулярных сбоев self-regulation и перегрева, а литература по procrastination прямо описывает проблему как emotion-regulation failure under stress. Это значит, что пользователь понимает benefit быстро: “app помог мне начать неприятную задачу”, “помог не сорваться вечером”, “помог не уйти в shame spiral”.</w:t>
      </w:r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Самый удобный канал через специалистов —</w:t>
      </w:r>
      <w:r>
        <w:t xml:space="preserve"> </w:t>
      </w:r>
      <w:r>
        <w:rPr>
          <w:b/>
          <w:bCs/>
        </w:rPr>
        <w:t xml:space="preserve">домашние задания между сессиями</w:t>
      </w:r>
      <w:r>
        <w:t xml:space="preserve">. Межсессионная homework practice в психотерапии важна сама по себе, а compliance показывает small-to-medium связь с outcome. Одновременно опрос пациентов показывает резкий рост интереса к apps, если их рекомендует clinician; психиатры в интервью подчеркивают ценность self-monitoring, emergency plan и motivating design. Значит, приложение, которое психолог реально захочет рекомендовать, — это не mystical self-care platform и не open-ended AI chat, а</w:t>
      </w:r>
      <w:r>
        <w:t xml:space="preserve"> </w:t>
      </w:r>
      <w:r>
        <w:rPr>
          <w:b/>
          <w:bCs/>
        </w:rPr>
        <w:t xml:space="preserve">структурированный homework engine</w:t>
      </w:r>
      <w:r>
        <w:t xml:space="preserve">: микропрактики, worksheets, cheap daily check-ins, visible progress, exportable summary для клиента и терапевта.</w:t>
      </w:r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Самый чистый B2B2C-кейс —</w:t>
      </w:r>
      <w:r>
        <w:t xml:space="preserve"> </w:t>
      </w:r>
      <w:r>
        <w:rPr>
          <w:b/>
          <w:bCs/>
        </w:rPr>
        <w:t xml:space="preserve">детачмент, overload и work recovery</w:t>
      </w:r>
      <w:r>
        <w:t xml:space="preserve"> </w:t>
      </w:r>
      <w:r>
        <w:t xml:space="preserve">для remote/hybrid teams. HR-департаменту проще купить продукт про focus hygiene, after-hours recovery и anti-overload routines, чем продукт, который выглядит как лечение тревоги или депрессии. Это и юридически чище, и стигматически легче. При этом данные по EAP показывают понятную механику adoption: люди чаще используют mental health support, если</w:t>
      </w:r>
      <w:r>
        <w:t xml:space="preserve"> </w:t>
      </w:r>
      <w:r>
        <w:rPr>
          <w:b/>
          <w:bCs/>
        </w:rPr>
        <w:t xml:space="preserve">видят конкретную пользу</w:t>
      </w:r>
      <w:r>
        <w:t xml:space="preserve">, получают reminders и</w:t>
      </w:r>
      <w:r>
        <w:t xml:space="preserve"> </w:t>
      </w:r>
      <w:r>
        <w:rPr>
          <w:b/>
          <w:bCs/>
        </w:rPr>
        <w:t xml:space="preserve">доверяют privacy</w:t>
      </w:r>
      <w:r>
        <w:t xml:space="preserve">. То есть корпорации нужен не “wellbeing content hub”, а инструмент с ясным job-to-be-done: меньше after-hours spillover, лучше detachment, меньше interruption strain, больше sustainable output.</w:t>
      </w:r>
      <w:r>
        <w:t xml:space="preserve"> </w:t>
      </w:r>
      <w:hyperlink r:id="rId46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ADHD — отдельный сильный B2B2C-канал через</w:t>
      </w:r>
      <w:r>
        <w:t xml:space="preserve"> </w:t>
      </w:r>
      <w:r>
        <w:rPr>
          <w:b/>
          <w:bCs/>
        </w:rPr>
        <w:t xml:space="preserve">психиатров, ADHD-coaches, психологов, частные клиники и диагностику взрослых</w:t>
      </w:r>
      <w:r>
        <w:t xml:space="preserve">. Там очень понятный “prescription logic”: не лечить вместо врача, а помогать между приемами с psychoeducation, execution scaffolding, emotion labeling и relapse-prevention. Реальные данные по Adult ADHD App показывают высокий спрос на trustworthy information и “one-stop shop” эффект у пользователей, особенно недавно познакомившихся со своим диагнозом.</w:t>
      </w:r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Migration support через B2B2C тоже реален —</w:t>
      </w:r>
      <w:r>
        <w:t xml:space="preserve"> </w:t>
      </w:r>
      <w:r>
        <w:rPr>
          <w:b/>
          <w:bCs/>
        </w:rPr>
        <w:t xml:space="preserve">relocation agencies, universities, international programs, migrant NGOs, language schools</w:t>
      </w:r>
      <w:r>
        <w:t xml:space="preserve"> </w:t>
      </w:r>
      <w:r>
        <w:t xml:space="preserve">— но это более сложный go-to-market. Здесь выше зависимость от localization, trust, community orchestration и human referral map. Иными словами: боль глубокая, но продукт тяжелее в исполнении. Если идти сюда, нужен не “global app for expats”, а</w:t>
      </w:r>
      <w:r>
        <w:t xml:space="preserve"> </w:t>
      </w:r>
      <w:r>
        <w:rPr>
          <w:b/>
          <w:bCs/>
        </w:rPr>
        <w:t xml:space="preserve">очень четкий wedge</w:t>
      </w:r>
      <w:r>
        <w:t xml:space="preserve"> </w:t>
      </w:r>
      <w:r>
        <w:t xml:space="preserve">— например, first 90 days after relocation, international students, or labor migrants in one country corridor.</w:t>
      </w:r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Отдельно:</w:t>
      </w:r>
      <w:r>
        <w:t xml:space="preserve"> </w:t>
      </w:r>
      <w:r>
        <w:rPr>
          <w:b/>
          <w:bCs/>
        </w:rPr>
        <w:t xml:space="preserve">standalone imposter-syndrome app — плохой первый продукт</w:t>
      </w:r>
      <w:r>
        <w:t xml:space="preserve">. Лучше сделать impostor layer внутри ADHD/procrastination/founder-burnout flow или внутри коучингового/терапевтического канала. Так и боль острее, и willingness to pay выше, и рекомендация специалистом естественнее.</w:t>
      </w:r>
      <w:r>
        <w:t xml:space="preserve"> </w:t>
      </w:r>
      <w:hyperlink r:id="rId49">
        <w:r>
          <w:rPr>
            <w:rStyle w:val="Hyperlink"/>
          </w:rPr>
          <w:t xml:space="preserve">[30]</w:t>
        </w:r>
      </w:hyperlink>
    </w:p>
    <w:bookmarkEnd w:id="50"/>
    <w:bookmarkStart w:id="51" w:name="матрица-возможностей"/>
    <w:p>
      <w:pPr>
        <w:pStyle w:val="Heading2"/>
      </w:pPr>
      <w:r>
        <w:t xml:space="preserve">Матрица возможностей</w:t>
      </w:r>
    </w:p>
    <w:p>
      <w:pPr>
        <w:pStyle w:val="FirstParagraph"/>
      </w:pPr>
      <w:r>
        <w:t xml:space="preserve">Ниже — четыре концепции, которые выглядят сильнее всего как реальные product bets.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Концепция</w:t>
            </w:r>
          </w:p>
        </w:tc>
        <w:tc>
          <w:tcPr/>
          <w:p>
            <w:pPr>
              <w:pStyle w:val="Compact"/>
            </w:pPr>
            <w:r>
              <w:t xml:space="preserve">Аудитория и ключевая проблема</w:t>
            </w:r>
          </w:p>
        </w:tc>
        <w:tc>
          <w:tcPr/>
          <w:p>
            <w:pPr>
              <w:pStyle w:val="Compact"/>
            </w:pPr>
            <w:r>
              <w:t xml:space="preserve">Core value</w:t>
            </w:r>
          </w:p>
        </w:tc>
        <w:tc>
          <w:tcPr/>
          <w:p>
            <w:pPr>
              <w:pStyle w:val="Compact"/>
            </w:pPr>
            <w:r>
              <w:t xml:space="preserve">Почему за это будут платить</w:t>
            </w:r>
          </w:p>
        </w:tc>
        <w:tc>
          <w:tcPr/>
          <w:p>
            <w:pPr>
              <w:pStyle w:val="Compact"/>
            </w:pPr>
            <w:r>
              <w:t xml:space="preserve">MVP и метрики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ADHD Buffer</w:t>
            </w:r>
          </w:p>
        </w:tc>
        <w:tc>
          <w:tcPr/>
          <w:p>
            <w:pPr>
              <w:pStyle w:val="Compact"/>
            </w:pPr>
            <w:r>
              <w:t xml:space="preserve">Взрослые 24–45 с ADHD или suspicion of ADHD; перегруз, эмоциональные качели, shame, срывы фокуса, плохой сон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Voice-dump → emotion label → overload triage → один следующий шаг</w:t>
            </w:r>
            <w:r>
              <w:t xml:space="preserve">; плюс therapist/coach summary</w:t>
            </w:r>
          </w:p>
        </w:tc>
        <w:tc>
          <w:tcPr/>
          <w:p>
            <w:pPr>
              <w:pStyle w:val="Compact"/>
            </w:pPr>
            <w:r>
              <w:t xml:space="preserve">Это не “органайзер”, а внешний scaffolding для self-regulation. Ценность ежедневная и функциональная</w:t>
            </w:r>
          </w:p>
        </w:tc>
        <w:tc>
          <w:tcPr/>
          <w:p>
            <w:pPr>
              <w:pStyle w:val="Compact"/>
            </w:pPr>
            <w:r>
              <w:t xml:space="preserve">MVP: voice note, 6–8 сценариев triage, focus sprint, вечерний recovery check. Метрики: D7/D30 retention, % voice-dumps, завершившихся first action &lt;5 мин, self-rated overload delta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Step</w:t>
            </w:r>
          </w:p>
        </w:tc>
        <w:tc>
          <w:tcPr/>
          <w:p>
            <w:pPr>
              <w:pStyle w:val="Compact"/>
            </w:pPr>
            <w:r>
              <w:t xml:space="preserve">Пользователи с anxious procrastination: фрилансеры, студенты, knowledge workers, фаундеры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Кнопка “я застрял”</w:t>
            </w:r>
            <w:r>
              <w:t xml:space="preserve">, которая за 90–180 секунд переводит avoidance в start: body reset + micro-exposure + ugly first step</w:t>
            </w:r>
          </w:p>
        </w:tc>
        <w:tc>
          <w:tcPr/>
          <w:p>
            <w:pPr>
              <w:pStyle w:val="Compact"/>
            </w:pPr>
            <w:r>
              <w:t xml:space="preserve">Боль острая и очень понятная: люди готовы платить за способность начать неприятное без саморазрушения</w:t>
            </w:r>
          </w:p>
        </w:tc>
        <w:tc>
          <w:tcPr/>
          <w:p>
            <w:pPr>
              <w:pStyle w:val="Compact"/>
            </w:pPr>
            <w:r>
              <w:t xml:space="preserve">MVP: один входной экран, библиотека pattern-based scripts, AI только как safe decomposer. Метрики: stuck-to-start conversion, median time-to-first-action, weekly avoided-task completions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ShutdownOS</w:t>
            </w:r>
          </w:p>
        </w:tc>
        <w:tc>
          <w:tcPr/>
          <w:p>
            <w:pPr>
              <w:pStyle w:val="Compact"/>
            </w:pPr>
            <w:r>
              <w:t xml:space="preserve">Удаленщики, менеджеры, предприниматели; после работы не могут “выключиться”, тонут в notifications и rumination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Context-aware shutdown ritual engine</w:t>
            </w:r>
            <w:r>
              <w:t xml:space="preserve">: конец дня, notification hygiene, detachment score, recovery routines на 1–3 минуты</w:t>
            </w:r>
          </w:p>
        </w:tc>
        <w:tc>
          <w:tcPr/>
          <w:p>
            <w:pPr>
              <w:pStyle w:val="Compact"/>
            </w:pPr>
            <w:r>
              <w:t xml:space="preserve">Отличный B2B2C-кейс: продукт повышает well-being без клинических обещаний и вписывается в HR-бюджет</w:t>
            </w:r>
          </w:p>
        </w:tc>
        <w:tc>
          <w:tcPr/>
          <w:p>
            <w:pPr>
              <w:pStyle w:val="Compact"/>
            </w:pPr>
            <w:r>
              <w:t xml:space="preserve">MVP: календарь + ручной check-out, quiet-mode nudges, вечерние rituals. Метрики: after-hours app/session count, detachment score, sleep self-rating, weekly burnout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 Home</w:t>
            </w:r>
          </w:p>
        </w:tc>
        <w:tc>
          <w:tcPr/>
          <w:p>
            <w:pPr>
              <w:pStyle w:val="Compact"/>
            </w:pPr>
            <w:r>
              <w:t xml:space="preserve">Новые эмигранты, international students, expats первого года; loneliness, language shame, discrimination, identity dislocation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Adaptation scripts + belonging map + weekly acculturative stress check-in + local human resource routing</w:t>
            </w:r>
          </w:p>
        </w:tc>
        <w:tc>
          <w:tcPr/>
          <w:p>
            <w:pPr>
              <w:pStyle w:val="Compact"/>
            </w:pPr>
            <w:r>
              <w:t xml:space="preserve">Платит либо пользователь в high-pain period, либо B2B2C-партнер: relocation, вуз, NGO, insurer</w:t>
            </w:r>
          </w:p>
        </w:tc>
        <w:tc>
          <w:tcPr/>
          <w:p>
            <w:pPr>
              <w:pStyle w:val="Compact"/>
            </w:pPr>
            <w:r>
              <w:t xml:space="preserve">MVP: локализованный first-90-days playbook, когортные check-ins, curated support map. Метрики: weekly check-in completion, loneliness/stress delta, referral activation, month-1 NPS</w:t>
            </w:r>
          </w:p>
        </w:tc>
      </w:tr>
    </w:tbl>
    <w:p>
      <w:pPr>
        <w:pStyle w:val="BodyText"/>
      </w:pPr>
      <w:r>
        <w:t xml:space="preserve">Почему именно эти четыре.</w:t>
      </w:r>
      <w:r>
        <w:t xml:space="preserve"> </w:t>
      </w:r>
      <w:r>
        <w:rPr>
          <w:b/>
          <w:bCs/>
        </w:rPr>
        <w:t xml:space="preserve">ADHD Buffer</w:t>
      </w:r>
      <w:r>
        <w:t xml:space="preserve"> </w:t>
      </w:r>
      <w:r>
        <w:t xml:space="preserve">опирается на реальную, регулярную боль: emotion dysregulation, sleep disturbance, stress и shame у взрослых с ADHD, плюс высокий спрос на trustworthy psychoeducation и self-management tools.</w:t>
      </w:r>
      <w:r>
        <w:t xml:space="preserve"> </w:t>
      </w:r>
      <w:r>
        <w:rPr>
          <w:b/>
          <w:bCs/>
        </w:rPr>
        <w:t xml:space="preserve">First Step</w:t>
      </w:r>
      <w:r>
        <w:t xml:space="preserve"> </w:t>
      </w:r>
      <w:r>
        <w:t xml:space="preserve">бьет по подтвержденной механике procrastination-as-mood-regulation и использует format, который рынок реально хочет — short, context-aware interventions.</w:t>
      </w:r>
      <w:r>
        <w:t xml:space="preserve"> </w:t>
      </w:r>
      <w:r>
        <w:rPr>
          <w:b/>
          <w:bCs/>
        </w:rPr>
        <w:t xml:space="preserve">ShutdownOS</w:t>
      </w:r>
      <w:r>
        <w:t xml:space="preserve"> </w:t>
      </w:r>
      <w:r>
        <w:t xml:space="preserve">попадает в детачмент/control problem, где доказана связь с burnout/well-being и где HR легче покупает решение.</w:t>
      </w:r>
      <w:r>
        <w:t xml:space="preserve"> </w:t>
      </w:r>
      <w:r>
        <w:rPr>
          <w:b/>
          <w:bCs/>
        </w:rPr>
        <w:t xml:space="preserve">Second Home</w:t>
      </w:r>
      <w:r>
        <w:t xml:space="preserve"> </w:t>
      </w:r>
      <w:r>
        <w:t xml:space="preserve">закрывает самый явный underserved pain cluster вокруг acculturative stress, loneliness, discrimination и belonging, хотя и требует более тяжелого исполнения.</w:t>
      </w:r>
      <w:r>
        <w:t xml:space="preserve"> </w:t>
      </w:r>
      <w:hyperlink r:id="rId31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Если выбирать по порядку запуска, я бы расставил так:</w:t>
      </w:r>
      <w:r>
        <w:t xml:space="preserve"> </w:t>
      </w:r>
      <w:r>
        <w:rPr>
          <w:b/>
          <w:bCs/>
        </w:rPr>
        <w:t xml:space="preserve">ADHD Buffer</w:t>
      </w:r>
      <w:r>
        <w:t xml:space="preserve"> </w:t>
      </w:r>
      <w:r>
        <w:t xml:space="preserve">— лучший баланс боли, повторяемости use case и recommendability;</w:t>
      </w:r>
      <w:r>
        <w:t xml:space="preserve"> </w:t>
      </w:r>
      <w:r>
        <w:rPr>
          <w:b/>
          <w:bCs/>
        </w:rPr>
        <w:t xml:space="preserve">First Step</w:t>
      </w:r>
      <w:r>
        <w:t xml:space="preserve"> </w:t>
      </w:r>
      <w:r>
        <w:t xml:space="preserve">— самый простой и быстрый MVP;</w:t>
      </w:r>
      <w:r>
        <w:t xml:space="preserve"> </w:t>
      </w:r>
      <w:r>
        <w:rPr>
          <w:b/>
          <w:bCs/>
        </w:rPr>
        <w:t xml:space="preserve">ShutdownOS</w:t>
      </w:r>
      <w:r>
        <w:t xml:space="preserve"> </w:t>
      </w:r>
      <w:r>
        <w:t xml:space="preserve">— лучший B2B2C;</w:t>
      </w:r>
      <w:r>
        <w:t xml:space="preserve"> </w:t>
      </w:r>
      <w:r>
        <w:rPr>
          <w:b/>
          <w:bCs/>
        </w:rPr>
        <w:t xml:space="preserve">Second Home</w:t>
      </w:r>
      <w:r>
        <w:t xml:space="preserve"> </w:t>
      </w:r>
      <w:r>
        <w:t xml:space="preserve">— самый глубокий white space, но не самый легкий бизнес. А</w:t>
      </w:r>
      <w:r>
        <w:t xml:space="preserve"> </w:t>
      </w:r>
      <w:r>
        <w:rPr>
          <w:b/>
          <w:bCs/>
        </w:rPr>
        <w:t xml:space="preserve">impostor syndrome</w:t>
      </w:r>
      <w:r>
        <w:t xml:space="preserve"> </w:t>
      </w:r>
      <w:r>
        <w:t xml:space="preserve">лучше встроить как слой внутрь первых трех: evidence locker, challenge rehearsal, post-success debrief, visibility ladder.</w:t>
      </w:r>
      <w:r>
        <w:t xml:space="preserve"> </w:t>
      </w:r>
      <w:hyperlink r:id="rId44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И последнее, самое практичное. Психолог действительно будет рекомендовать между сессиями app, который соблюдает пять правил:</w:t>
      </w:r>
      <w:r>
        <w:t xml:space="preserve"> </w:t>
      </w:r>
      <w:r>
        <w:rPr>
          <w:b/>
          <w:bCs/>
        </w:rPr>
        <w:t xml:space="preserve">облегчение начинается за минуту, один экран — одна задача, есть exportable summary, AI не притворяется терапевтом, streaks и gamification опциональны</w:t>
      </w:r>
      <w:r>
        <w:t xml:space="preserve">. Все остальное — украшения.</w:t>
      </w:r>
      <w:r>
        <w:t xml:space="preserve"> </w:t>
      </w:r>
      <w:hyperlink r:id="rId45">
        <w:r>
          <w:rPr>
            <w:rStyle w:val="Hyperlink"/>
          </w:rPr>
          <w:t xml:space="preserve">[33]</w:t>
        </w:r>
      </w:hyperlink>
    </w:p>
    <w:bookmarkEnd w:id="51"/>
    <w:bookmarkEnd w:id="52"/>
    <w:bookmarkEnd w:id="53"/>
    <w:p>
      <w:r>
        <w:pict>
          <v:rect style="width:0;height:1.5pt" o:hralign="center" o:hrstd="t" o:hr="t"/>
        </w:pict>
      </w:r>
    </w:p>
    <w:bookmarkStart w:id="5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https://mental.jmir.org/2019/1/PDF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https://mental.jmir.org/2019/1/PDF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https://pmc.ncbi.nlm.nih.gov/articles/PMC10049005/</w:t>
      </w:r>
    </w:p>
    <w:p>
      <w:pPr>
        <w:pStyle w:val="BodyText"/>
      </w:pPr>
      <w:hyperlink r:id="rId22">
        <w:r>
          <w:rPr>
            <w:rStyle w:val="Hyperlink"/>
          </w:rPr>
          <w:t xml:space="preserve">https://pmc.ncbi.nlm.nih.gov/articles/PMC10049005/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https://www.sciencedirect.com/science/article/pii/S2214782925000892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https://www.sciencedirect.com/science/article/pii/S2214782925000892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Headspace: Sleep &amp; Meditate - Apps on Google Play</w:t>
      </w:r>
    </w:p>
    <w:p>
      <w:pPr>
        <w:pStyle w:val="BodyText"/>
      </w:pPr>
      <w:hyperlink r:id="rId25">
        <w:r>
          <w:rPr>
            <w:rStyle w:val="Hyperlink"/>
          </w:rPr>
          <w:t xml:space="preserve">https://play.google.com/store/apps/details?hl=en&amp;id=com.getsomeheadspace.android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https://www.frontiersin.org/journals/psychology/articles/10.3389/fpsyg.2024.1360540/full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https://www.frontiersin.org/journals/psychology/articles/10.3389/fpsyg.2024.1360540/full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https://pubmed.ncbi.nlm.nih.gov/37998281/</w:t>
      </w:r>
    </w:p>
    <w:p>
      <w:pPr>
        <w:pStyle w:val="BodyText"/>
      </w:pPr>
      <w:hyperlink r:id="rId28">
        <w:r>
          <w:rPr>
            <w:rStyle w:val="Hyperlink"/>
          </w:rPr>
          <w:t xml:space="preserve">https://pubmed.ncbi.nlm.nih.gov/37998281/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https://pmc.ncbi.nlm.nih.gov/articles/PMC10322198/</w:t>
      </w:r>
    </w:p>
    <w:p>
      <w:pPr>
        <w:pStyle w:val="BodyText"/>
      </w:pPr>
      <w:hyperlink r:id="rId29">
        <w:r>
          <w:rPr>
            <w:rStyle w:val="Hyperlink"/>
          </w:rPr>
          <w:t xml:space="preserve">https://pmc.ncbi.nlm.nih.gov/articles/PMC10322198/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https://pmc.ncbi.nlm.nih.gov/articles/PMC9779091/</w:t>
      </w:r>
    </w:p>
    <w:p>
      <w:pPr>
        <w:pStyle w:val="BodyText"/>
      </w:pPr>
      <w:hyperlink r:id="rId30">
        <w:r>
          <w:rPr>
            <w:rStyle w:val="Hyperlink"/>
          </w:rPr>
          <w:t xml:space="preserve">https://pmc.ncbi.nlm.nih.gov/articles/PMC9779091/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hyperlink r:id="rId3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https://pmc.ncbi.nlm.nih.gov/articles/PMC7069054/</w:t>
      </w:r>
    </w:p>
    <w:p>
      <w:pPr>
        <w:pStyle w:val="BodyText"/>
      </w:pPr>
      <w:hyperlink r:id="rId31">
        <w:r>
          <w:rPr>
            <w:rStyle w:val="Hyperlink"/>
          </w:rPr>
          <w:t xml:space="preserve">https://pmc.ncbi.nlm.nih.gov/articles/PMC7069054/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Fabulous Daily Routine Planner - Apps on Google Play</w:t>
      </w:r>
    </w:p>
    <w:p>
      <w:pPr>
        <w:pStyle w:val="BodyText"/>
      </w:pPr>
      <w:hyperlink r:id="rId33">
        <w:r>
          <w:rPr>
            <w:rStyle w:val="Hyperlink"/>
          </w:rPr>
          <w:t xml:space="preserve">https://play.google.com/store/apps/details?hl=en&amp;id=co.thefabulous.app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Wysa: Mental Wellbeing AI - Apps on Google Play</w:t>
      </w:r>
    </w:p>
    <w:p>
      <w:pPr>
        <w:pStyle w:val="BodyText"/>
      </w:pPr>
      <w:hyperlink r:id="rId34">
        <w:r>
          <w:rPr>
            <w:rStyle w:val="Hyperlink"/>
          </w:rPr>
          <w:t xml:space="preserve">https://play.google.com/store/apps/details?hl=en&amp;id=bot.touchkin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BetterHelp - Therapy – Приложения в Google Play</w:t>
      </w:r>
    </w:p>
    <w:p>
      <w:pPr>
        <w:pStyle w:val="BodyText"/>
      </w:pPr>
      <w:hyperlink r:id="rId35">
        <w:r>
          <w:rPr>
            <w:rStyle w:val="Hyperlink"/>
          </w:rPr>
          <w:t xml:space="preserve">https://play.google.com/store/apps/details?hl=bg&amp;id=com.betterhelp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Finch: Self-Care Pet - Apps on Google Play</w:t>
      </w:r>
    </w:p>
    <w:p>
      <w:pPr>
        <w:pStyle w:val="BodyText"/>
      </w:pPr>
      <w:hyperlink r:id="rId36">
        <w:r>
          <w:rPr>
            <w:rStyle w:val="Hyperlink"/>
          </w:rPr>
          <w:t xml:space="preserve">https://play.google.com/store/apps/details?hl=en&amp;id=com.finch.finch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https://www.nature.com/articles/s41591-025-03639-1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https://www.nature.com/articles/s41591-025-03639-1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https://mentalhealth.bmj.com/content/28/1/e301641</w:t>
      </w:r>
    </w:p>
    <w:p>
      <w:pPr>
        <w:pStyle w:val="BodyText"/>
      </w:pPr>
      <w:hyperlink r:id="rId39">
        <w:r>
          <w:rPr>
            <w:rStyle w:val="Hyperlink"/>
          </w:rPr>
          <w:t xml:space="preserve">https://mentalhealth.bmj.com/content/28/1/e301641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https://pmc.ncbi.nlm.nih.gov/articles/PMC9828383/</w:t>
      </w:r>
    </w:p>
    <w:p>
      <w:pPr>
        <w:pStyle w:val="BodyText"/>
      </w:pPr>
      <w:hyperlink r:id="rId40">
        <w:r>
          <w:rPr>
            <w:rStyle w:val="Hyperlink"/>
          </w:rPr>
          <w:t xml:space="preserve">https://pmc.ncbi.nlm.nih.gov/articles/PMC9828383/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https://pmc.ncbi.nlm.nih.gov/articles/PMC11179519/</w:t>
      </w:r>
    </w:p>
    <w:p>
      <w:pPr>
        <w:pStyle w:val="BodyText"/>
      </w:pPr>
      <w:hyperlink r:id="rId41">
        <w:r>
          <w:rPr>
            <w:rStyle w:val="Hyperlink"/>
          </w:rPr>
          <w:t xml:space="preserve">https://pmc.ncbi.nlm.nih.gov/articles/PMC11179519/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https://www.who.int/news/item/20-03-2026-towards-responsible-ai-for-mental-health-and-well-being--experts-chart-a-way-forward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https://www.who.int/news/item/20-03-2026-towards-responsible-ai-for-mental-health-and-well-being--experts-chart-a-way-forward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hyperlink r:id="rId44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https://www.sciencedirect.com/org/science/article/pii/S2561326X25003737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https://www.sciencedirect.com/org/science/article/pii/S2561326X25003737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[26]</w:t>
        </w:r>
      </w:hyperlink>
      <w:r>
        <w:t xml:space="preserve"> </w:t>
      </w:r>
      <w:hyperlink r:id="rId45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https://pmc.ncbi.nlm.nih.gov/articles/PMC2939342/</w:t>
      </w:r>
    </w:p>
    <w:p>
      <w:pPr>
        <w:pStyle w:val="BodyText"/>
      </w:pPr>
      <w:hyperlink r:id="rId45">
        <w:r>
          <w:rPr>
            <w:rStyle w:val="Hyperlink"/>
          </w:rPr>
          <w:t xml:space="preserve">https://pmc.ncbi.nlm.nih.gov/articles/PMC2939342/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https://journals.sagepub.com/doi/10.1177/21582440241274582</w:t>
      </w:r>
    </w:p>
    <w:p>
      <w:pPr>
        <w:pStyle w:val="BodyText"/>
      </w:pPr>
      <w:hyperlink r:id="rId46">
        <w:r>
          <w:rPr>
            <w:rStyle w:val="Hyperlink"/>
          </w:rPr>
          <w:t xml:space="preserve">https://journals.sagepub.com/doi/10.1177/21582440241274582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https://www.sciencedirect.com/science/article/pii/S2214782925000089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https://www.sciencedirect.com/science/article/pii/S2214782925000089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https://pubmed.ncbi.nlm.nih.gov/32498658/</w:t>
      </w:r>
    </w:p>
    <w:p>
      <w:pPr>
        <w:pStyle w:val="BodyText"/>
      </w:pPr>
      <w:hyperlink r:id="rId48">
        <w:r>
          <w:rPr>
            <w:rStyle w:val="Hyperlink"/>
          </w:rPr>
          <w:t xml:space="preserve">https://pubmed.ncbi.nlm.nih.gov/32498658/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https://ouci.dntb.gov.ua/en/works/4MWbvEP9/</w:t>
      </w:r>
    </w:p>
    <w:p>
      <w:pPr>
        <w:pStyle w:val="BodyText"/>
      </w:pPr>
      <w:hyperlink r:id="rId49">
        <w:r>
          <w:rPr>
            <w:rStyle w:val="Hyperlink"/>
          </w:rPr>
          <w:t xml:space="preserve">https://ouci.dntb.gov.ua/en/works/4MWbvEP9/</w:t>
        </w:r>
      </w:hyperlink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journals.sagepub.com/doi/10.1177/21582440241274582" TargetMode="External" /><Relationship Type="http://schemas.openxmlformats.org/officeDocument/2006/relationships/hyperlink" Id="rId21" Target="https://mental.jmir.org/2019/1/PDF" TargetMode="External" /><Relationship Type="http://schemas.openxmlformats.org/officeDocument/2006/relationships/hyperlink" Id="rId39" Target="https://mentalhealth.bmj.com/content/28/1/e301641" TargetMode="External" /><Relationship Type="http://schemas.openxmlformats.org/officeDocument/2006/relationships/hyperlink" Id="rId49" Target="https://ouci.dntb.gov.ua/en/works/4MWbvEP9/" TargetMode="External" /><Relationship Type="http://schemas.openxmlformats.org/officeDocument/2006/relationships/hyperlink" Id="rId35" Target="https://play.google.com/store/apps/details?hl=bg&amp;id=com.betterhelp" TargetMode="External" /><Relationship Type="http://schemas.openxmlformats.org/officeDocument/2006/relationships/hyperlink" Id="rId34" Target="https://play.google.com/store/apps/details?hl=en&amp;id=bot.touchkin" TargetMode="External" /><Relationship Type="http://schemas.openxmlformats.org/officeDocument/2006/relationships/hyperlink" Id="rId33" Target="https://play.google.com/store/apps/details?hl=en&amp;id=co.thefabulous.app" TargetMode="External" /><Relationship Type="http://schemas.openxmlformats.org/officeDocument/2006/relationships/hyperlink" Id="rId36" Target="https://play.google.com/store/apps/details?hl=en&amp;id=com.finch.finch" TargetMode="External" /><Relationship Type="http://schemas.openxmlformats.org/officeDocument/2006/relationships/hyperlink" Id="rId25" Target="https://play.google.com/store/apps/details?hl=en&amp;id=com.getsomeheadspace.android" TargetMode="External" /><Relationship Type="http://schemas.openxmlformats.org/officeDocument/2006/relationships/hyperlink" Id="rId22" Target="https://pmc.ncbi.nlm.nih.gov/articles/PMC10049005/" TargetMode="External" /><Relationship Type="http://schemas.openxmlformats.org/officeDocument/2006/relationships/hyperlink" Id="rId29" Target="https://pmc.ncbi.nlm.nih.gov/articles/PMC10322198/" TargetMode="External" /><Relationship Type="http://schemas.openxmlformats.org/officeDocument/2006/relationships/hyperlink" Id="rId41" Target="https://pmc.ncbi.nlm.nih.gov/articles/PMC11179519/" TargetMode="External" /><Relationship Type="http://schemas.openxmlformats.org/officeDocument/2006/relationships/hyperlink" Id="rId45" Target="https://pmc.ncbi.nlm.nih.gov/articles/PMC2939342/" TargetMode="External" /><Relationship Type="http://schemas.openxmlformats.org/officeDocument/2006/relationships/hyperlink" Id="rId31" Target="https://pmc.ncbi.nlm.nih.gov/articles/PMC7069054/" TargetMode="External" /><Relationship Type="http://schemas.openxmlformats.org/officeDocument/2006/relationships/hyperlink" Id="rId30" Target="https://pmc.ncbi.nlm.nih.gov/articles/PMC9779091/" TargetMode="External" /><Relationship Type="http://schemas.openxmlformats.org/officeDocument/2006/relationships/hyperlink" Id="rId40" Target="https://pmc.ncbi.nlm.nih.gov/articles/PMC9828383/" TargetMode="External" /><Relationship Type="http://schemas.openxmlformats.org/officeDocument/2006/relationships/hyperlink" Id="rId48" Target="https://pubmed.ncbi.nlm.nih.gov/32498658/" TargetMode="External" /><Relationship Type="http://schemas.openxmlformats.org/officeDocument/2006/relationships/hyperlink" Id="rId28" Target="https://pubmed.ncbi.nlm.nih.gov/37998281/" TargetMode="External" /><Relationship Type="http://schemas.openxmlformats.org/officeDocument/2006/relationships/hyperlink" Id="rId27" Target="https://www.frontiersin.org/journals/psychology/articles/10.3389/fpsyg.2024.1360540/full" TargetMode="External" /><Relationship Type="http://schemas.openxmlformats.org/officeDocument/2006/relationships/hyperlink" Id="rId38" Target="https://www.nature.com/articles/s41591-025-03639-1" TargetMode="External" /><Relationship Type="http://schemas.openxmlformats.org/officeDocument/2006/relationships/hyperlink" Id="rId44" Target="https://www.sciencedirect.com/org/science/article/pii/S2561326X25003737" TargetMode="External" /><Relationship Type="http://schemas.openxmlformats.org/officeDocument/2006/relationships/hyperlink" Id="rId47" Target="https://www.sciencedirect.com/science/article/pii/S2214782925000089" TargetMode="External" /><Relationship Type="http://schemas.openxmlformats.org/officeDocument/2006/relationships/hyperlink" Id="rId23" Target="https://www.sciencedirect.com/science/article/pii/S2214782925000892" TargetMode="External" /><Relationship Type="http://schemas.openxmlformats.org/officeDocument/2006/relationships/hyperlink" Id="rId42" Target="https://www.who.int/news/item/20-03-2026-towards-responsible-ai-for-mental-health-and-well-being--experts-chart-a-way-forwa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journals.sagepub.com/doi/10.1177/21582440241274582" TargetMode="External" /><Relationship Type="http://schemas.openxmlformats.org/officeDocument/2006/relationships/hyperlink" Id="rId21" Target="https://mental.jmir.org/2019/1/PDF" TargetMode="External" /><Relationship Type="http://schemas.openxmlformats.org/officeDocument/2006/relationships/hyperlink" Id="rId39" Target="https://mentalhealth.bmj.com/content/28/1/e301641" TargetMode="External" /><Relationship Type="http://schemas.openxmlformats.org/officeDocument/2006/relationships/hyperlink" Id="rId49" Target="https://ouci.dntb.gov.ua/en/works/4MWbvEP9/" TargetMode="External" /><Relationship Type="http://schemas.openxmlformats.org/officeDocument/2006/relationships/hyperlink" Id="rId35" Target="https://play.google.com/store/apps/details?hl=bg&amp;id=com.betterhelp" TargetMode="External" /><Relationship Type="http://schemas.openxmlformats.org/officeDocument/2006/relationships/hyperlink" Id="rId34" Target="https://play.google.com/store/apps/details?hl=en&amp;id=bot.touchkin" TargetMode="External" /><Relationship Type="http://schemas.openxmlformats.org/officeDocument/2006/relationships/hyperlink" Id="rId33" Target="https://play.google.com/store/apps/details?hl=en&amp;id=co.thefabulous.app" TargetMode="External" /><Relationship Type="http://schemas.openxmlformats.org/officeDocument/2006/relationships/hyperlink" Id="rId36" Target="https://play.google.com/store/apps/details?hl=en&amp;id=com.finch.finch" TargetMode="External" /><Relationship Type="http://schemas.openxmlformats.org/officeDocument/2006/relationships/hyperlink" Id="rId25" Target="https://play.google.com/store/apps/details?hl=en&amp;id=com.getsomeheadspace.android" TargetMode="External" /><Relationship Type="http://schemas.openxmlformats.org/officeDocument/2006/relationships/hyperlink" Id="rId22" Target="https://pmc.ncbi.nlm.nih.gov/articles/PMC10049005/" TargetMode="External" /><Relationship Type="http://schemas.openxmlformats.org/officeDocument/2006/relationships/hyperlink" Id="rId29" Target="https://pmc.ncbi.nlm.nih.gov/articles/PMC10322198/" TargetMode="External" /><Relationship Type="http://schemas.openxmlformats.org/officeDocument/2006/relationships/hyperlink" Id="rId41" Target="https://pmc.ncbi.nlm.nih.gov/articles/PMC11179519/" TargetMode="External" /><Relationship Type="http://schemas.openxmlformats.org/officeDocument/2006/relationships/hyperlink" Id="rId45" Target="https://pmc.ncbi.nlm.nih.gov/articles/PMC2939342/" TargetMode="External" /><Relationship Type="http://schemas.openxmlformats.org/officeDocument/2006/relationships/hyperlink" Id="rId31" Target="https://pmc.ncbi.nlm.nih.gov/articles/PMC7069054/" TargetMode="External" /><Relationship Type="http://schemas.openxmlformats.org/officeDocument/2006/relationships/hyperlink" Id="rId30" Target="https://pmc.ncbi.nlm.nih.gov/articles/PMC9779091/" TargetMode="External" /><Relationship Type="http://schemas.openxmlformats.org/officeDocument/2006/relationships/hyperlink" Id="rId40" Target="https://pmc.ncbi.nlm.nih.gov/articles/PMC9828383/" TargetMode="External" /><Relationship Type="http://schemas.openxmlformats.org/officeDocument/2006/relationships/hyperlink" Id="rId48" Target="https://pubmed.ncbi.nlm.nih.gov/32498658/" TargetMode="External" /><Relationship Type="http://schemas.openxmlformats.org/officeDocument/2006/relationships/hyperlink" Id="rId28" Target="https://pubmed.ncbi.nlm.nih.gov/37998281/" TargetMode="External" /><Relationship Type="http://schemas.openxmlformats.org/officeDocument/2006/relationships/hyperlink" Id="rId27" Target="https://www.frontiersin.org/journals/psychology/articles/10.3389/fpsyg.2024.1360540/full" TargetMode="External" /><Relationship Type="http://schemas.openxmlformats.org/officeDocument/2006/relationships/hyperlink" Id="rId38" Target="https://www.nature.com/articles/s41591-025-03639-1" TargetMode="External" /><Relationship Type="http://schemas.openxmlformats.org/officeDocument/2006/relationships/hyperlink" Id="rId44" Target="https://www.sciencedirect.com/org/science/article/pii/S2561326X25003737" TargetMode="External" /><Relationship Type="http://schemas.openxmlformats.org/officeDocument/2006/relationships/hyperlink" Id="rId47" Target="https://www.sciencedirect.com/science/article/pii/S2214782925000089" TargetMode="External" /><Relationship Type="http://schemas.openxmlformats.org/officeDocument/2006/relationships/hyperlink" Id="rId23" Target="https://www.sciencedirect.com/science/article/pii/S2214782925000892" TargetMode="External" /><Relationship Type="http://schemas.openxmlformats.org/officeDocument/2006/relationships/hyperlink" Id="rId42" Target="https://www.who.int/news/item/20-03-2026-towards-responsible-ai-for-mental-health-and-well-being--experts-chart-a-way-forwar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2026-05-31T13:55:37Z</dcterms:created>
  <dcterms:modified xsi:type="dcterms:W3CDTF">2026-05-31T13:55:37Z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