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line="360"/>
        <w:jc w:val="center"/>
      </w:pPr>
      <w:r>
        <w:rPr>
          <w:rFonts w:ascii="Times New Roman" w:cs="Times New Roman" w:eastAsia="Times New Roman" w:hAnsi="Times New Roman"/>
          <w:b/>
          <w:bCs/>
          <w:color w:val="000000"/>
          <w:sz w:val="28"/>
          <w:szCs w:val="28"/>
        </w:rPr>
        <w:t xml:space="preserve">ПРИКЛАД ТЕКСТУ ПІДРОЗДІЛІВ 1.2 І 1.3</w:t>
      </w:r>
    </w:p>
    <w:p>
      <w:pPr>
        <w:shd w:fill="FFF4CC" w:color="auto" w:val="clear"/>
        <w:spacing w:after="60" w:before="0" w:line="276"/>
        <w:ind w:left="170"/>
      </w:pPr>
      <w:r>
        <w:rPr>
          <w:rFonts w:ascii="Times New Roman" w:cs="Times New Roman" w:eastAsia="Times New Roman" w:hAnsi="Times New Roman"/>
          <w:b/>
          <w:bCs/>
          <w:color w:val="7A4B00"/>
          <w:sz w:val="22"/>
          <w:szCs w:val="22"/>
        </w:rPr>
        <w:t xml:space="preserve">Перш ніж використовувати, прочитайте це:</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1. </w:t>
      </w:r>
      <w:r>
        <w:rPr>
          <w:rFonts w:ascii="Times New Roman" w:cs="Times New Roman" w:eastAsia="Times New Roman" w:hAnsi="Times New Roman"/>
          <w:b/>
          <w:bCs/>
          <w:color w:val="7A4B00"/>
          <w:sz w:val="22"/>
          <w:szCs w:val="22"/>
        </w:rPr>
        <w:t xml:space="preserve">Це зразок для переписування своїми словами, а не готовий текст для здачі.</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2. </w:t>
      </w:r>
      <w:r>
        <w:rPr>
          <w:rFonts w:ascii="Times New Roman" w:cs="Times New Roman" w:eastAsia="Times New Roman" w:hAnsi="Times New Roman"/>
          <w:b/>
          <w:bCs/>
          <w:color w:val="7A4B00"/>
          <w:sz w:val="22"/>
          <w:szCs w:val="22"/>
        </w:rPr>
        <w:t xml:space="preserve">Нумерація джерел.</w:t>
      </w:r>
      <w:r>
        <w:rPr>
          <w:rFonts w:ascii="Times New Roman" w:cs="Times New Roman" w:eastAsia="Times New Roman" w:hAnsi="Times New Roman"/>
          <w:color w:val="7A4B00"/>
          <w:sz w:val="22"/>
          <w:szCs w:val="22"/>
        </w:rPr>
        <w:t xml:space="preserve"> Вона продовжує нумерацію з 1.1: джерела, які вже були в 1.1, мають ті самі номери, а нові починаються з [27]. Повний список (1–47) наведено в кінці файлу.</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3. </w:t>
      </w:r>
      <w:r>
        <w:rPr>
          <w:rFonts w:ascii="Times New Roman" w:cs="Times New Roman" w:eastAsia="Times New Roman" w:hAnsi="Times New Roman"/>
          <w:b/>
          <w:bCs/>
          <w:color w:val="7A4B00"/>
          <w:sz w:val="22"/>
          <w:szCs w:val="22"/>
        </w:rPr>
        <w:t xml:space="preserve">Позначки в тексті:</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 </w:t>
      </w:r>
      <w:r>
        <w:rPr>
          <w:rFonts w:ascii="Times New Roman" w:cs="Times New Roman" w:eastAsia="Times New Roman" w:hAnsi="Times New Roman"/>
          <w:b/>
          <w:bCs/>
          <w:color w:val="7A4B00"/>
          <w:sz w:val="22"/>
          <w:szCs w:val="22"/>
        </w:rPr>
        <w:t xml:space="preserve">[N, с. __]</w:t>
      </w:r>
      <w:r>
        <w:rPr>
          <w:rFonts w:ascii="Times New Roman" w:cs="Times New Roman" w:eastAsia="Times New Roman" w:hAnsi="Times New Roman"/>
          <w:color w:val="7A4B00"/>
          <w:sz w:val="22"/>
          <w:szCs w:val="22"/>
        </w:rPr>
        <w:t xml:space="preserve">: номер джерела і місце для сторінки, яку треба знайти в оригіналі;</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 </w:t>
      </w:r>
      <w:r>
        <w:rPr>
          <w:rFonts w:ascii="Times New Roman" w:cs="Times New Roman" w:eastAsia="Times New Roman" w:hAnsi="Times New Roman"/>
          <w:b/>
          <w:bCs/>
          <w:color w:val="7A4B00"/>
          <w:sz w:val="22"/>
          <w:szCs w:val="22"/>
        </w:rPr>
        <w:t xml:space="preserve">«…»</w:t>
      </w:r>
      <w:r>
        <w:rPr>
          <w:rFonts w:ascii="Times New Roman" w:cs="Times New Roman" w:eastAsia="Times New Roman" w:hAnsi="Times New Roman"/>
          <w:color w:val="7A4B00"/>
          <w:sz w:val="22"/>
          <w:szCs w:val="22"/>
        </w:rPr>
        <w:t xml:space="preserve">: місце для дослівної цитати. Цитат, яких я не можу перевірити, я не вигадував.</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4. </w:t>
      </w:r>
      <w:r>
        <w:rPr>
          <w:rFonts w:ascii="Times New Roman" w:cs="Times New Roman" w:eastAsia="Times New Roman" w:hAnsi="Times New Roman"/>
          <w:b/>
          <w:bCs/>
          <w:color w:val="7A4B00"/>
          <w:sz w:val="22"/>
          <w:szCs w:val="22"/>
        </w:rPr>
        <w:t xml:space="preserve">Перевірте зміст.</w:t>
      </w:r>
      <w:r>
        <w:rPr>
          <w:rFonts w:ascii="Times New Roman" w:cs="Times New Roman" w:eastAsia="Times New Roman" w:hAnsi="Times New Roman"/>
          <w:color w:val="7A4B00"/>
          <w:sz w:val="22"/>
          <w:szCs w:val="22"/>
        </w:rPr>
        <w:t xml:space="preserve"> Твердження, приписані авторам, відповідають загальновідомому змісту праць або їхнім анотаціям. Перед здачею звірте кожне з оригіналом.</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5. </w:t>
      </w:r>
      <w:r>
        <w:rPr>
          <w:rFonts w:ascii="Times New Roman" w:cs="Times New Roman" w:eastAsia="Times New Roman" w:hAnsi="Times New Roman"/>
          <w:b/>
          <w:bCs/>
          <w:color w:val="7A4B00"/>
          <w:sz w:val="22"/>
          <w:szCs w:val="22"/>
        </w:rPr>
        <w:t xml:space="preserve">Обсяг.</w:t>
      </w:r>
      <w:r>
        <w:rPr>
          <w:rFonts w:ascii="Times New Roman" w:cs="Times New Roman" w:eastAsia="Times New Roman" w:hAnsi="Times New Roman"/>
          <w:color w:val="7A4B00"/>
          <w:sz w:val="22"/>
          <w:szCs w:val="22"/>
        </w:rPr>
        <w:t xml:space="preserve"> Приблизно 8–9 сторінок на кожен підрозділ у Word (TNR 14, інтервал 1,5).</w:t>
      </w:r>
    </w:p>
    <w:p>
      <w:pPr>
        <w:pStyle w:val="Heading2"/>
        <w:spacing w:after="240" w:before="240" w:line="360"/>
        <w:ind w:firstLine="709"/>
      </w:pPr>
      <w:r>
        <w:rPr>
          <w:rFonts w:ascii="Times New Roman" w:cs="Times New Roman" w:eastAsia="Times New Roman" w:hAnsi="Times New Roman"/>
          <w:b/>
          <w:bCs/>
          <w:color w:val="000000"/>
          <w:sz w:val="28"/>
          <w:szCs w:val="28"/>
        </w:rPr>
        <w:t xml:space="preserve">1.2 Система управління маркетинговим просуванням підприємства в соціальних мережах</w:t>
      </w:r>
    </w:p>
    <w:p>
      <w:pPr>
        <w:spacing w:after="0" w:before="0" w:line="360"/>
        <w:ind w:firstLine="709"/>
        <w:jc w:val="both"/>
      </w:pPr>
      <w:r>
        <w:rPr>
          <w:rFonts w:ascii="Times New Roman" w:cs="Times New Roman" w:eastAsia="Times New Roman" w:hAnsi="Times New Roman"/>
          <w:sz w:val="28"/>
          <w:szCs w:val="28"/>
        </w:rPr>
        <w:t xml:space="preserve">Розглянуті в підрозділі 1.1 сутність і специфіка маркетингового просування в соціальних мережах зумовлюють потребу в його системному управлінні. Як зазначалося, соціальні мережі поєднують контрольовану підприємством комунікацію з неконтрольованою комунікацією між споживачами [12, p. __]. Тому ситуативне використання цього каналу, наприклад лише як онлайн-каталогу продукції, не дає змоги повною мірою реалізувати його потенціал. Т. Пімоненко зі співавторами, систематизуючи проблеми, з якими стикаються підприємства під час реалізації SMM-стратегій, виокремлюють відсутність чіткої стратегії, неправильне позиціонування, нечітке визначення цільової аудиторії та нерелевантний контент [20, с. __]. Усі ці проблеми мають управлінську природу.</w:t>
      </w:r>
    </w:p>
    <w:p>
      <w:pPr>
        <w:spacing w:after="0" w:before="0" w:line="360"/>
        <w:ind w:firstLine="709"/>
        <w:jc w:val="both"/>
      </w:pPr>
      <w:r>
        <w:rPr>
          <w:rFonts w:ascii="Times New Roman" w:cs="Times New Roman" w:eastAsia="Times New Roman" w:hAnsi="Times New Roman"/>
          <w:sz w:val="28"/>
          <w:szCs w:val="28"/>
        </w:rPr>
        <w:t xml:space="preserve">У науковій літературі управління маркетинговим просуванням у соціальних мережах розглядається з кількох позицій. Ф. Лі, Я. Ларімо та Л. Леонідоу визначають стратегію маркетингу в соціальних мережах як організаційно інтегрований набір рішень і дій. Вони концептуалізують процес її розроблення як систему з чотирьох компонентів: рушійних чинників (drivers), вхідних ресурсів (inputs), процесів перетворення (throughputs) та результатів (outputs) [16, p. __]. Р. Фелікс, Ф. Раушнабель та К. Хінш пропонують цілісну рамку стратегічного SMM з чотирма вимірами: масштабом (від «захисників» до «дослідників»), культурою (від консерватизму до модернізму), структурою (від ієрархій до мереж) та управлінням (від автократії до анархії) [27, p. __]. К. Варела-Нейра, Й. Двіведі та З. Камоірас-Родрігес, розглядаючи SMM як систему, виокремлюють такі її складові: формалізацію, управління персоналом, співтворення цінності разом зі споживачами та маркетингове планування [28, p. __]. Узагальнюючи ці підходи, можна стверджувати, що ефективне просування в соціальних мережах потребує не лише набору інструментів, а й налагодженої системи управління з чітко визначеними етапами, відповідальними особами та механізмами контролю.</w:t>
      </w:r>
    </w:p>
    <w:p>
      <w:pPr>
        <w:spacing w:after="0" w:before="0" w:line="360"/>
        <w:ind w:firstLine="709"/>
        <w:jc w:val="both"/>
      </w:pPr>
      <w:r>
        <w:rPr>
          <w:rFonts w:ascii="Times New Roman" w:cs="Times New Roman" w:eastAsia="Times New Roman" w:hAnsi="Times New Roman"/>
          <w:sz w:val="28"/>
          <w:szCs w:val="28"/>
        </w:rPr>
        <w:t xml:space="preserve">Українські дослідники також наголошують на поетапному характері формування SMM-стратегії. О. Шандрівська та Ю. Соколов обґрунтовують зміст етапів формування стратегії SMM-просування для розвитку бренду [29, с. __]. З. Коваль та А. Ткаченко аналізують переваги й недоліки SMM-стратегії як інструменту розвитку бізнесу [30, с. __]. Ю. Романуша досліджує моделі побудови SMM-стратегій (AIDA, SOSTAC, RACE, 5S) та можливості використання штучного інтелекту на окремих етапах їх реалізації [31, с. __]. Порівняльну характеристику найпоширеніших моделей планування наведено в табл. 1.4.</w:t>
      </w:r>
    </w:p>
    <w:p>
      <w:pPr>
        <w:spacing w:after="0" w:before="120" w:line="360"/>
        <w:ind w:firstLine="709"/>
      </w:pPr>
      <w:r>
        <w:rPr>
          <w:rFonts w:ascii="Times New Roman" w:cs="Times New Roman" w:eastAsia="Times New Roman" w:hAnsi="Times New Roman"/>
          <w:sz w:val="28"/>
          <w:szCs w:val="28"/>
        </w:rPr>
        <w:t xml:space="preserve">Таблиця 1.4 – Порівняльна характеристика моделей планування маркетингових комунікацій у цифровому середовищі</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rPr>
          <w:tblHeader/>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Модель</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Складові</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Призначення</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Обмеження для SMM</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AIDA</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Attention (увага) → Interest (інтерес) → Desire (бажання) → Action (дія)</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Опис етапів впливу комунікації на споживача; побудова повідомлень і воронки</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Не охоплює етапів після покупки (лояльність, рекомендації), важливих у соцмережах</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SOSTAC</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Situation (аналіз ситуації) → Objectives (цілі) → Strategy (стратегія) → Tactics (тактика) → Action (дії) → Control (контроль)</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Повний цикл планування маркетингу</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Загальна модель, потребує адаптації до специфіки соцмереж</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RACE</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Reach (охоплення) → Act (взаємодія) → Convert (конверсія) → Engage (утримання)</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Планування цифрового маркетингу за етапами життєвого циклу клієнта</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Слабо відображає організаційні аспекти (хто, з яким бюджетом)</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5S</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Sell (продавати), Serve (обслуговувати), Speak (спілкуватися), Save (заощаджувати), Sizzle (підсилювати бренд)</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Класифікація цілей присутності в цифрових каналах</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Визначає цілі, але не процес їх досягнення</w:t>
            </w:r>
          </w:p>
        </w:tc>
      </w:tr>
    </w:tbl>
    <w:p>
      <w:pPr>
        <w:spacing w:after="120" w:before="0" w:line="360"/>
        <w:ind w:firstLine="709"/>
      </w:pPr>
      <w:r>
        <w:rPr>
          <w:rFonts w:ascii="Times New Roman" w:cs="Times New Roman" w:eastAsia="Times New Roman" w:hAnsi="Times New Roman"/>
          <w:sz w:val="24"/>
          <w:szCs w:val="24"/>
        </w:rPr>
        <w:t xml:space="preserve">Систематизовано автором за [8; 31; 6]</w:t>
      </w:r>
    </w:p>
    <w:p>
      <w:pPr>
        <w:shd w:fill="FFF4CC" w:color="auto" w:val="clear"/>
        <w:spacing w:after="60" w:before="0" w:line="276"/>
        <w:ind w:left="170"/>
      </w:pPr>
      <w:r>
        <w:rPr>
          <w:rFonts w:ascii="Times New Roman" w:cs="Times New Roman" w:eastAsia="Times New Roman" w:hAnsi="Times New Roman"/>
          <w:i/>
          <w:iCs/>
          <w:color w:val="7A4B00"/>
          <w:sz w:val="22"/>
          <w:szCs w:val="22"/>
        </w:rPr>
        <w:t xml:space="preserve">[Примітка: перевірте, що AIDA описано в Котлера [6], а SOSTAC, RACE і 5S — у Chaffey [8]. Допишіть сторінки.]</w:t>
      </w:r>
    </w:p>
    <w:p>
      <w:pPr>
        <w:spacing w:after="0" w:before="0" w:line="360"/>
        <w:ind w:firstLine="709"/>
        <w:jc w:val="both"/>
      </w:pPr>
      <w:r>
        <w:rPr>
          <w:rFonts w:ascii="Times New Roman" w:cs="Times New Roman" w:eastAsia="Times New Roman" w:hAnsi="Times New Roman"/>
          <w:sz w:val="28"/>
          <w:szCs w:val="28"/>
        </w:rPr>
        <w:t xml:space="preserve">Як видно з табл. 1.4, кожна з моделей відображає лише окремий аспект управління. AIDA і RACE описують шлях споживача, 5S описує цілі, а SOSTAC описує загальний цикл планування. На нашу думку, для управління просуванням у соціальних мережах доцільно поєднати управлінську логіку моделі SOSTAC з орієнтацією на шлях споживача, притаманною моделі RACE. На цій основі пропонуємо розглядати процес управління маркетинговим просуванням підприємства в соціальних мережах як послідовність восьми етапів (рис. 1.3).</w:t>
      </w:r>
    </w:p>
    <w:p>
      <w:pPr>
        <w:spacing w:after="0" w:before="120" w:line="360"/>
        <w:jc w:val="center"/>
      </w:pPr>
      <w:r>
        <w:rPr>
          <w:rFonts w:ascii="Times New Roman" w:cs="Times New Roman" w:eastAsia="Times New Roman" w:hAnsi="Times New Roman"/>
          <w:sz w:val="28"/>
          <w:szCs w:val="28"/>
        </w:rPr>
        <w:t xml:space="preserve">Рисунок 1.3 – Процес управління маркетинговим просуванням підприємства в соціальних мережах</w:t>
      </w:r>
    </w:p>
    <w:p>
      <w:pPr>
        <w:spacing w:after="0" w:before="0" w:line="240"/>
      </w:pPr>
      <w:r>
        <w:rPr>
          <w:rFonts w:ascii="Courier New" w:cs="Courier New" w:eastAsia="Courier New" w:hAnsi="Courier New"/>
          <w:sz w:val="16"/>
          <w:szCs w:val="16"/>
        </w:rPr>
        <w:t xml:space="preserve"> ┌─────────────┐   ┌─────────────┐   ┌─────────────┐   ┌─────────────┐</w:t>
      </w:r>
    </w:p>
    <w:p>
      <w:pPr>
        <w:spacing w:after="0" w:before="0" w:line="240"/>
      </w:pPr>
      <w:r>
        <w:rPr>
          <w:rFonts w:ascii="Courier New" w:cs="Courier New" w:eastAsia="Courier New" w:hAnsi="Courier New"/>
          <w:sz w:val="16"/>
          <w:szCs w:val="16"/>
        </w:rPr>
        <w:t xml:space="preserve"> │ 1. АНАЛІЗ   │──▶│ 2. ЦІЛІ     │──▶│ 3. ЦІЛЬОВА  │──▶│ 4. ВИБІР    │</w:t>
      </w:r>
    </w:p>
    <w:p>
      <w:pPr>
        <w:spacing w:after="0" w:before="0" w:line="240"/>
      </w:pPr>
      <w:r>
        <w:rPr>
          <w:rFonts w:ascii="Courier New" w:cs="Courier New" w:eastAsia="Courier New" w:hAnsi="Courier New"/>
          <w:sz w:val="16"/>
          <w:szCs w:val="16"/>
        </w:rPr>
        <w:t xml:space="preserve"> │ ситуації,   │   │ та KPI      │   │ АУДИТОРІЯ   │   │ ПЛАТФОРМ    │</w:t>
      </w:r>
    </w:p>
    <w:p>
      <w:pPr>
        <w:spacing w:after="0" w:before="0" w:line="240"/>
      </w:pPr>
      <w:r>
        <w:rPr>
          <w:rFonts w:ascii="Courier New" w:cs="Courier New" w:eastAsia="Courier New" w:hAnsi="Courier New"/>
          <w:sz w:val="16"/>
          <w:szCs w:val="16"/>
        </w:rPr>
        <w:t xml:space="preserve"> │ аудит,      │   │ (SMART)     │   │ сегменти,   │   │             │</w:t>
      </w:r>
    </w:p>
    <w:p>
      <w:pPr>
        <w:spacing w:after="0" w:before="0" w:line="240"/>
      </w:pPr>
      <w:r>
        <w:rPr>
          <w:rFonts w:ascii="Courier New" w:cs="Courier New" w:eastAsia="Courier New" w:hAnsi="Courier New"/>
          <w:sz w:val="16"/>
          <w:szCs w:val="16"/>
        </w:rPr>
        <w:t xml:space="preserve"> │ конкуренти  │   │             │   │ портрети    │   │             │</w:t>
      </w:r>
    </w:p>
    <w:p>
      <w:pPr>
        <w:spacing w:after="0" w:before="0" w:line="240"/>
      </w:pPr>
      <w:r>
        <w:rPr>
          <w:rFonts w:ascii="Courier New" w:cs="Courier New" w:eastAsia="Courier New" w:hAnsi="Courier New"/>
          <w:sz w:val="16"/>
          <w:szCs w:val="16"/>
        </w:rPr>
        <w:t xml:space="preserve"> └─────────────┘   └─────────────┘   └─────────────┘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   ┌─────────────┐   ┌─────────────┐</w:t>
      </w:r>
    </w:p>
    <w:p>
      <w:pPr>
        <w:spacing w:after="0" w:before="0" w:line="240"/>
      </w:pPr>
      <w:r>
        <w:rPr>
          <w:rFonts w:ascii="Courier New" w:cs="Courier New" w:eastAsia="Courier New" w:hAnsi="Courier New"/>
          <w:sz w:val="16"/>
          <w:szCs w:val="16"/>
        </w:rPr>
        <w:t xml:space="preserve"> │ 8. КОНТРОЛЬ │◀──│ 7. РЕАЛІЗА- │◀──│ 6. БЮДЖЕТУ- │◀──│ 5. КОНТЕНТ  │</w:t>
      </w:r>
    </w:p>
    <w:p>
      <w:pPr>
        <w:spacing w:after="0" w:before="0" w:line="240"/>
      </w:pPr>
      <w:r>
        <w:rPr>
          <w:rFonts w:ascii="Courier New" w:cs="Courier New" w:eastAsia="Courier New" w:hAnsi="Courier New"/>
          <w:sz w:val="16"/>
          <w:szCs w:val="16"/>
        </w:rPr>
        <w:t xml:space="preserve"> │ та оцінка,  │   │ ЦІЯ: публі- │   │ ВАННЯ       │   │ та КОМУНІ-  │</w:t>
      </w:r>
    </w:p>
    <w:p>
      <w:pPr>
        <w:spacing w:after="0" w:before="0" w:line="240"/>
      </w:pPr>
      <w:r>
        <w:rPr>
          <w:rFonts w:ascii="Courier New" w:cs="Courier New" w:eastAsia="Courier New" w:hAnsi="Courier New"/>
          <w:sz w:val="16"/>
          <w:szCs w:val="16"/>
        </w:rPr>
        <w:t xml:space="preserve"> │ коригування │   │ кації, рек- │   │             │   │ КАЦІЇ       │</w:t>
      </w:r>
    </w:p>
    <w:p>
      <w:pPr>
        <w:spacing w:after="0" w:before="0" w:line="240"/>
      </w:pPr>
      <w:r>
        <w:rPr>
          <w:rFonts w:ascii="Courier New" w:cs="Courier New" w:eastAsia="Courier New" w:hAnsi="Courier New"/>
          <w:sz w:val="16"/>
          <w:szCs w:val="16"/>
        </w:rPr>
        <w:t xml:space="preserve"> │             │   │ лама, діалог│   │             │   │             │</w:t>
      </w:r>
    </w:p>
    <w:p>
      <w:pPr>
        <w:spacing w:after="0" w:before="0" w:line="240"/>
      </w:pPr>
      <w:r>
        <w:rPr>
          <w:rFonts w:ascii="Courier New" w:cs="Courier New" w:eastAsia="Courier New" w:hAnsi="Courier New"/>
          <w:sz w:val="16"/>
          <w:szCs w:val="16"/>
        </w:rPr>
        <w:t xml:space="preserve"> └─────────────┘   └─────────────┘   └─────────────┘   └─────────────┘</w:t>
      </w:r>
    </w:p>
    <w:p>
      <w:pPr>
        <w:spacing w:after="0" w:before="0" w:line="240"/>
      </w:pPr>
      <w:r>
        <w:rPr>
          <w:rFonts w:ascii="Courier New" w:cs="Courier New" w:eastAsia="Courier New" w:hAnsi="Courier New"/>
          <w:sz w:val="16"/>
          <w:szCs w:val="16"/>
        </w:rPr>
        <w:t xml:space="preserve">          зворотний зв'язок: результати контролю → новий цикл аналізу</w:t>
      </w:r>
    </w:p>
    <w:p>
      <w:pPr>
        <w:spacing w:after="120" w:before="0" w:line="360"/>
        <w:ind w:firstLine="709"/>
      </w:pPr>
      <w:r>
        <w:rPr>
          <w:rFonts w:ascii="Times New Roman" w:cs="Times New Roman" w:eastAsia="Times New Roman" w:hAnsi="Times New Roman"/>
          <w:sz w:val="24"/>
          <w:szCs w:val="24"/>
        </w:rPr>
        <w:t xml:space="preserve">(розроблено автором на основі [8; 27; 29; 31])</w:t>
      </w:r>
    </w:p>
    <w:p>
      <w:pPr>
        <w:spacing w:after="0" w:before="0" w:line="360"/>
        <w:ind w:firstLine="709"/>
        <w:jc w:val="both"/>
      </w:pPr>
      <w:r>
        <w:rPr>
          <w:rFonts w:ascii="Times New Roman" w:cs="Times New Roman" w:eastAsia="Times New Roman" w:hAnsi="Times New Roman"/>
          <w:sz w:val="28"/>
          <w:szCs w:val="28"/>
        </w:rPr>
        <w:t xml:space="preserve">Розглянемо зміст кожного етапу.</w:t>
      </w:r>
    </w:p>
    <w:p>
      <w:pPr>
        <w:spacing w:after="0" w:before="0" w:line="360"/>
        <w:ind w:firstLine="709"/>
        <w:jc w:val="both"/>
      </w:pPr>
      <w:r>
        <w:rPr>
          <w:rFonts w:ascii="Times New Roman" w:cs="Times New Roman" w:eastAsia="Times New Roman" w:hAnsi="Times New Roman"/>
          <w:b/>
          <w:bCs/>
          <w:sz w:val="28"/>
          <w:szCs w:val="28"/>
        </w:rPr>
        <w:t xml:space="preserve">1. Аналіз ситуації.</w:t>
      </w:r>
      <w:r>
        <w:rPr>
          <w:rFonts w:ascii="Times New Roman" w:cs="Times New Roman" w:eastAsia="Times New Roman" w:hAnsi="Times New Roman"/>
          <w:sz w:val="28"/>
          <w:szCs w:val="28"/>
        </w:rPr>
        <w:t xml:space="preserve"> Етап передбачає:</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аудит наявної присутності підприємства в соціальних мережах: акаунти, аудиторія, контент, результати;</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аналіз конкурентів;</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оцінювання ринкового середовища та можливостей підприємства.</w:t>
      </w:r>
    </w:p>
    <w:p>
      <w:pPr>
        <w:spacing w:after="0" w:before="0" w:line="360"/>
        <w:ind w:firstLine="709"/>
        <w:jc w:val="both"/>
      </w:pPr>
      <w:r>
        <w:rPr>
          <w:rFonts w:ascii="Times New Roman" w:cs="Times New Roman" w:eastAsia="Times New Roman" w:hAnsi="Times New Roman"/>
          <w:sz w:val="28"/>
          <w:szCs w:val="28"/>
        </w:rPr>
        <w:t xml:space="preserve">Результатом етапу має бути визначення відправної точки та ключових проблем, на розв'язання яких буде спрямовано просування. Для українського ринку особливо важливо враховувати динаміку аудиторії платформ. Г. Чміль, К. Новаківський та В. Демидова на основі моніторингу аудиторії Facebook, YouTube, Instagram і TikTok показали, що маркетингові підходи необхідно адаптувати до специфіки кожної платформи та її аудиторії [32, с. __].</w:t>
      </w:r>
    </w:p>
    <w:p>
      <w:pPr>
        <w:spacing w:after="0" w:before="0" w:line="360"/>
        <w:ind w:firstLine="709"/>
        <w:jc w:val="both"/>
      </w:pPr>
      <w:r>
        <w:rPr>
          <w:rFonts w:ascii="Times New Roman" w:cs="Times New Roman" w:eastAsia="Times New Roman" w:hAnsi="Times New Roman"/>
          <w:b/>
          <w:bCs/>
          <w:sz w:val="28"/>
          <w:szCs w:val="28"/>
        </w:rPr>
        <w:t xml:space="preserve">2. Постановка цілей.</w:t>
      </w:r>
      <w:r>
        <w:rPr>
          <w:rFonts w:ascii="Times New Roman" w:cs="Times New Roman" w:eastAsia="Times New Roman" w:hAnsi="Times New Roman"/>
          <w:sz w:val="28"/>
          <w:szCs w:val="28"/>
        </w:rPr>
        <w:t xml:space="preserve"> Цілі просування в соціальних мережах мають бути узгоджені із загальними маркетинговими цілями підприємства та сформульовані за принципом SMART: конкретні, вимірювані, досяжні, релевантні, обмежені в часі. Залежно від етапу шляху споживача цілі можуть стосуватися:</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охоплення та впізнаваності бренду;</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залучення аудиторії;</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генерування звернень (лідів) і продажів;</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утримання та лояльності клієнтів.</w:t>
      </w:r>
    </w:p>
    <w:p>
      <w:pPr>
        <w:spacing w:after="0" w:before="0" w:line="360"/>
        <w:ind w:firstLine="709"/>
        <w:jc w:val="both"/>
      </w:pPr>
      <w:r>
        <w:rPr>
          <w:rFonts w:ascii="Times New Roman" w:cs="Times New Roman" w:eastAsia="Times New Roman" w:hAnsi="Times New Roman"/>
          <w:sz w:val="28"/>
          <w:szCs w:val="28"/>
        </w:rPr>
        <w:t xml:space="preserve">Кожній цілі мають відповідати ключові показники ефективності (KPI), систему яких розглянуто в підрозділі 1.3.</w:t>
      </w:r>
    </w:p>
    <w:p>
      <w:pPr>
        <w:spacing w:after="0" w:before="0" w:line="360"/>
        <w:ind w:firstLine="709"/>
        <w:jc w:val="both"/>
      </w:pPr>
      <w:r>
        <w:rPr>
          <w:rFonts w:ascii="Times New Roman" w:cs="Times New Roman" w:eastAsia="Times New Roman" w:hAnsi="Times New Roman"/>
          <w:b/>
          <w:bCs/>
          <w:sz w:val="28"/>
          <w:szCs w:val="28"/>
        </w:rPr>
        <w:t xml:space="preserve">3. Визначення цільової аудиторії.</w:t>
      </w:r>
      <w:r>
        <w:rPr>
          <w:rFonts w:ascii="Times New Roman" w:cs="Times New Roman" w:eastAsia="Times New Roman" w:hAnsi="Times New Roman"/>
          <w:sz w:val="28"/>
          <w:szCs w:val="28"/>
        </w:rPr>
        <w:t xml:space="preserve"> На цьому етапі здійснюється сегментація та формуються портрети цільових споживачів: соціально-демографічні характеристики, інтереси, мотиви, бар'єри, поведінка в соціальних мережах. Для підприємств, що працюють одночасно на ринках B2C та B2B, доцільно окремо описати аудиторію кінцевих споживачів і професійну аудиторію (дизайнери інтер'єру, архітектори, забудовники), оскільки вони відрізняються мотивами та каналами комунікації.</w:t>
      </w:r>
    </w:p>
    <w:p>
      <w:pPr>
        <w:spacing w:after="0" w:before="0" w:line="360"/>
        <w:ind w:firstLine="709"/>
        <w:jc w:val="both"/>
      </w:pPr>
      <w:r>
        <w:rPr>
          <w:rFonts w:ascii="Times New Roman" w:cs="Times New Roman" w:eastAsia="Times New Roman" w:hAnsi="Times New Roman"/>
          <w:b/>
          <w:bCs/>
          <w:sz w:val="28"/>
          <w:szCs w:val="28"/>
        </w:rPr>
        <w:t xml:space="preserve">4. Вибір платформ.</w:t>
      </w:r>
      <w:r>
        <w:rPr>
          <w:rFonts w:ascii="Times New Roman" w:cs="Times New Roman" w:eastAsia="Times New Roman" w:hAnsi="Times New Roman"/>
          <w:sz w:val="28"/>
          <w:szCs w:val="28"/>
        </w:rPr>
        <w:t xml:space="preserve"> Вибір соціальних мереж має ґрунтуватися на відповідності їхніх функціональних можливостей цілям комунікації та присутності на них цільової аудиторії [11, p. __; 32, с. __]. Характеристику основних платформ наведено в табл. 1.5.</w:t>
      </w:r>
    </w:p>
    <w:p>
      <w:pPr>
        <w:spacing w:after="0" w:before="120" w:line="360"/>
        <w:ind w:firstLine="709"/>
      </w:pPr>
      <w:r>
        <w:rPr>
          <w:rFonts w:ascii="Times New Roman" w:cs="Times New Roman" w:eastAsia="Times New Roman" w:hAnsi="Times New Roman"/>
          <w:sz w:val="28"/>
          <w:szCs w:val="28"/>
        </w:rPr>
        <w:t xml:space="preserve">Таблиця 1.5 – Характеристика основних соціальних платформ з позиції маркетингового просування</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rPr>
          <w:tblHeader/>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Платформа</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Ключові формати</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Переваги для просування</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Обмеження</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Instagram</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фото, каруселі, Reels, Stories, Highlights</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висока візуальність; демонстрація продукції та портфоліо; розвинені рекламні інструменти Meta</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висока конкуренція за увагу; органічне охоплення залежить від алгоритмів</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Facebook</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пости, відео, групи, події</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широка аудиторія старшого віку; спільна з Instagram рекламна система</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зниження активності молодої аудиторії</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TikTok</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короткі вертикальні відео</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високе органічне охоплення; вірусний потенціал</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вимагає регулярного відеовиробництва; переважно молодша аудиторія</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YouTube</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довгі та короткі відео (Shorts)</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пошукова видимість; детальні огляди, кейси, процес виробництва</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висока трудомісткість контенту</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Pinterest</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візуальні «піни», дошки</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платформа пошуку ідей для інтер'єру; довгий «життєвий цикл» публікацій</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менша поширеність в Україні; </w:t>
            </w:r>
            <w:r>
              <w:rPr>
                <w:rFonts w:ascii="Times New Roman" w:cs="Times New Roman" w:eastAsia="Times New Roman" w:hAnsi="Times New Roman"/>
                <w:i/>
                <w:iCs/>
                <w:sz w:val="24"/>
                <w:szCs w:val="24"/>
              </w:rPr>
              <w:t xml:space="preserve">(перевірте дані)</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LinkedIn</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пости, статті</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B2B-комунікації; робота з професійною аудиторією</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обмежена аудиторія в сегменті B2C</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Telegram</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канали, чат-боти</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прямий канал до лояльної аудиторії</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обмежені можливості залучення нових користувачів</w:t>
            </w:r>
          </w:p>
        </w:tc>
      </w:tr>
    </w:tbl>
    <w:p>
      <w:pPr>
        <w:spacing w:after="120" w:before="0" w:line="360"/>
        <w:ind w:firstLine="709"/>
      </w:pPr>
      <w:r>
        <w:rPr>
          <w:rFonts w:ascii="Times New Roman" w:cs="Times New Roman" w:eastAsia="Times New Roman" w:hAnsi="Times New Roman"/>
          <w:sz w:val="24"/>
          <w:szCs w:val="24"/>
        </w:rPr>
        <w:t xml:space="preserve">Складено автором на основі [2; 15; 32]</w:t>
      </w:r>
    </w:p>
    <w:p>
      <w:pPr>
        <w:shd w:fill="FFF4CC" w:color="auto" w:val="clear"/>
        <w:spacing w:after="60" w:before="0" w:line="276"/>
        <w:ind w:left="170"/>
      </w:pPr>
      <w:r>
        <w:rPr>
          <w:rFonts w:ascii="Times New Roman" w:cs="Times New Roman" w:eastAsia="Times New Roman" w:hAnsi="Times New Roman"/>
          <w:i/>
          <w:iCs/>
          <w:color w:val="7A4B00"/>
          <w:sz w:val="22"/>
          <w:szCs w:val="22"/>
        </w:rPr>
        <w:t xml:space="preserve">[Примітка: за бажанням додайте колонку «Аудиторія в Україні, млн осіб» з даними звіту DataReportal [2]. Для Pinterest і Telegram перевірте, чи є дані в цьому звіті.]</w:t>
      </w:r>
    </w:p>
    <w:p>
      <w:pPr>
        <w:spacing w:after="0" w:before="0" w:line="360"/>
        <w:ind w:firstLine="709"/>
        <w:jc w:val="both"/>
      </w:pPr>
      <w:r>
        <w:rPr>
          <w:rFonts w:ascii="Times New Roman" w:cs="Times New Roman" w:eastAsia="Times New Roman" w:hAnsi="Times New Roman"/>
          <w:b/>
          <w:bCs/>
          <w:sz w:val="28"/>
          <w:szCs w:val="28"/>
        </w:rPr>
        <w:t xml:space="preserve">5. Формування контенту та комунікацій.</w:t>
      </w:r>
      <w:r>
        <w:rPr>
          <w:rFonts w:ascii="Times New Roman" w:cs="Times New Roman" w:eastAsia="Times New Roman" w:hAnsi="Times New Roman"/>
          <w:sz w:val="28"/>
          <w:szCs w:val="28"/>
        </w:rPr>
        <w:t xml:space="preserve"> Етап охоплює:</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розроблення контент-стратегії: рубрикатор, формати, частота публікацій, тон комунікації;</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контент-план;</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правила взаємодії з аудиторією: відповіді на коментарі та повідомлення, робота з негативом.</w:t>
      </w:r>
    </w:p>
    <w:p>
      <w:pPr>
        <w:spacing w:after="0" w:before="0" w:line="360"/>
        <w:ind w:firstLine="709"/>
        <w:jc w:val="both"/>
      </w:pPr>
      <w:r>
        <w:rPr>
          <w:rFonts w:ascii="Times New Roman" w:cs="Times New Roman" w:eastAsia="Times New Roman" w:hAnsi="Times New Roman"/>
          <w:sz w:val="28"/>
          <w:szCs w:val="28"/>
        </w:rPr>
        <w:t xml:space="preserve">Ю. Зіньцьо та М. Федорук наголошують на зростанні очікувань користувачів щодо автентичного та корисного контенту брендів [33, с. __]. К. Ешлі та Т. Тутен на основі дослідження брендового контенту показали зв'язок креативних стратегій із рівнем залученості споживачів [34, p. __]. Окремими інструментами комунікацій є:</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таргетована реклама</w:t>
      </w:r>
      <w:r>
        <w:rPr>
          <w:rFonts w:ascii="Times New Roman" w:cs="Times New Roman" w:eastAsia="Times New Roman" w:hAnsi="Times New Roman"/>
          <w:sz w:val="28"/>
          <w:szCs w:val="28"/>
        </w:rPr>
        <w:t xml:space="preserve">, що дає змогу показувати повідомлення визначеним сегментам аудиторії за демографічними, географічними та поведінковими ознаками [35, с. __];</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ретаргетинг</w:t>
      </w:r>
      <w:r>
        <w:rPr>
          <w:rFonts w:ascii="Times New Roman" w:cs="Times New Roman" w:eastAsia="Times New Roman" w:hAnsi="Times New Roman"/>
          <w:sz w:val="28"/>
          <w:szCs w:val="28"/>
        </w:rPr>
        <w:t xml:space="preserve">, тобто повторний показ реклами користувачам, які вже взаємодіяли з підприємством;</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співпраця з лідерами думок (інфлюенсерами)</w:t>
      </w:r>
      <w:r>
        <w:rPr>
          <w:rFonts w:ascii="Times New Roman" w:cs="Times New Roman" w:eastAsia="Times New Roman" w:hAnsi="Times New Roman"/>
          <w:sz w:val="28"/>
          <w:szCs w:val="28"/>
        </w:rPr>
        <w:t xml:space="preserve">, ефективність якої значною мірою залежить від автентичності та експертності інфлюенсера [36, с. __; 37, p. __];</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стимулювання контенту, створеного користувачами (UGC)</w:t>
      </w:r>
      <w:r>
        <w:rPr>
          <w:rFonts w:ascii="Times New Roman" w:cs="Times New Roman" w:eastAsia="Times New Roman" w:hAnsi="Times New Roman"/>
          <w:sz w:val="28"/>
          <w:szCs w:val="28"/>
        </w:rPr>
        <w:t xml:space="preserve">: відгуків, фото, відео клієнтів [26, p. __].</w:t>
      </w:r>
    </w:p>
    <w:p>
      <w:pPr>
        <w:spacing w:after="0" w:before="0" w:line="360"/>
        <w:ind w:firstLine="709"/>
        <w:jc w:val="both"/>
      </w:pPr>
      <w:r>
        <w:rPr>
          <w:rFonts w:ascii="Times New Roman" w:cs="Times New Roman" w:eastAsia="Times New Roman" w:hAnsi="Times New Roman"/>
          <w:b/>
          <w:bCs/>
          <w:sz w:val="28"/>
          <w:szCs w:val="28"/>
        </w:rPr>
        <w:t xml:space="preserve">6. Бюджетування.</w:t>
      </w:r>
      <w:r>
        <w:rPr>
          <w:rFonts w:ascii="Times New Roman" w:cs="Times New Roman" w:eastAsia="Times New Roman" w:hAnsi="Times New Roman"/>
          <w:sz w:val="28"/>
          <w:szCs w:val="28"/>
        </w:rPr>
        <w:t xml:space="preserve"> Для визначення бюджету просування можуть застосовуватися класичні методи формування маркетингового бюджету (табл. 1.6).</w:t>
      </w:r>
    </w:p>
    <w:p>
      <w:pPr>
        <w:spacing w:after="0" w:before="120" w:line="360"/>
        <w:ind w:firstLine="709"/>
      </w:pPr>
      <w:r>
        <w:rPr>
          <w:rFonts w:ascii="Times New Roman" w:cs="Times New Roman" w:eastAsia="Times New Roman" w:hAnsi="Times New Roman"/>
          <w:sz w:val="28"/>
          <w:szCs w:val="28"/>
        </w:rPr>
        <w:t xml:space="preserve">Таблиця 1.6 – Методи формування бюджету маркетингового просування в соціальних мережах</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rPr>
          <w:tblHeader/>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Метод</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Сутність</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Переваги</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Недоліки</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Метод «від можливостей» (залишковий)</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бюджет визначається за залишковим принципом</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простота</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не пов'язаний із цілями; нестабільність</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Відсоток від обсягу продажу</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фіксований % від виручки (поточної або прогнозної)</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простота; зв'язок з фінансовими можливостями</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причина й наслідок переплутані: продажі визначають бюджет, а не навпаки</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Метод конкурентного паритету</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орієнтація на витрати конкурентів</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врахування ринкового контексту</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дані конкурентів часто недоступні; різні цілі</w:t>
            </w:r>
          </w:p>
        </w:tc>
      </w:tr>
      <w:tr>
        <w:trPr>
          <w:tblHeader w:val="false"/>
        </w:trPr>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Метод «цілей і завдань»</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бюджет розраховується від цілей: необхідне охоплення, кількість лідів × прогнозна ціна ліда (CPL)</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прямий зв'язок із цілями; вимірюваність</w:t>
            </w:r>
          </w:p>
        </w:tc>
        <w:tc>
          <w:tcPr>
            <w:tcW w:type="dxa" w:w="23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потребує даних про вартість результатів</w:t>
            </w:r>
          </w:p>
        </w:tc>
      </w:tr>
    </w:tbl>
    <w:p>
      <w:pPr>
        <w:spacing w:after="120" w:before="0" w:line="360"/>
        <w:ind w:firstLine="709"/>
      </w:pPr>
      <w:r>
        <w:rPr>
          <w:rFonts w:ascii="Times New Roman" w:cs="Times New Roman" w:eastAsia="Times New Roman" w:hAnsi="Times New Roman"/>
          <w:sz w:val="24"/>
          <w:szCs w:val="24"/>
        </w:rPr>
        <w:t xml:space="preserve">Систематизовано автором за [6, с. __]</w:t>
      </w:r>
    </w:p>
    <w:p>
      <w:pPr>
        <w:spacing w:after="0" w:before="0" w:line="360"/>
        <w:ind w:firstLine="709"/>
        <w:jc w:val="both"/>
      </w:pPr>
      <w:r>
        <w:rPr>
          <w:rFonts w:ascii="Times New Roman" w:cs="Times New Roman" w:eastAsia="Times New Roman" w:hAnsi="Times New Roman"/>
          <w:sz w:val="28"/>
          <w:szCs w:val="28"/>
        </w:rPr>
        <w:t xml:space="preserve">У контексті соціальних мереж найбільш обґрунтованим вважаємо </w:t>
      </w:r>
      <w:r>
        <w:rPr>
          <w:rFonts w:ascii="Times New Roman" w:cs="Times New Roman" w:eastAsia="Times New Roman" w:hAnsi="Times New Roman"/>
          <w:b/>
          <w:bCs/>
          <w:sz w:val="28"/>
          <w:szCs w:val="28"/>
        </w:rPr>
        <w:t xml:space="preserve">метод «цілей і завдань»</w:t>
      </w:r>
      <w:r>
        <w:rPr>
          <w:rFonts w:ascii="Times New Roman" w:cs="Times New Roman" w:eastAsia="Times New Roman" w:hAnsi="Times New Roman"/>
          <w:sz w:val="28"/>
          <w:szCs w:val="28"/>
        </w:rPr>
        <w:t xml:space="preserve">. Рекламні системи соціальних платформ надають дані про фактичну вартість охоплення, кліків і звернень, що дає змогу розраховувати бюджет «від результату». Для підприємств, які раніше не використовували платне просування, доцільно передбачити тестовий бюджет для отримання власних даних про вартість ліда.</w:t>
      </w:r>
    </w:p>
    <w:p>
      <w:pPr>
        <w:spacing w:after="0" w:before="0" w:line="360"/>
        <w:ind w:firstLine="709"/>
        <w:jc w:val="both"/>
      </w:pPr>
      <w:r>
        <w:rPr>
          <w:rFonts w:ascii="Times New Roman" w:cs="Times New Roman" w:eastAsia="Times New Roman" w:hAnsi="Times New Roman"/>
          <w:b/>
          <w:bCs/>
          <w:sz w:val="28"/>
          <w:szCs w:val="28"/>
        </w:rPr>
        <w:t xml:space="preserve">7. Реалізація.</w:t>
      </w:r>
      <w:r>
        <w:rPr>
          <w:rFonts w:ascii="Times New Roman" w:cs="Times New Roman" w:eastAsia="Times New Roman" w:hAnsi="Times New Roman"/>
          <w:sz w:val="28"/>
          <w:szCs w:val="28"/>
        </w:rPr>
        <w:t xml:space="preserve"> Етап охоплює:</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публікацію контенту відповідно до контент-плану;</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запуск і оптимізацію рекламних кампаній;</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взаємодію з аудиторією;</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передавання звернень у відділ продажу.</w:t>
      </w:r>
    </w:p>
    <w:p>
      <w:pPr>
        <w:spacing w:after="0" w:before="0" w:line="360"/>
        <w:ind w:firstLine="709"/>
        <w:jc w:val="both"/>
      </w:pPr>
      <w:r>
        <w:rPr>
          <w:rFonts w:ascii="Times New Roman" w:cs="Times New Roman" w:eastAsia="Times New Roman" w:hAnsi="Times New Roman"/>
          <w:sz w:val="28"/>
          <w:szCs w:val="28"/>
        </w:rPr>
        <w:t xml:space="preserve">Важливою умовою є інтеграція соціальних мереж з іншими каналами, зокрема з вебсайтом і системою управління взаємовідносинами з клієнтами (CRM). Вона забезпечує відстеження шляху клієнта від першого контакту до покупки [14, с. __]. На значення воронки продажу та узгодження інструментів просування на різних її етапах вказують також А. Голидьбіна та Н. Язвінська [38, с. __].</w:t>
      </w:r>
    </w:p>
    <w:p>
      <w:pPr>
        <w:spacing w:after="0" w:before="0" w:line="360"/>
        <w:ind w:firstLine="709"/>
        <w:jc w:val="both"/>
      </w:pPr>
      <w:r>
        <w:rPr>
          <w:rFonts w:ascii="Times New Roman" w:cs="Times New Roman" w:eastAsia="Times New Roman" w:hAnsi="Times New Roman"/>
          <w:b/>
          <w:bCs/>
          <w:sz w:val="28"/>
          <w:szCs w:val="28"/>
        </w:rPr>
        <w:t xml:space="preserve">8. Контроль та оцінювання.</w:t>
      </w:r>
      <w:r>
        <w:rPr>
          <w:rFonts w:ascii="Times New Roman" w:cs="Times New Roman" w:eastAsia="Times New Roman" w:hAnsi="Times New Roman"/>
          <w:sz w:val="28"/>
          <w:szCs w:val="28"/>
        </w:rPr>
        <w:t xml:space="preserve"> Завершальний етап передбачає:</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регулярний моніторинг показників;</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порівняння фактичних результатів із цільовими KPI;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аналіз причин відхилень;</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коригування стратегії.</w:t>
      </w:r>
    </w:p>
    <w:p>
      <w:pPr>
        <w:spacing w:after="0" w:before="0" w:line="360"/>
        <w:ind w:firstLine="709"/>
        <w:jc w:val="both"/>
      </w:pPr>
      <w:r>
        <w:rPr>
          <w:rFonts w:ascii="Times New Roman" w:cs="Times New Roman" w:eastAsia="Times New Roman" w:hAnsi="Times New Roman"/>
          <w:sz w:val="28"/>
          <w:szCs w:val="28"/>
        </w:rPr>
        <w:t xml:space="preserve">Результати контролю стають вихідними даними для нового циклу аналізу, що забезпечує замкнений, циклічний характер процесу управління. Методичні засади цього етапу розглянуто в підрозділі 1.3.</w:t>
      </w:r>
    </w:p>
    <w:p>
      <w:pPr>
        <w:spacing w:after="0" w:before="0" w:line="360"/>
        <w:ind w:firstLine="709"/>
        <w:jc w:val="both"/>
      </w:pPr>
      <w:r>
        <w:rPr>
          <w:rFonts w:ascii="Times New Roman" w:cs="Times New Roman" w:eastAsia="Times New Roman" w:hAnsi="Times New Roman"/>
          <w:sz w:val="28"/>
          <w:szCs w:val="28"/>
        </w:rPr>
        <w:t xml:space="preserve">Ефективність процесу управління значною мірою залежить від </w:t>
      </w:r>
      <w:r>
        <w:rPr>
          <w:rFonts w:ascii="Times New Roman" w:cs="Times New Roman" w:eastAsia="Times New Roman" w:hAnsi="Times New Roman"/>
          <w:b/>
          <w:bCs/>
          <w:sz w:val="28"/>
          <w:szCs w:val="28"/>
        </w:rPr>
        <w:t xml:space="preserve">організації SMM-діяльності на підприємстві</w:t>
      </w:r>
      <w:r>
        <w:rPr>
          <w:rFonts w:ascii="Times New Roman" w:cs="Times New Roman" w:eastAsia="Times New Roman" w:hAnsi="Times New Roman"/>
          <w:sz w:val="28"/>
          <w:szCs w:val="28"/>
        </w:rPr>
        <w:t xml:space="preserve">. Можливі такі форми:</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власний штатний спеціаліст або відділ (in-house);</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залучення спеціалізованої агенції;</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співпраця з фрилансерами;</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змішана модель.</w:t>
      </w:r>
    </w:p>
    <w:p>
      <w:pPr>
        <w:spacing w:after="0" w:before="0" w:line="360"/>
        <w:ind w:firstLine="709"/>
        <w:jc w:val="both"/>
      </w:pPr>
      <w:r>
        <w:rPr>
          <w:rFonts w:ascii="Times New Roman" w:cs="Times New Roman" w:eastAsia="Times New Roman" w:hAnsi="Times New Roman"/>
          <w:sz w:val="28"/>
          <w:szCs w:val="28"/>
        </w:rPr>
        <w:t xml:space="preserve">Вибір форми визначається обсягом завдань, бюджетом і наявністю компетенцій. Незалежно від обраної форми, підприємство має визначити відповідальну особу, порядок погодження контенту та формат звітності. На важливості формалізації цих процесів наголошують К. Варела-Нейра та співавтори [28, p. __]. С. Бартолоні та К. Анчіллаї, узагальнивши двадцятирічний досвід досліджень SMM, звертають увагу на те, що результати SMM залежать від внутрішніх передумов і ситуаційних чинників діяльності фірми [39, p. __].</w:t>
      </w:r>
    </w:p>
    <w:p>
      <w:pPr>
        <w:spacing w:after="0" w:before="0" w:line="360"/>
        <w:ind w:firstLine="709"/>
        <w:jc w:val="both"/>
      </w:pPr>
      <w:r>
        <w:rPr>
          <w:rFonts w:ascii="Times New Roman" w:cs="Times New Roman" w:eastAsia="Times New Roman" w:hAnsi="Times New Roman"/>
          <w:sz w:val="28"/>
          <w:szCs w:val="28"/>
        </w:rPr>
        <w:t xml:space="preserve">Отже, управління маркетинговим просуванням підприємства в соціальних мережах доцільно розглядати як </w:t>
      </w:r>
      <w:r>
        <w:rPr>
          <w:rFonts w:ascii="Times New Roman" w:cs="Times New Roman" w:eastAsia="Times New Roman" w:hAnsi="Times New Roman"/>
          <w:b/>
          <w:bCs/>
          <w:sz w:val="28"/>
          <w:szCs w:val="28"/>
        </w:rPr>
        <w:t xml:space="preserve">циклічний процес із восьми взаємопов'язаних етапів</w:t>
      </w:r>
      <w:r>
        <w:rPr>
          <w:rFonts w:ascii="Times New Roman" w:cs="Times New Roman" w:eastAsia="Times New Roman" w:hAnsi="Times New Roman"/>
          <w:sz w:val="28"/>
          <w:szCs w:val="28"/>
        </w:rPr>
        <w:t xml:space="preserve">: від аналізу ситуації до контролю та коригування. Його ефективність забезпечується узгодженістю цілей просування із загальними маркетинговими цілями, обґрунтованим вибором платформ, системною контент-стратегією, бюджетуванням «від цілей», інтеграцією з іншими каналами та чіткою організацією SMM-діяльності на підприємстві.</w:t>
      </w:r>
    </w:p>
    <w:p>
      <w:pPr>
        <w:pStyle w:val="Heading2"/>
        <w:spacing w:after="240" w:before="240" w:line="360"/>
        <w:ind w:firstLine="709"/>
      </w:pPr>
      <w:r>
        <w:rPr>
          <w:rFonts w:ascii="Times New Roman" w:cs="Times New Roman" w:eastAsia="Times New Roman" w:hAnsi="Times New Roman"/>
          <w:b/>
          <w:bCs/>
          <w:color w:val="000000"/>
          <w:sz w:val="28"/>
          <w:szCs w:val="28"/>
        </w:rPr>
        <w:t xml:space="preserve">1.3 Методичні засади оцінювання ефективності маркетингового просування підприємства в соціальних мережах</w:t>
      </w:r>
    </w:p>
    <w:p>
      <w:pPr>
        <w:spacing w:after="0" w:before="0" w:line="360"/>
        <w:ind w:firstLine="709"/>
        <w:jc w:val="both"/>
      </w:pPr>
      <w:r>
        <w:rPr>
          <w:rFonts w:ascii="Times New Roman" w:cs="Times New Roman" w:eastAsia="Times New Roman" w:hAnsi="Times New Roman"/>
          <w:sz w:val="28"/>
          <w:szCs w:val="28"/>
        </w:rPr>
        <w:t xml:space="preserve">Оцінювання ефективності є завершальним етапом процесу управління маркетинговим просуванням і водночас джерелом інформації для наступного циклу планування. Попри високу вимірюваність діяльності в соціальних мережах, оцінювання її ефективності залишається однією з найскладніших проблем маркетингового менеджменту. Д. Хоффман та М. Фодор зазначають, що традиційний підхід до розрахунку ROI не завжди придатний для соціальних медіа. Вони пропонують починати оцінювання з мотивів споживачів і вимірювати «інвестиції», які споживачі роблять у взаємодію з брендом [22, p. __]. Б. Кіган і Дж. Раулі за результатами інтерв'ю з фахівцями SMM-агенцій виокремлюють дві ключові проблеми оцінювання: взаємовідносини агенції та клієнта і обмеженість аналітичних інструментів [40, p. __].</w:t>
      </w:r>
    </w:p>
    <w:p>
      <w:pPr>
        <w:spacing w:after="0" w:before="0" w:line="360"/>
        <w:ind w:firstLine="709"/>
        <w:jc w:val="both"/>
      </w:pPr>
      <w:r>
        <w:rPr>
          <w:rFonts w:ascii="Times New Roman" w:cs="Times New Roman" w:eastAsia="Times New Roman" w:hAnsi="Times New Roman"/>
          <w:sz w:val="28"/>
          <w:szCs w:val="28"/>
        </w:rPr>
        <w:t xml:space="preserve">Аналіз наукових праць дає змогу виокремити кілька підходів до оцінювання ефективності просування в соціальних мережах.</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Комунікаційний підхід</w:t>
      </w:r>
      <w:r>
        <w:rPr>
          <w:rFonts w:ascii="Times New Roman" w:cs="Times New Roman" w:eastAsia="Times New Roman" w:hAnsi="Times New Roman"/>
          <w:sz w:val="28"/>
          <w:szCs w:val="28"/>
        </w:rPr>
        <w:t xml:space="preserve"> зосереджується на показниках охоплення, залученості та сприйняття бренду. А. Мостова, зокрема, досліджувала рівень залученості підписників брендових сторінок у різних галузях [41, с. __].</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Економічний підхід</w:t>
      </w:r>
      <w:r>
        <w:rPr>
          <w:rFonts w:ascii="Times New Roman" w:cs="Times New Roman" w:eastAsia="Times New Roman" w:hAnsi="Times New Roman"/>
          <w:sz w:val="28"/>
          <w:szCs w:val="28"/>
        </w:rPr>
        <w:t xml:space="preserve"> орієнтується на фінансові результати та окупність витрат: ROMI, вартість залучення клієнта [42, с. __].</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Інтегрований підхід</w:t>
      </w:r>
      <w:r>
        <w:rPr>
          <w:rFonts w:ascii="Times New Roman" w:cs="Times New Roman" w:eastAsia="Times New Roman" w:hAnsi="Times New Roman"/>
          <w:sz w:val="28"/>
          <w:szCs w:val="28"/>
        </w:rPr>
        <w:t xml:space="preserve"> поєднує обидві групи показників. К. Петерс та співавтори запропонували цілісну рамку метрик соціальних медіа, яка охоплює мотиви, контент, структуру мережі, соціальні ролі та взаємодії. Автори сформулювали дев'ять настанов щодо побудови системи показників і управлінської панелі (dashboard) [43, p. __]. В. Кумар і співавтори на прикладі компанії Hokey Pokey розробили методику, що дає змогу вимірювати як фінансову віддачу від SMM, так і цінність «сарафанного радіо» [44, p. __].</w:t>
      </w:r>
    </w:p>
    <w:p>
      <w:pPr>
        <w:spacing w:after="0" w:before="0" w:line="360"/>
        <w:ind w:firstLine="709"/>
        <w:jc w:val="both"/>
      </w:pPr>
      <w:r>
        <w:rPr>
          <w:rFonts w:ascii="Times New Roman" w:cs="Times New Roman" w:eastAsia="Times New Roman" w:hAnsi="Times New Roman"/>
          <w:sz w:val="28"/>
          <w:szCs w:val="28"/>
        </w:rPr>
        <w:t xml:space="preserve">На нашу думку, оцінювання ефективності маркетингового просування в соціальних мережах має ґрунтуватися на </w:t>
      </w:r>
      <w:r>
        <w:rPr>
          <w:rFonts w:ascii="Times New Roman" w:cs="Times New Roman" w:eastAsia="Times New Roman" w:hAnsi="Times New Roman"/>
          <w:b/>
          <w:bCs/>
          <w:sz w:val="28"/>
          <w:szCs w:val="28"/>
        </w:rPr>
        <w:t xml:space="preserve">інтегрованому підході</w:t>
      </w:r>
      <w:r>
        <w:rPr>
          <w:rFonts w:ascii="Times New Roman" w:cs="Times New Roman" w:eastAsia="Times New Roman" w:hAnsi="Times New Roman"/>
          <w:sz w:val="28"/>
          <w:szCs w:val="28"/>
        </w:rPr>
        <w:t xml:space="preserve">. Систему показників доцільно будувати відповідно до етапів шляху споживача: охоплення → залучення → конверсія → утримання. На кожному етапі просування виконує різні завдання, тож показники одного рівня не можуть замінити показники іншого. Наприклад, висока залученість без звернень і продажів свідчить про комунікаційну, але не економічну ефективність. Запропоновану систему показників наведено в табл. 1.7.</w:t>
      </w:r>
    </w:p>
    <w:p>
      <w:pPr>
        <w:spacing w:after="0" w:before="120" w:line="360"/>
        <w:ind w:firstLine="709"/>
      </w:pPr>
      <w:r>
        <w:rPr>
          <w:rFonts w:ascii="Times New Roman" w:cs="Times New Roman" w:eastAsia="Times New Roman" w:hAnsi="Times New Roman"/>
          <w:sz w:val="28"/>
          <w:szCs w:val="28"/>
        </w:rPr>
        <w:t xml:space="preserve">Таблиця 1.7 – Система показників оцінювання ефективності маркетингового просування підприємства в соціальних мережах</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20"/>
      </w:tblGrid>
      <w:tr>
        <w:trPr>
          <w:tblHeader/>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Група показників</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Показник</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Що характеризує</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1. Охоплення та видимість</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Охоплення (Reach)</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кількість унікальних користувачів, які побачили контент</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Покази (Impressions)</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загальна кількість показів контенту</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Приріст підписників</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динаміка аудиторії акаунта</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CPM</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вартість 1000 показів реклами</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2. Залучення</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ER (за підписниками / за охопленням)</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рівень взаємодії аудиторії з контентом</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Збереження, поширення, коментарі</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глибину інтересу до контенту</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Перегляди відео / утримання перегляду</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привабливість відеоконтенту</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3. Трафік і конверсія</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CTR</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частку користувачів, які перейшли за посиланням</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CPC</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вартість переходу</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Кількість звернень (лідів)</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результативність генерування попиту</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CPL</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вартість одного звернення</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CR (коефіцієнт конверсії)</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частку переходів/звернень, що перетворилися на цільову дію або покупку</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4. Економічні</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CAC</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вартість залучення одного клієнта</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ROMI</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окупність маркетингових інвестицій</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5. Якість аудиторії та комунікації</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частка цільової аудиторії серед підписників; тональність згадок і відгуків; швидкість відповіді на звернення</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відповідність аудиторії цілям і якість взаємодії</w:t>
            </w:r>
          </w:p>
        </w:tc>
      </w:tr>
    </w:tbl>
    <w:p>
      <w:pPr>
        <w:spacing w:after="120" w:before="0" w:line="360"/>
        <w:ind w:firstLine="709"/>
      </w:pPr>
      <w:r>
        <w:rPr>
          <w:rFonts w:ascii="Times New Roman" w:cs="Times New Roman" w:eastAsia="Times New Roman" w:hAnsi="Times New Roman"/>
          <w:sz w:val="24"/>
          <w:szCs w:val="24"/>
        </w:rPr>
        <w:t xml:space="preserve">Систематизовано автором за [8; 41; 43; 45]</w:t>
      </w:r>
    </w:p>
    <w:p>
      <w:pPr>
        <w:spacing w:after="0" w:before="0" w:line="360"/>
        <w:ind w:firstLine="709"/>
        <w:jc w:val="both"/>
      </w:pPr>
      <w:r>
        <w:rPr>
          <w:rFonts w:ascii="Times New Roman" w:cs="Times New Roman" w:eastAsia="Times New Roman" w:hAnsi="Times New Roman"/>
          <w:sz w:val="28"/>
          <w:szCs w:val="28"/>
        </w:rPr>
        <w:t xml:space="preserve">Розглянемо порядок розрахунку основних показників [45, p. __]:</w:t>
      </w:r>
    </w:p>
    <w:p>
      <w:pPr>
        <w:spacing w:after="0" w:before="0" w:line="360"/>
        <w:ind w:firstLine="709"/>
        <w:jc w:val="both"/>
      </w:pPr>
      <w:r>
        <w:rPr>
          <w:rFonts w:ascii="Times New Roman" w:cs="Times New Roman" w:eastAsia="Times New Roman" w:hAnsi="Times New Roman"/>
          <w:b/>
          <w:bCs/>
          <w:sz w:val="28"/>
          <w:szCs w:val="28"/>
        </w:rPr>
        <w:t xml:space="preserve">Коефіцієнт залученості за кількістю підписників:</w:t>
      </w:r>
    </w:p>
    <w:p>
      <w:pPr>
        <w:spacing w:after="0" w:before="0" w:line="360"/>
        <w:ind w:firstLine="709"/>
        <w:jc w:val="both"/>
      </w:pPr>
      <w:r>
        <w:rPr>
          <w:rFonts w:ascii="Times New Roman" w:cs="Times New Roman" w:eastAsia="Times New Roman" w:hAnsi="Times New Roman"/>
          <w:sz w:val="28"/>
          <w:szCs w:val="28"/>
        </w:rPr>
        <w:t xml:space="preserve">ER = (L + C + S + Sv) / F × 100 %,  (1.1)</w:t>
      </w:r>
    </w:p>
    <w:p>
      <w:pPr>
        <w:spacing w:after="0" w:before="0" w:line="360"/>
        <w:ind w:firstLine="709"/>
        <w:jc w:val="both"/>
      </w:pPr>
      <w:r>
        <w:rPr>
          <w:rFonts w:ascii="Times New Roman" w:cs="Times New Roman" w:eastAsia="Times New Roman" w:hAnsi="Times New Roman"/>
          <w:sz w:val="28"/>
          <w:szCs w:val="28"/>
        </w:rPr>
        <w:t xml:space="preserve">де L — кількість вподобань; C — кількість коментарів; S — кількість поширень; Sv — кількість збережень; F — кількість підписників акаунта.</w:t>
      </w:r>
    </w:p>
    <w:p>
      <w:pPr>
        <w:spacing w:after="0" w:before="0" w:line="360"/>
        <w:ind w:firstLine="709"/>
        <w:jc w:val="both"/>
      </w:pPr>
      <w:r>
        <w:rPr>
          <w:rFonts w:ascii="Times New Roman" w:cs="Times New Roman" w:eastAsia="Times New Roman" w:hAnsi="Times New Roman"/>
          <w:b/>
          <w:bCs/>
          <w:sz w:val="28"/>
          <w:szCs w:val="28"/>
        </w:rPr>
        <w:t xml:space="preserve">Коефіцієнт залученості за охопленням</w:t>
      </w:r>
      <w:r>
        <w:rPr>
          <w:rFonts w:ascii="Times New Roman" w:cs="Times New Roman" w:eastAsia="Times New Roman" w:hAnsi="Times New Roman"/>
          <w:sz w:val="28"/>
          <w:szCs w:val="28"/>
        </w:rPr>
        <w:t xml:space="preserve">, що точніше відображає реакцію тих, хто фактично побачив публікацію:</w:t>
      </w:r>
    </w:p>
    <w:p>
      <w:pPr>
        <w:spacing w:after="0" w:before="0" w:line="360"/>
        <w:ind w:firstLine="709"/>
        <w:jc w:val="both"/>
      </w:pPr>
      <w:r>
        <w:rPr>
          <w:rFonts w:ascii="Times New Roman" w:cs="Times New Roman" w:eastAsia="Times New Roman" w:hAnsi="Times New Roman"/>
          <w:sz w:val="28"/>
          <w:szCs w:val="28"/>
        </w:rPr>
        <w:t xml:space="preserve">ERR = (L + C + S + Sv) / R × 100 %,  (1.2)</w:t>
      </w:r>
    </w:p>
    <w:p>
      <w:pPr>
        <w:spacing w:after="0" w:before="0" w:line="360"/>
        <w:ind w:firstLine="709"/>
        <w:jc w:val="both"/>
      </w:pPr>
      <w:r>
        <w:rPr>
          <w:rFonts w:ascii="Times New Roman" w:cs="Times New Roman" w:eastAsia="Times New Roman" w:hAnsi="Times New Roman"/>
          <w:sz w:val="28"/>
          <w:szCs w:val="28"/>
        </w:rPr>
        <w:t xml:space="preserve">де R — охоплення публікації.</w:t>
      </w:r>
    </w:p>
    <w:p>
      <w:pPr>
        <w:shd w:fill="FFF4CC" w:color="auto" w:val="clear"/>
        <w:spacing w:after="60" w:before="0" w:line="276"/>
        <w:ind w:left="170"/>
      </w:pPr>
      <w:r>
        <w:rPr>
          <w:rFonts w:ascii="Times New Roman" w:cs="Times New Roman" w:eastAsia="Times New Roman" w:hAnsi="Times New Roman"/>
          <w:i/>
          <w:iCs/>
          <w:color w:val="7A4B00"/>
          <w:sz w:val="22"/>
          <w:szCs w:val="22"/>
        </w:rPr>
        <w:t xml:space="preserve">[Примітка: для конкурентів доступні лише публічні дані (лайки та коментарі), тому для них ER розраховується спрощено: (L + C) / F × 100 %. Зазначте це в розділі 2.]</w:t>
      </w:r>
    </w:p>
    <w:p>
      <w:pPr>
        <w:spacing w:after="0" w:before="0" w:line="360"/>
        <w:ind w:firstLine="709"/>
        <w:jc w:val="both"/>
      </w:pPr>
      <w:r>
        <w:rPr>
          <w:rFonts w:ascii="Times New Roman" w:cs="Times New Roman" w:eastAsia="Times New Roman" w:hAnsi="Times New Roman"/>
          <w:b/>
          <w:bCs/>
          <w:sz w:val="28"/>
          <w:szCs w:val="28"/>
        </w:rPr>
        <w:t xml:space="preserve">Показник клікабельності:</w:t>
      </w:r>
    </w:p>
    <w:p>
      <w:pPr>
        <w:spacing w:after="0" w:before="0" w:line="360"/>
        <w:ind w:firstLine="709"/>
        <w:jc w:val="both"/>
      </w:pPr>
      <w:r>
        <w:rPr>
          <w:rFonts w:ascii="Times New Roman" w:cs="Times New Roman" w:eastAsia="Times New Roman" w:hAnsi="Times New Roman"/>
          <w:sz w:val="28"/>
          <w:szCs w:val="28"/>
        </w:rPr>
        <w:t xml:space="preserve">CTR = Clk / I × 100 %,  (1.3)</w:t>
      </w:r>
    </w:p>
    <w:p>
      <w:pPr>
        <w:spacing w:after="0" w:before="0" w:line="360"/>
        <w:ind w:firstLine="709"/>
        <w:jc w:val="both"/>
      </w:pPr>
      <w:r>
        <w:rPr>
          <w:rFonts w:ascii="Times New Roman" w:cs="Times New Roman" w:eastAsia="Times New Roman" w:hAnsi="Times New Roman"/>
          <w:sz w:val="28"/>
          <w:szCs w:val="28"/>
        </w:rPr>
        <w:t xml:space="preserve">де Clk — кількість кліків; I — кількість показів.</w:t>
      </w:r>
    </w:p>
    <w:p>
      <w:pPr>
        <w:spacing w:after="0" w:before="0" w:line="360"/>
        <w:ind w:firstLine="709"/>
        <w:jc w:val="both"/>
      </w:pPr>
      <w:r>
        <w:rPr>
          <w:rFonts w:ascii="Times New Roman" w:cs="Times New Roman" w:eastAsia="Times New Roman" w:hAnsi="Times New Roman"/>
          <w:b/>
          <w:bCs/>
          <w:sz w:val="28"/>
          <w:szCs w:val="28"/>
        </w:rPr>
        <w:t xml:space="preserve">Вартість кліку:</w:t>
      </w:r>
    </w:p>
    <w:p>
      <w:pPr>
        <w:spacing w:after="0" w:before="0" w:line="360"/>
        <w:ind w:firstLine="709"/>
        <w:jc w:val="both"/>
      </w:pPr>
      <w:r>
        <w:rPr>
          <w:rFonts w:ascii="Times New Roman" w:cs="Times New Roman" w:eastAsia="Times New Roman" w:hAnsi="Times New Roman"/>
          <w:sz w:val="28"/>
          <w:szCs w:val="28"/>
        </w:rPr>
        <w:t xml:space="preserve">CPC = B / Clk,  (1.4)</w:t>
      </w:r>
    </w:p>
    <w:p>
      <w:pPr>
        <w:spacing w:after="0" w:before="0" w:line="360"/>
        <w:ind w:firstLine="709"/>
        <w:jc w:val="both"/>
      </w:pPr>
      <w:r>
        <w:rPr>
          <w:rFonts w:ascii="Times New Roman" w:cs="Times New Roman" w:eastAsia="Times New Roman" w:hAnsi="Times New Roman"/>
          <w:sz w:val="28"/>
          <w:szCs w:val="28"/>
        </w:rPr>
        <w:t xml:space="preserve">де B — витрати на рекламу, грн.</w:t>
      </w:r>
    </w:p>
    <w:p>
      <w:pPr>
        <w:spacing w:after="0" w:before="0" w:line="360"/>
        <w:ind w:firstLine="709"/>
        <w:jc w:val="both"/>
      </w:pPr>
      <w:r>
        <w:rPr>
          <w:rFonts w:ascii="Times New Roman" w:cs="Times New Roman" w:eastAsia="Times New Roman" w:hAnsi="Times New Roman"/>
          <w:b/>
          <w:bCs/>
          <w:sz w:val="28"/>
          <w:szCs w:val="28"/>
        </w:rPr>
        <w:t xml:space="preserve">Вартість тисячі показів:</w:t>
      </w:r>
    </w:p>
    <w:p>
      <w:pPr>
        <w:spacing w:after="0" w:before="0" w:line="360"/>
        <w:ind w:firstLine="709"/>
        <w:jc w:val="both"/>
      </w:pPr>
      <w:r>
        <w:rPr>
          <w:rFonts w:ascii="Times New Roman" w:cs="Times New Roman" w:eastAsia="Times New Roman" w:hAnsi="Times New Roman"/>
          <w:sz w:val="28"/>
          <w:szCs w:val="28"/>
        </w:rPr>
        <w:t xml:space="preserve">CPM = B / I × 1000,  (1.5)</w:t>
      </w:r>
    </w:p>
    <w:p>
      <w:pPr>
        <w:spacing w:after="0" w:before="0" w:line="360"/>
        <w:ind w:firstLine="709"/>
        <w:jc w:val="both"/>
      </w:pPr>
      <w:r>
        <w:rPr>
          <w:rFonts w:ascii="Times New Roman" w:cs="Times New Roman" w:eastAsia="Times New Roman" w:hAnsi="Times New Roman"/>
          <w:b/>
          <w:bCs/>
          <w:sz w:val="28"/>
          <w:szCs w:val="28"/>
        </w:rPr>
        <w:t xml:space="preserve">Вартість одного звернення (ліда):</w:t>
      </w:r>
    </w:p>
    <w:p>
      <w:pPr>
        <w:spacing w:after="0" w:before="0" w:line="360"/>
        <w:ind w:firstLine="709"/>
        <w:jc w:val="both"/>
      </w:pPr>
      <w:r>
        <w:rPr>
          <w:rFonts w:ascii="Times New Roman" w:cs="Times New Roman" w:eastAsia="Times New Roman" w:hAnsi="Times New Roman"/>
          <w:sz w:val="28"/>
          <w:szCs w:val="28"/>
        </w:rPr>
        <w:t xml:space="preserve">CPL = B / Ld,  (1.6)</w:t>
      </w:r>
    </w:p>
    <w:p>
      <w:pPr>
        <w:spacing w:after="0" w:before="0" w:line="360"/>
        <w:ind w:firstLine="709"/>
        <w:jc w:val="both"/>
      </w:pPr>
      <w:r>
        <w:rPr>
          <w:rFonts w:ascii="Times New Roman" w:cs="Times New Roman" w:eastAsia="Times New Roman" w:hAnsi="Times New Roman"/>
          <w:sz w:val="28"/>
          <w:szCs w:val="28"/>
        </w:rPr>
        <w:t xml:space="preserve">де Ld — кількість отриманих звернень.</w:t>
      </w:r>
    </w:p>
    <w:p>
      <w:pPr>
        <w:spacing w:after="0" w:before="0" w:line="360"/>
        <w:ind w:firstLine="709"/>
        <w:jc w:val="both"/>
      </w:pPr>
      <w:r>
        <w:rPr>
          <w:rFonts w:ascii="Times New Roman" w:cs="Times New Roman" w:eastAsia="Times New Roman" w:hAnsi="Times New Roman"/>
          <w:b/>
          <w:bCs/>
          <w:sz w:val="28"/>
          <w:szCs w:val="28"/>
        </w:rPr>
        <w:t xml:space="preserve">Коефіцієнт конверсії:</w:t>
      </w:r>
    </w:p>
    <w:p>
      <w:pPr>
        <w:spacing w:after="0" w:before="0" w:line="360"/>
        <w:ind w:firstLine="709"/>
        <w:jc w:val="both"/>
      </w:pPr>
      <w:r>
        <w:rPr>
          <w:rFonts w:ascii="Times New Roman" w:cs="Times New Roman" w:eastAsia="Times New Roman" w:hAnsi="Times New Roman"/>
          <w:sz w:val="28"/>
          <w:szCs w:val="28"/>
        </w:rPr>
        <w:t xml:space="preserve">CR = Cv / Ld × 100 %,  (1.7)</w:t>
      </w:r>
    </w:p>
    <w:p>
      <w:pPr>
        <w:spacing w:after="0" w:before="0" w:line="360"/>
        <w:ind w:firstLine="709"/>
        <w:jc w:val="both"/>
      </w:pPr>
      <w:r>
        <w:rPr>
          <w:rFonts w:ascii="Times New Roman" w:cs="Times New Roman" w:eastAsia="Times New Roman" w:hAnsi="Times New Roman"/>
          <w:sz w:val="28"/>
          <w:szCs w:val="28"/>
        </w:rPr>
        <w:t xml:space="preserve">де Cv — кількість звернень, що завершилися покупкою (укладенням договору).</w:t>
      </w:r>
    </w:p>
    <w:p>
      <w:pPr>
        <w:spacing w:after="0" w:before="0" w:line="360"/>
        <w:ind w:firstLine="709"/>
        <w:jc w:val="both"/>
      </w:pPr>
      <w:r>
        <w:rPr>
          <w:rFonts w:ascii="Times New Roman" w:cs="Times New Roman" w:eastAsia="Times New Roman" w:hAnsi="Times New Roman"/>
          <w:b/>
          <w:bCs/>
          <w:sz w:val="28"/>
          <w:szCs w:val="28"/>
        </w:rPr>
        <w:t xml:space="preserve">Вартість залучення клієнта:</w:t>
      </w:r>
    </w:p>
    <w:p>
      <w:pPr>
        <w:spacing w:after="0" w:before="0" w:line="360"/>
        <w:ind w:firstLine="709"/>
        <w:jc w:val="both"/>
      </w:pPr>
      <w:r>
        <w:rPr>
          <w:rFonts w:ascii="Times New Roman" w:cs="Times New Roman" w:eastAsia="Times New Roman" w:hAnsi="Times New Roman"/>
          <w:sz w:val="28"/>
          <w:szCs w:val="28"/>
        </w:rPr>
        <w:t xml:space="preserve">CAC = Bm / N,  (1.8)</w:t>
      </w:r>
    </w:p>
    <w:p>
      <w:pPr>
        <w:spacing w:after="0" w:before="0" w:line="360"/>
        <w:ind w:firstLine="709"/>
        <w:jc w:val="both"/>
      </w:pPr>
      <w:r>
        <w:rPr>
          <w:rFonts w:ascii="Times New Roman" w:cs="Times New Roman" w:eastAsia="Times New Roman" w:hAnsi="Times New Roman"/>
          <w:sz w:val="28"/>
          <w:szCs w:val="28"/>
        </w:rPr>
        <w:t xml:space="preserve">де Bm — сукупні витрати на просування за період (реклама, контент, оплата праці SMM-фахівця тощо); N — кількість нових клієнтів, залучених через соціальні мережі.</w:t>
      </w:r>
    </w:p>
    <w:p>
      <w:pPr>
        <w:spacing w:after="0" w:before="0" w:line="360"/>
        <w:ind w:firstLine="709"/>
        <w:jc w:val="both"/>
      </w:pPr>
      <w:r>
        <w:rPr>
          <w:rFonts w:ascii="Times New Roman" w:cs="Times New Roman" w:eastAsia="Times New Roman" w:hAnsi="Times New Roman"/>
          <w:b/>
          <w:bCs/>
          <w:sz w:val="28"/>
          <w:szCs w:val="28"/>
        </w:rPr>
        <w:t xml:space="preserve">Окупність маркетингових інвестицій:</w:t>
      </w:r>
    </w:p>
    <w:p>
      <w:pPr>
        <w:spacing w:after="0" w:before="0" w:line="360"/>
        <w:ind w:firstLine="709"/>
        <w:jc w:val="both"/>
      </w:pPr>
      <w:r>
        <w:rPr>
          <w:rFonts w:ascii="Times New Roman" w:cs="Times New Roman" w:eastAsia="Times New Roman" w:hAnsi="Times New Roman"/>
          <w:sz w:val="28"/>
          <w:szCs w:val="28"/>
        </w:rPr>
        <w:t xml:space="preserve">ROMI = (GP − Bm) / Bm × 100 %,  (1.9)</w:t>
      </w:r>
    </w:p>
    <w:p>
      <w:pPr>
        <w:spacing w:after="0" w:before="0" w:line="360"/>
        <w:ind w:firstLine="709"/>
        <w:jc w:val="both"/>
      </w:pPr>
      <w:r>
        <w:rPr>
          <w:rFonts w:ascii="Times New Roman" w:cs="Times New Roman" w:eastAsia="Times New Roman" w:hAnsi="Times New Roman"/>
          <w:sz w:val="28"/>
          <w:szCs w:val="28"/>
        </w:rPr>
        <w:t xml:space="preserve">де GP — валовий прибуток (маржинальний дохід) від продажу, отриманих завдяки просуванню, грн.</w:t>
      </w:r>
    </w:p>
    <w:p>
      <w:pPr>
        <w:spacing w:after="0" w:before="0" w:line="360"/>
        <w:ind w:firstLine="709"/>
        <w:jc w:val="both"/>
      </w:pPr>
      <w:r>
        <w:rPr>
          <w:rFonts w:ascii="Times New Roman" w:cs="Times New Roman" w:eastAsia="Times New Roman" w:hAnsi="Times New Roman"/>
          <w:sz w:val="28"/>
          <w:szCs w:val="28"/>
        </w:rPr>
        <w:t xml:space="preserve">Важливо підкреслити, що для розрахунку ROMI коректніше використовувати саме </w:t>
      </w:r>
      <w:r>
        <w:rPr>
          <w:rFonts w:ascii="Times New Roman" w:cs="Times New Roman" w:eastAsia="Times New Roman" w:hAnsi="Times New Roman"/>
          <w:b/>
          <w:bCs/>
          <w:sz w:val="28"/>
          <w:szCs w:val="28"/>
        </w:rPr>
        <w:t xml:space="preserve">валовий прибуток (маржу)</w:t>
      </w:r>
      <w:r>
        <w:rPr>
          <w:rFonts w:ascii="Times New Roman" w:cs="Times New Roman" w:eastAsia="Times New Roman" w:hAnsi="Times New Roman"/>
          <w:sz w:val="28"/>
          <w:szCs w:val="28"/>
        </w:rPr>
        <w:t xml:space="preserve">, а не виручку. Розрахунок за виручкою завищує окупність, бо не враховує собівартості проданої продукції. Для підприємств з високою середньою вартістю замовлення та тривалим циклом ухвалення рішення про покупку, зокрема для виробників продукції під індивідуальне замовлення, CAC і ROMI доцільно розраховувати за триваліший період, наприклад за рік. Причина в тому, що звернення, отримане через соціальні мережі, може перетворитися на договір через кілька місяців.</w:t>
      </w:r>
    </w:p>
    <w:p>
      <w:pPr>
        <w:shd w:fill="FFF4CC" w:color="auto" w:val="clear"/>
        <w:spacing w:after="60" w:before="0" w:line="276"/>
        <w:ind w:left="170"/>
      </w:pPr>
      <w:r>
        <w:rPr>
          <w:rFonts w:ascii="Times New Roman" w:cs="Times New Roman" w:eastAsia="Times New Roman" w:hAnsi="Times New Roman"/>
          <w:i/>
          <w:iCs/>
          <w:color w:val="7A4B00"/>
          <w:sz w:val="22"/>
          <w:szCs w:val="22"/>
        </w:rPr>
        <w:t xml:space="preserve">[Примітка: це прямо стосується «Гран-Прем'єр», де середня вартість проєкту ≈344 тис. грн. Згадайте про це в 3.3.]</w:t>
      </w:r>
    </w:p>
    <w:p>
      <w:pPr>
        <w:spacing w:after="0" w:before="0" w:line="360"/>
        <w:ind w:firstLine="709"/>
        <w:jc w:val="both"/>
      </w:pPr>
      <w:r>
        <w:rPr>
          <w:rFonts w:ascii="Times New Roman" w:cs="Times New Roman" w:eastAsia="Times New Roman" w:hAnsi="Times New Roman"/>
          <w:sz w:val="28"/>
          <w:szCs w:val="28"/>
        </w:rPr>
        <w:t xml:space="preserve">Окрім системи показників, оцінювання ефективності потребує застосування </w:t>
      </w:r>
      <w:r>
        <w:rPr>
          <w:rFonts w:ascii="Times New Roman" w:cs="Times New Roman" w:eastAsia="Times New Roman" w:hAnsi="Times New Roman"/>
          <w:b/>
          <w:bCs/>
          <w:sz w:val="28"/>
          <w:szCs w:val="28"/>
        </w:rPr>
        <w:t xml:space="preserve">методів аналізу</w:t>
      </w:r>
      <w:r>
        <w:rPr>
          <w:rFonts w:ascii="Times New Roman" w:cs="Times New Roman" w:eastAsia="Times New Roman" w:hAnsi="Times New Roman"/>
          <w:sz w:val="28"/>
          <w:szCs w:val="28"/>
        </w:rPr>
        <w:t xml:space="preserve">, що дають змогу інтерпретувати отримані значення (табл. 1.8). Методологічну основу дослідження становлять загальнонаукові та спеціальні методи маркетингових досліджень [46, с. __].</w:t>
      </w:r>
    </w:p>
    <w:p>
      <w:pPr>
        <w:spacing w:after="0" w:before="120" w:line="360"/>
        <w:ind w:firstLine="709"/>
      </w:pPr>
      <w:r>
        <w:rPr>
          <w:rFonts w:ascii="Times New Roman" w:cs="Times New Roman" w:eastAsia="Times New Roman" w:hAnsi="Times New Roman"/>
          <w:sz w:val="28"/>
          <w:szCs w:val="28"/>
        </w:rPr>
        <w:t xml:space="preserve">Таблиця 1.8 – Методи оцінювання ефективності маркетингового просування в соціальних мережах</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20"/>
      </w:tblGrid>
      <w:tr>
        <w:trPr>
          <w:tblHeader/>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Метод</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Сутність</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Результат застосування</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Аналіз динаміки показників</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порівняння показників за періодами (місяці, квартали, роки)</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тенденції розвитку акаунтів і результатів просування</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Бенчмаркінг (конкурентний аналіз)</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порівняння показників підприємства з показниками конкурентів за однаковою методикою: аудиторія, частота публікацій, ER, формати, наявність реклами</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позиція підприємства відносно конкурентів; кращі практики</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Контент-аналіз</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класифікація публікацій за рубриками, форматами, темами з оцінюванням реакції аудиторії на кожну групу</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ефективні та неефективні типи контенту</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Аналіз воронки</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розрахунок конверсії між етапами: охоплення → переходи → звернення → продажі</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«вузькі місця», на яких втрачаються потенційні клієнти</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Порівняльний аналіз каналів</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зіставлення CPL, CAC, ROMI різних каналів залучення клієнтів (соцмережі, сайт, рекомендації тощо)</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внесок соцмереж у залучення клієнтів; обґрунтування перерозподілу бюджету</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SWOT-аналіз</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систематизація сильних і слабких сторін просування, можливостей і загроз</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стратегічні напрями вдосконалення</w:t>
            </w:r>
          </w:p>
        </w:tc>
      </w:tr>
      <w:tr>
        <w:trPr>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Експертні методи (інтерв'ю, опитування)</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отримання якісної інформації від маркетологів, менеджерів, клієнтів</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причини виявлених проблем; дані, відсутні в аналітиці</w:t>
            </w:r>
          </w:p>
        </w:tc>
      </w:tr>
    </w:tbl>
    <w:p>
      <w:pPr>
        <w:spacing w:after="120" w:before="0" w:line="360"/>
        <w:ind w:firstLine="709"/>
      </w:pPr>
      <w:r>
        <w:rPr>
          <w:rFonts w:ascii="Times New Roman" w:cs="Times New Roman" w:eastAsia="Times New Roman" w:hAnsi="Times New Roman"/>
          <w:sz w:val="24"/>
          <w:szCs w:val="24"/>
        </w:rPr>
        <w:t xml:space="preserve">Систематизовано автором за [40; 41; 42; 46; 47]</w:t>
      </w:r>
    </w:p>
    <w:p>
      <w:pPr>
        <w:spacing w:after="0" w:before="0" w:line="360"/>
        <w:ind w:firstLine="709"/>
        <w:jc w:val="both"/>
      </w:pPr>
      <w:r>
        <w:rPr>
          <w:rFonts w:ascii="Times New Roman" w:cs="Times New Roman" w:eastAsia="Times New Roman" w:hAnsi="Times New Roman"/>
          <w:sz w:val="28"/>
          <w:szCs w:val="28"/>
        </w:rPr>
        <w:t xml:space="preserve">Для оцінювання ефективності окремих рекламних інструментів у соціальних мережах вітчизняні дослідники пропонують спеціалізовані моделі. О. Роїк та В. Овсяк, зокрема, аналізують чинники, що впливають на ефективність рекламних кампаній у Facebook [47, с. __]. О. Левицька та співавтори розглядають підходи до оцінювання ефективності рекламних витрат підприємств [42, с. __].</w:t>
      </w:r>
    </w:p>
    <w:p>
      <w:pPr>
        <w:spacing w:after="0" w:before="0" w:line="360"/>
        <w:ind w:firstLine="709"/>
        <w:jc w:val="both"/>
      </w:pPr>
      <w:r>
        <w:rPr>
          <w:rFonts w:ascii="Times New Roman" w:cs="Times New Roman" w:eastAsia="Times New Roman" w:hAnsi="Times New Roman"/>
          <w:sz w:val="28"/>
          <w:szCs w:val="28"/>
        </w:rPr>
        <w:t xml:space="preserve">На основі узагальнення розглянутих підходів, а також моделі оцінювання SMM Б. Кігана і Дж. Раулі, яка включає встановлення цілей оцінювання, визначення KPI, вибір метрик, збирання та аналіз даних, підготовку звітності й ухвалення управлінських рішень [40, p. __], запропоновано </w:t>
      </w:r>
      <w:r>
        <w:rPr>
          <w:rFonts w:ascii="Times New Roman" w:cs="Times New Roman" w:eastAsia="Times New Roman" w:hAnsi="Times New Roman"/>
          <w:b/>
          <w:bCs/>
          <w:sz w:val="28"/>
          <w:szCs w:val="28"/>
        </w:rPr>
        <w:t xml:space="preserve">методичний підхід до оцінювання ефективності маркетингового просування підприємства в соціальних мережах</w:t>
      </w:r>
      <w:r>
        <w:rPr>
          <w:rFonts w:ascii="Times New Roman" w:cs="Times New Roman" w:eastAsia="Times New Roman" w:hAnsi="Times New Roman"/>
          <w:sz w:val="28"/>
          <w:szCs w:val="28"/>
        </w:rPr>
        <w:t xml:space="preserve"> (рис. 1.4).</w:t>
      </w:r>
    </w:p>
    <w:p>
      <w:pPr>
        <w:spacing w:after="0" w:before="120" w:line="360"/>
        <w:jc w:val="center"/>
      </w:pPr>
      <w:r>
        <w:rPr>
          <w:rFonts w:ascii="Times New Roman" w:cs="Times New Roman" w:eastAsia="Times New Roman" w:hAnsi="Times New Roman"/>
          <w:sz w:val="28"/>
          <w:szCs w:val="28"/>
        </w:rPr>
        <w:t xml:space="preserve">Рисунок 1.4 – Методичний підхід до оцінювання ефективності маркетингового просування підприємства в соціальних мережах</w:t>
      </w:r>
    </w:p>
    <w:p>
      <w:pPr>
        <w:spacing w:after="0" w:before="0" w:line="240"/>
      </w:pPr>
      <w:r>
        <w:rPr>
          <w:rFonts w:ascii="Courier New" w:cs="Courier New" w:eastAsia="Courier New" w:hAnsi="Courier New"/>
          <w:sz w:val="16"/>
          <w:szCs w:val="16"/>
        </w:rPr>
        <w:t xml:space="preserve"> ЕТАП 1. Визначення цілей оцінювання (узгоджених із цілями просування, рис. 1.3)</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ЕТАП 2. Формування системи показників за рівнями шляху споживача (табл. 1.7)</w:t>
      </w:r>
    </w:p>
    <w:p>
      <w:pPr>
        <w:spacing w:after="0" w:before="0" w:line="240"/>
      </w:pPr>
      <w:r>
        <w:rPr>
          <w:rFonts w:ascii="Courier New" w:cs="Courier New" w:eastAsia="Courier New" w:hAnsi="Courier New"/>
          <w:sz w:val="16"/>
          <w:szCs w:val="16"/>
        </w:rPr>
        <w:t xml:space="preserve">         охоплення → залучення → конверсія → економічні → якість аудиторії</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ЕТАП 3. Збирання даних</w:t>
      </w:r>
    </w:p>
    <w:p>
      <w:pPr>
        <w:spacing w:after="0" w:before="0" w:line="240"/>
      </w:pPr>
      <w:r>
        <w:rPr>
          <w:rFonts w:ascii="Courier New" w:cs="Courier New" w:eastAsia="Courier New" w:hAnsi="Courier New"/>
          <w:sz w:val="16"/>
          <w:szCs w:val="16"/>
        </w:rPr>
        <w:t xml:space="preserve">         внутрішні: статистика акаунтів, рекламних кабінетів, сайту, CRM, фінансові дані</w:t>
      </w:r>
    </w:p>
    <w:p>
      <w:pPr>
        <w:spacing w:after="0" w:before="0" w:line="240"/>
      </w:pPr>
      <w:r>
        <w:rPr>
          <w:rFonts w:ascii="Courier New" w:cs="Courier New" w:eastAsia="Courier New" w:hAnsi="Courier New"/>
          <w:sz w:val="16"/>
          <w:szCs w:val="16"/>
        </w:rPr>
        <w:t xml:space="preserve">         зовнішні: публічні дані конкурентів, бібліотеки реклами, опитування</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ЕТАП 4. Розрахунок показників (формули 1.1–1.9) та аналіз (табл. 1.8):</w:t>
      </w:r>
    </w:p>
    <w:p>
      <w:pPr>
        <w:spacing w:after="0" w:before="0" w:line="240"/>
      </w:pPr>
      <w:r>
        <w:rPr>
          <w:rFonts w:ascii="Courier New" w:cs="Courier New" w:eastAsia="Courier New" w:hAnsi="Courier New"/>
          <w:sz w:val="16"/>
          <w:szCs w:val="16"/>
        </w:rPr>
        <w:t xml:space="preserve">         динаміка → бенчмаркінг → контент-аналіз → воронка → порівняння каналів</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ЕТАП 5. Інтегральна оцінка та діагностика проблем (SWOT, «вузькі місця» воронки)</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ЕТАП 6. Управлінські рішення: коригування цілей, контенту, бюджету, платформ</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новий цикл управління (етап 1 на рис. 1.3)</w:t>
      </w:r>
    </w:p>
    <w:p>
      <w:pPr>
        <w:spacing w:after="120" w:before="0" w:line="360"/>
        <w:ind w:firstLine="709"/>
      </w:pPr>
      <w:r>
        <w:rPr>
          <w:rFonts w:ascii="Times New Roman" w:cs="Times New Roman" w:eastAsia="Times New Roman" w:hAnsi="Times New Roman"/>
          <w:sz w:val="24"/>
          <w:szCs w:val="24"/>
        </w:rPr>
        <w:t xml:space="preserve">(розроблено автором на основі [40; 43])</w:t>
      </w:r>
    </w:p>
    <w:p>
      <w:pPr>
        <w:spacing w:after="0" w:before="0" w:line="360"/>
        <w:ind w:firstLine="709"/>
        <w:jc w:val="both"/>
      </w:pPr>
      <w:r>
        <w:rPr>
          <w:rFonts w:ascii="Times New Roman" w:cs="Times New Roman" w:eastAsia="Times New Roman" w:hAnsi="Times New Roman"/>
          <w:sz w:val="28"/>
          <w:szCs w:val="28"/>
        </w:rPr>
        <w:t xml:space="preserve">Особливістю запропонованого підходу є:</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поєднання комунікаційних та економічних показників в одній системі, впорядкованій за етапами шляху споживача;</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використання як внутрішніх даних підприємства, так і зовнішніх даних про конкурентів;</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орієнтація на ухвалення управлінських рішень, а не лише на констатацію значень показників.</w:t>
      </w:r>
    </w:p>
    <w:p>
      <w:pPr>
        <w:spacing w:after="0" w:before="0" w:line="360"/>
        <w:ind w:firstLine="709"/>
        <w:jc w:val="both"/>
      </w:pPr>
      <w:r>
        <w:rPr>
          <w:rFonts w:ascii="Times New Roman" w:cs="Times New Roman" w:eastAsia="Times New Roman" w:hAnsi="Times New Roman"/>
          <w:sz w:val="28"/>
          <w:szCs w:val="28"/>
        </w:rPr>
        <w:t xml:space="preserve">Підхід може бути застосований і в ситуації, коли підприємство не використовує платного просування і не відстежує джерела звернень. У такому разі оцінювання ґрунтується на показниках охоплення й залучення, бенчмаркінгу та експертних методах, а відсутність даних про конверсію сама стає одним із виявлених проблемних місць системи управління.</w:t>
      </w:r>
    </w:p>
    <w:p>
      <w:pPr>
        <w:spacing w:after="0" w:before="0" w:line="360"/>
        <w:ind w:firstLine="709"/>
        <w:jc w:val="both"/>
      </w:pPr>
      <w:r>
        <w:rPr>
          <w:rFonts w:ascii="Times New Roman" w:cs="Times New Roman" w:eastAsia="Times New Roman" w:hAnsi="Times New Roman"/>
          <w:sz w:val="28"/>
          <w:szCs w:val="28"/>
        </w:rPr>
        <w:t xml:space="preserve">Отже, оцінювання ефективності маркетингового просування в соціальних мережах має ґрунтуватися на інтегрованому підході. Він поєднує систему показників п'яти груп (охоплення та видимість, залучення, трафік і конверсія, економічні показники, якість аудиторії та комунікації) з комплексом методів аналізу: аналізом динаміки, бенчмаркінгом, контент-аналізом, аналізом воронки, порівняльним аналізом каналів, SWOT-аналізом та експертними методами. Запропонований методичний підхід з шести етапів буде застосований у розділі 2 для діагностики управління маркетинговим просуванням ТОВ «Гран-Прем'єр» у соціальних мережах.</w:t>
      </w:r>
    </w:p>
    <w:p>
      <w:pPr>
        <w:pStyle w:val="Heading2"/>
        <w:spacing w:after="240" w:before="240" w:line="360"/>
        <w:ind w:firstLine="709"/>
      </w:pPr>
      <w:r>
        <w:rPr>
          <w:rFonts w:ascii="Times New Roman" w:cs="Times New Roman" w:eastAsia="Times New Roman" w:hAnsi="Times New Roman"/>
          <w:b/>
          <w:bCs/>
          <w:color w:val="000000"/>
          <w:sz w:val="28"/>
          <w:szCs w:val="28"/>
        </w:rPr>
        <w:t xml:space="preserve">Висновки до розділу 1</w:t>
      </w:r>
    </w:p>
    <w:p>
      <w:pPr>
        <w:shd w:fill="FFF4CC" w:color="auto" w:val="clear"/>
        <w:spacing w:after="60" w:before="0" w:line="276"/>
        <w:ind w:left="170"/>
      </w:pPr>
      <w:r>
        <w:rPr>
          <w:rFonts w:ascii="Times New Roman" w:cs="Times New Roman" w:eastAsia="Times New Roman" w:hAnsi="Times New Roman"/>
          <w:i/>
          <w:iCs/>
          <w:color w:val="7A4B00"/>
          <w:sz w:val="22"/>
          <w:szCs w:val="22"/>
        </w:rPr>
        <w:t xml:space="preserve">[Методичка вимагає висновків після кожного розділу. Це зразок на ≈1 сторінку.]</w:t>
      </w:r>
    </w:p>
    <w:p>
      <w:pPr>
        <w:spacing w:after="0" w:before="0" w:line="360"/>
        <w:ind w:left="709" w:hanging="340"/>
        <w:jc w:val="both"/>
      </w:pPr>
      <w:r>
        <w:rPr>
          <w:rFonts w:ascii="Times New Roman" w:cs="Times New Roman" w:eastAsia="Times New Roman" w:hAnsi="Times New Roman"/>
          <w:sz w:val="28"/>
          <w:szCs w:val="28"/>
        </w:rPr>
        <w:t xml:space="preserve">1. Уточнено сутність маркетингового просування як керованого процесу комунікаційного впливу, спрямованого одночасно на досягнення збутових цілей і формування стійких відносин із цільовою аудиторією. Встановлено, що соціальні мережі є «гібридним елементом» комплексу просування, який поєднує комунікацію «підприємство — споживач» і «споживач — споживач». Сформульовано авторське визначення маркетингового просування підприємства в соціальних мережах з акцентом на його управлінському характері та вимірюваності результатів.</w:t>
      </w:r>
    </w:p>
    <w:p>
      <w:pPr>
        <w:spacing w:after="0" w:before="0" w:line="360"/>
        <w:ind w:left="709" w:hanging="340"/>
        <w:jc w:val="both"/>
      </w:pPr>
      <w:r>
        <w:rPr>
          <w:rFonts w:ascii="Times New Roman" w:cs="Times New Roman" w:eastAsia="Times New Roman" w:hAnsi="Times New Roman"/>
          <w:sz w:val="28"/>
          <w:szCs w:val="28"/>
        </w:rPr>
        <w:t xml:space="preserve">2. Обґрунтовано, що управління маркетинговим просуванням у соціальних мережах доцільно розглядати як циклічний процес із восьми етапів: аналіз ситуації, постановка цілей, визначення цільової аудиторії, вибір платформ, формування контенту та комунікацій, бюджетування, реалізація, контроль. Цей процес поєднує управлінську логіку моделі SOSTAC з орієнтацією на шлях споживача моделі RACE. Визначено, що найбільш обґрунтованим методом бюджетування є метод «цілей і завдань».</w:t>
      </w:r>
    </w:p>
    <w:p>
      <w:pPr>
        <w:spacing w:after="0" w:before="0" w:line="360"/>
        <w:ind w:left="709" w:hanging="340"/>
        <w:jc w:val="both"/>
      </w:pPr>
      <w:r>
        <w:rPr>
          <w:rFonts w:ascii="Times New Roman" w:cs="Times New Roman" w:eastAsia="Times New Roman" w:hAnsi="Times New Roman"/>
          <w:sz w:val="28"/>
          <w:szCs w:val="28"/>
        </w:rPr>
        <w:t xml:space="preserve">3. Запропоновано систему показників оцінювання ефективності просування з п'яти груп, впорядкованих за етапами шляху споживача, з формулами розрахунку ER, CTR, CPC, CPM, CPL, CR, CAC і ROMI. Також запропоновано методичний підхід до оцінювання з шести етапів, який поєднує внутрішні й зовнішні дані та комплекс методів аналізу. Цей підхід становить методичну основу для аналітичного розділу роботи.</w:t>
      </w:r>
    </w:p>
    <w:p>
      <w:pPr>
        <w:pStyle w:val="Heading2"/>
        <w:spacing w:after="240" w:before="240" w:line="360"/>
        <w:ind w:firstLine="709"/>
      </w:pPr>
      <w:r>
        <w:rPr>
          <w:rFonts w:ascii="Times New Roman" w:cs="Times New Roman" w:eastAsia="Times New Roman" w:hAnsi="Times New Roman"/>
          <w:b/>
          <w:bCs/>
          <w:color w:val="000000"/>
          <w:sz w:val="28"/>
          <w:szCs w:val="28"/>
        </w:rPr>
        <w:t xml:space="preserve">СПИСОК ВИКОРИСТАНИХ ДЖЕРЕЛ (наскрізний, для підрозділів 1.1–1.3)</w:t>
      </w:r>
    </w:p>
    <w:p>
      <w:pPr>
        <w:shd w:fill="FFF4CC" w:color="auto" w:val="clear"/>
        <w:spacing w:after="60" w:before="0" w:line="276"/>
        <w:ind w:left="170"/>
      </w:pPr>
      <w:r>
        <w:rPr>
          <w:rFonts w:ascii="Times New Roman" w:cs="Times New Roman" w:eastAsia="Times New Roman" w:hAnsi="Times New Roman"/>
          <w:color w:val="7A4B00"/>
          <w:sz w:val="22"/>
          <w:szCs w:val="22"/>
        </w:rPr>
        <w:t xml:space="preserve">Джерела 1–26 використано в 1.1, джерела 27–47 вперше використано в 1.2–1.3.</w:t>
      </w:r>
    </w:p>
    <w:p>
      <w:pPr>
        <w:spacing w:after="0" w:before="0" w:line="360"/>
        <w:ind w:left="709" w:hanging="340"/>
        <w:jc w:val="both"/>
      </w:pPr>
      <w:r>
        <w:rPr>
          <w:rFonts w:ascii="Times New Roman" w:cs="Times New Roman" w:eastAsia="Times New Roman" w:hAnsi="Times New Roman"/>
          <w:sz w:val="28"/>
          <w:szCs w:val="28"/>
        </w:rPr>
        <w:t xml:space="preserve">1. Яцківська А. Соціальні мережі як ефективний засіб просування бізнесу у світі. Суспільство та безпека. 2024. URL: https://sas.ztu.edu.ua/article/view/301984</w:t>
      </w:r>
    </w:p>
    <w:p>
      <w:pPr>
        <w:spacing w:after="0" w:before="0" w:line="360"/>
        <w:ind w:left="709" w:hanging="340"/>
        <w:jc w:val="both"/>
      </w:pPr>
      <w:r>
        <w:rPr>
          <w:rFonts w:ascii="Times New Roman" w:cs="Times New Roman" w:eastAsia="Times New Roman" w:hAnsi="Times New Roman"/>
          <w:sz w:val="28"/>
          <w:szCs w:val="28"/>
        </w:rPr>
        <w:t xml:space="preserve">2. Digital 2026: Ukraine. DataReportal. 2025. URL: https://datareportal.com/reports/digital-2026-ukraine (дата звернення: дд.мм.рррр).</w:t>
      </w:r>
    </w:p>
    <w:p>
      <w:pPr>
        <w:spacing w:after="0" w:before="0" w:line="360"/>
        <w:ind w:left="709" w:hanging="340"/>
        <w:jc w:val="both"/>
      </w:pPr>
      <w:r>
        <w:rPr>
          <w:rFonts w:ascii="Times New Roman" w:cs="Times New Roman" w:eastAsia="Times New Roman" w:hAnsi="Times New Roman"/>
          <w:sz w:val="28"/>
          <w:szCs w:val="28"/>
        </w:rPr>
        <w:t xml:space="preserve">3. Kemp S. Digital 2025: Ukraine. DataReportal. 2025. URL: https://datareportal.com/reports/digital-2025-ukraine (дата звернення: дд.мм.рррр).</w:t>
      </w:r>
    </w:p>
    <w:p>
      <w:pPr>
        <w:spacing w:after="0" w:before="0" w:line="360"/>
        <w:ind w:left="709" w:hanging="340"/>
        <w:jc w:val="both"/>
      </w:pPr>
      <w:r>
        <w:rPr>
          <w:rFonts w:ascii="Times New Roman" w:cs="Times New Roman" w:eastAsia="Times New Roman" w:hAnsi="Times New Roman"/>
          <w:sz w:val="28"/>
          <w:szCs w:val="28"/>
        </w:rPr>
        <w:t xml:space="preserve">4. Сенишин О. С., Кривешко О. В. Маркетинг : навч. посіб. Львів : ЛНУ імені Івана Франка, 2020. URL: https://econom.lnu.edu.ua/wp-content/uploads/2016/10/MARKETING_NAVCH.POSIBNYK_SENYSHYN-KRYVESHKO_FINAL_ALL.pdf</w:t>
      </w:r>
    </w:p>
    <w:p>
      <w:pPr>
        <w:spacing w:after="0" w:before="0" w:line="360"/>
        <w:ind w:left="709" w:hanging="340"/>
        <w:jc w:val="both"/>
      </w:pPr>
      <w:r>
        <w:rPr>
          <w:rFonts w:ascii="Times New Roman" w:cs="Times New Roman" w:eastAsia="Times New Roman" w:hAnsi="Times New Roman"/>
          <w:sz w:val="28"/>
          <w:szCs w:val="28"/>
        </w:rPr>
        <w:t xml:space="preserve">5. Романчик Т. В. Просування в системі маркетингових комунікацій: методологічні підходи. Вісник Національного технічного університету «ХПІ». Серія: Економічні науки. 2017. № 45 (1266). URL: https://repository.kpi.kharkov.ua/handle/KhPI-Press/33912</w:t>
      </w:r>
    </w:p>
    <w:p>
      <w:pPr>
        <w:spacing w:after="0" w:before="0" w:line="360"/>
        <w:ind w:left="709" w:hanging="340"/>
        <w:jc w:val="both"/>
      </w:pPr>
      <w:r>
        <w:rPr>
          <w:rFonts w:ascii="Times New Roman" w:cs="Times New Roman" w:eastAsia="Times New Roman" w:hAnsi="Times New Roman"/>
          <w:sz w:val="28"/>
          <w:szCs w:val="28"/>
        </w:rPr>
        <w:t xml:space="preserve">6. Котлер Ф., Келлер К. Л. Маркетинговий менеджмент / пер. з англ. (місто, видавництво, рік і кількість сторінок уточнити за бібліотечним каталогом).</w:t>
      </w:r>
    </w:p>
    <w:p>
      <w:pPr>
        <w:spacing w:after="0" w:before="0" w:line="360"/>
        <w:ind w:left="709" w:hanging="340"/>
        <w:jc w:val="both"/>
      </w:pPr>
      <w:r>
        <w:rPr>
          <w:rFonts w:ascii="Times New Roman" w:cs="Times New Roman" w:eastAsia="Times New Roman" w:hAnsi="Times New Roman"/>
          <w:sz w:val="28"/>
          <w:szCs w:val="28"/>
        </w:rPr>
        <w:t xml:space="preserve">7. Окландер М. А., Окландер Т. О., Яшкіна О. І. та ін. Цифровий маркетинг – модель маркетингу ХХІ сторіччя : монографія. Одеса : Астропринт, 2017. 292 с. URL: https://dspace.opu.ua/jspui/handle/123456789/7012</w:t>
      </w:r>
    </w:p>
    <w:p>
      <w:pPr>
        <w:spacing w:after="0" w:before="0" w:line="360"/>
        <w:ind w:left="709" w:hanging="340"/>
        <w:jc w:val="both"/>
      </w:pPr>
      <w:r>
        <w:rPr>
          <w:rFonts w:ascii="Times New Roman" w:cs="Times New Roman" w:eastAsia="Times New Roman" w:hAnsi="Times New Roman"/>
          <w:sz w:val="28"/>
          <w:szCs w:val="28"/>
        </w:rPr>
        <w:t xml:space="preserve">8. Chaffey D., Ellis-Chadwick F. Digital Marketing: Strategy, Implementation and Practice. 8th ed. Harlow : Pearson, 2022.</w:t>
      </w:r>
    </w:p>
    <w:p>
      <w:pPr>
        <w:spacing w:after="0" w:before="0" w:line="360"/>
        <w:ind w:left="709" w:hanging="340"/>
        <w:jc w:val="both"/>
      </w:pPr>
      <w:r>
        <w:rPr>
          <w:rFonts w:ascii="Times New Roman" w:cs="Times New Roman" w:eastAsia="Times New Roman" w:hAnsi="Times New Roman"/>
          <w:sz w:val="28"/>
          <w:szCs w:val="28"/>
        </w:rPr>
        <w:t xml:space="preserve">9. Про рекламу : Закон України від 03.07.1996 № 270/96-ВР. URL: https://zakon.rada.gov.ua/laws/show/270/96-вр (дата звернення: дд.мм.рррр).</w:t>
      </w:r>
    </w:p>
    <w:p>
      <w:pPr>
        <w:spacing w:after="0" w:before="0" w:line="360"/>
        <w:ind w:left="709" w:hanging="340"/>
        <w:jc w:val="both"/>
      </w:pPr>
      <w:r>
        <w:rPr>
          <w:rFonts w:ascii="Times New Roman" w:cs="Times New Roman" w:eastAsia="Times New Roman" w:hAnsi="Times New Roman"/>
          <w:sz w:val="28"/>
          <w:szCs w:val="28"/>
        </w:rPr>
        <w:t xml:space="preserve">10. Kaplan A. M., Haenlein M. Users of the world, unite! The challenges and opportunities of Social Media. Business Horizons. 2010. Vol. 53, No. 1. P. 59–68. DOI: https://doi.org/10.1016/j.bushor.2009.09.003</w:t>
      </w:r>
    </w:p>
    <w:p>
      <w:pPr>
        <w:spacing w:after="0" w:before="0" w:line="360"/>
        <w:ind w:left="709" w:hanging="340"/>
        <w:jc w:val="both"/>
      </w:pPr>
      <w:r>
        <w:rPr>
          <w:rFonts w:ascii="Times New Roman" w:cs="Times New Roman" w:eastAsia="Times New Roman" w:hAnsi="Times New Roman"/>
          <w:sz w:val="28"/>
          <w:szCs w:val="28"/>
        </w:rPr>
        <w:t xml:space="preserve">11. Kietzmann J. H., Hermkens K., McCarthy I. P., Silvestre B. S. Social media? Get serious! Understanding the functional building blocks of social media. Business Horizons. 2011. Vol. 54, No. 3. P. 241–251. DOI: https://doi.org/10.1016/j.bushor.2011.01.005</w:t>
      </w:r>
    </w:p>
    <w:p>
      <w:pPr>
        <w:spacing w:after="0" w:before="0" w:line="360"/>
        <w:ind w:left="709" w:hanging="340"/>
        <w:jc w:val="both"/>
      </w:pPr>
      <w:r>
        <w:rPr>
          <w:rFonts w:ascii="Times New Roman" w:cs="Times New Roman" w:eastAsia="Times New Roman" w:hAnsi="Times New Roman"/>
          <w:sz w:val="28"/>
          <w:szCs w:val="28"/>
        </w:rPr>
        <w:t xml:space="preserve">12. Mangold W. G., Faulds D. J. Social media: The new hybrid element of the promotion mix. Business Horizons. 2009. Vol. 52, No. 4. P. 357–365. DOI: https://doi.org/10.1016/j.bushor.2009.03.002</w:t>
      </w:r>
    </w:p>
    <w:p>
      <w:pPr>
        <w:spacing w:after="0" w:before="0" w:line="360"/>
        <w:ind w:left="709" w:hanging="340"/>
        <w:jc w:val="both"/>
      </w:pPr>
      <w:r>
        <w:rPr>
          <w:rFonts w:ascii="Times New Roman" w:cs="Times New Roman" w:eastAsia="Times New Roman" w:hAnsi="Times New Roman"/>
          <w:sz w:val="28"/>
          <w:szCs w:val="28"/>
        </w:rPr>
        <w:t xml:space="preserve">13. Hanna R., Rohm A., Crittenden V. L. We're all connected: The power of the social media ecosystem. Business Horizons. 2011. Vol. 54, No. 3. P. 265–273. DOI: https://doi.org/10.1016/j.bushor.2011.01.007</w:t>
      </w:r>
    </w:p>
    <w:p>
      <w:pPr>
        <w:spacing w:after="0" w:before="0" w:line="360"/>
        <w:ind w:left="709" w:hanging="340"/>
        <w:jc w:val="both"/>
      </w:pPr>
      <w:r>
        <w:rPr>
          <w:rFonts w:ascii="Times New Roman" w:cs="Times New Roman" w:eastAsia="Times New Roman" w:hAnsi="Times New Roman"/>
          <w:sz w:val="28"/>
          <w:szCs w:val="28"/>
        </w:rPr>
        <w:t xml:space="preserve">14. Головко О. А. Інтеграція вебсайту та соціальних мереж як стратегія сучасної комунікації. Обрії друкарства. 2024. URL: https://horizons.vpi.kpi.ua/article/view/319343</w:t>
      </w:r>
    </w:p>
    <w:p>
      <w:pPr>
        <w:spacing w:after="0" w:before="0" w:line="360"/>
        <w:ind w:left="709" w:hanging="340"/>
        <w:jc w:val="both"/>
      </w:pPr>
      <w:r>
        <w:rPr>
          <w:rFonts w:ascii="Times New Roman" w:cs="Times New Roman" w:eastAsia="Times New Roman" w:hAnsi="Times New Roman"/>
          <w:sz w:val="28"/>
          <w:szCs w:val="28"/>
        </w:rPr>
        <w:t xml:space="preserve">15. Tuten T. L. Social Media Marketing. 5th ed. London : SAGE Publications, 2023.</w:t>
      </w:r>
    </w:p>
    <w:p>
      <w:pPr>
        <w:spacing w:after="0" w:before="0" w:line="360"/>
        <w:ind w:left="709" w:hanging="340"/>
        <w:jc w:val="both"/>
      </w:pPr>
      <w:r>
        <w:rPr>
          <w:rFonts w:ascii="Times New Roman" w:cs="Times New Roman" w:eastAsia="Times New Roman" w:hAnsi="Times New Roman"/>
          <w:sz w:val="28"/>
          <w:szCs w:val="28"/>
        </w:rPr>
        <w:t xml:space="preserve">16. Li F., Larimo J., Leonidou L. C. Social media marketing strategy: definition, conceptualization, taxonomy, validation, and future agenda. Journal of the Academy of Marketing Science. 2021. Vol. 49, No. 1. P. 51–70. DOI: https://doi.org/10.1007/s11747-020-00733-3</w:t>
      </w:r>
    </w:p>
    <w:p>
      <w:pPr>
        <w:spacing w:after="0" w:before="0" w:line="360"/>
        <w:ind w:left="709" w:hanging="340"/>
        <w:jc w:val="both"/>
      </w:pPr>
      <w:r>
        <w:rPr>
          <w:rFonts w:ascii="Times New Roman" w:cs="Times New Roman" w:eastAsia="Times New Roman" w:hAnsi="Times New Roman"/>
          <w:sz w:val="28"/>
          <w:szCs w:val="28"/>
        </w:rPr>
        <w:t xml:space="preserve">17. Ярмолюк О., Фісун Ю., Шаповалова А. Соціальні мережі як сучасний інструмент просування. Підприємництво та інновації. 2020. Вип. 11-2. С. 62–65. URL: https://ei-journal.in.ua/index.php/journal/article/view/287</w:t>
      </w:r>
    </w:p>
    <w:p>
      <w:pPr>
        <w:spacing w:after="0" w:before="0" w:line="360"/>
        <w:ind w:left="709" w:hanging="340"/>
        <w:jc w:val="both"/>
      </w:pPr>
      <w:r>
        <w:rPr>
          <w:rFonts w:ascii="Times New Roman" w:cs="Times New Roman" w:eastAsia="Times New Roman" w:hAnsi="Times New Roman"/>
          <w:sz w:val="28"/>
          <w:szCs w:val="28"/>
        </w:rPr>
        <w:t xml:space="preserve">18. Гірна О., Гайворонська І., Власенко Д., Бродюк І., Вербицька А. До питання вдосконалення українських підприємницьких стратегій: digital-маркетинг як сучасний інструмент просування товарів та послуг у соціальних мережах. Фінансово-кредитна діяльність: проблеми теорії та практики. 2022. Т. 2, № 43. С. 349–356. DOI: https://doi.org/10.55643/fcaptp.2.43.2022.3752</w:t>
      </w:r>
    </w:p>
    <w:p>
      <w:pPr>
        <w:spacing w:after="0" w:before="0" w:line="360"/>
        <w:ind w:left="709" w:hanging="340"/>
        <w:jc w:val="both"/>
      </w:pPr>
      <w:r>
        <w:rPr>
          <w:rFonts w:ascii="Times New Roman" w:cs="Times New Roman" w:eastAsia="Times New Roman" w:hAnsi="Times New Roman"/>
          <w:sz w:val="28"/>
          <w:szCs w:val="28"/>
        </w:rPr>
        <w:t xml:space="preserve">19. Шиковець К., Мельник М. Маркетинг соціальних мереж як важливий інструмент комунікацій. Економіка та суспільство. 2024. № 66. DOI: https://doi.org/10.32782/2524-0072/2024-66-113</w:t>
      </w:r>
    </w:p>
    <w:p>
      <w:pPr>
        <w:spacing w:after="0" w:before="0" w:line="360"/>
        <w:ind w:left="709" w:hanging="340"/>
        <w:jc w:val="both"/>
      </w:pPr>
      <w:r>
        <w:rPr>
          <w:rFonts w:ascii="Times New Roman" w:cs="Times New Roman" w:eastAsia="Times New Roman" w:hAnsi="Times New Roman"/>
          <w:sz w:val="28"/>
          <w:szCs w:val="28"/>
        </w:rPr>
        <w:t xml:space="preserve">20. Пімоненко Т., Люльов О., Здойма А., Пімоненко С. Маркетингова стратегія в соціальних мережах: теоретико-прикладний базис. Вісник Сумського державного університету. Серія «Економіка». 2023. № 1. С. 17–26. URL: https://visnyk.fem.sumdu.edu.ua/uk/1-2023-2</w:t>
      </w:r>
    </w:p>
    <w:p>
      <w:pPr>
        <w:spacing w:after="0" w:before="0" w:line="360"/>
        <w:ind w:left="709" w:hanging="340"/>
        <w:jc w:val="both"/>
      </w:pPr>
      <w:r>
        <w:rPr>
          <w:rFonts w:ascii="Times New Roman" w:cs="Times New Roman" w:eastAsia="Times New Roman" w:hAnsi="Times New Roman"/>
          <w:sz w:val="28"/>
          <w:szCs w:val="28"/>
        </w:rPr>
        <w:t xml:space="preserve">21. Trusov M., Bucklin R. E., Pauwels K. Effects of word-of-mouth versus traditional marketing: Findings from an internet social networking site. Journal of Marketing. 2009. Vol. 73, No. 5. P. 90–102. DOI: https://doi.org/10.1509/jmkg.73.5.90</w:t>
      </w:r>
    </w:p>
    <w:p>
      <w:pPr>
        <w:spacing w:after="0" w:before="0" w:line="360"/>
        <w:ind w:left="709" w:hanging="340"/>
        <w:jc w:val="both"/>
      </w:pPr>
      <w:r>
        <w:rPr>
          <w:rFonts w:ascii="Times New Roman" w:cs="Times New Roman" w:eastAsia="Times New Roman" w:hAnsi="Times New Roman"/>
          <w:sz w:val="28"/>
          <w:szCs w:val="28"/>
        </w:rPr>
        <w:t xml:space="preserve">22. Hoffman D. L., Fodor M. Can You Measure the ROI of Your Social Media Marketing? MIT Sloan Management Review. 2010. Vol. 52, No. 1. P. 41–49.</w:t>
      </w:r>
    </w:p>
    <w:p>
      <w:pPr>
        <w:spacing w:after="0" w:before="0" w:line="360"/>
        <w:ind w:left="709" w:hanging="340"/>
        <w:jc w:val="both"/>
      </w:pPr>
      <w:r>
        <w:rPr>
          <w:rFonts w:ascii="Times New Roman" w:cs="Times New Roman" w:eastAsia="Times New Roman" w:hAnsi="Times New Roman"/>
          <w:sz w:val="28"/>
          <w:szCs w:val="28"/>
        </w:rPr>
        <w:t xml:space="preserve">23. Lamberton C., Stephen A. T. A thematic exploration of digital, social media, and mobile marketing: Research evolution from 2000 to 2015 and an agenda for future inquiry. Journal of Marketing. 2016. Vol. 80, No. 6. P. 146–172.</w:t>
      </w:r>
    </w:p>
    <w:p>
      <w:pPr>
        <w:spacing w:after="0" w:before="0" w:line="360"/>
        <w:ind w:left="709" w:hanging="340"/>
        <w:jc w:val="both"/>
      </w:pPr>
      <w:r>
        <w:rPr>
          <w:rFonts w:ascii="Times New Roman" w:cs="Times New Roman" w:eastAsia="Times New Roman" w:hAnsi="Times New Roman"/>
          <w:sz w:val="28"/>
          <w:szCs w:val="28"/>
        </w:rPr>
        <w:t xml:space="preserve">24. Капінус Л. В. Вплив соціальних мереж на маркетингову поведінку підприємства на онлайн-ринку. Таврійський науковий вісник. Серія: Економіка. 2023. Вип. 18. С. 86–93. URL: https://tnv-econom.ksauniv.ks.ua/index.php/journal/article/view/439</w:t>
      </w:r>
    </w:p>
    <w:p>
      <w:pPr>
        <w:spacing w:after="0" w:before="0" w:line="360"/>
        <w:ind w:left="709" w:hanging="340"/>
        <w:jc w:val="both"/>
      </w:pPr>
      <w:r>
        <w:rPr>
          <w:rFonts w:ascii="Times New Roman" w:cs="Times New Roman" w:eastAsia="Times New Roman" w:hAnsi="Times New Roman"/>
          <w:sz w:val="28"/>
          <w:szCs w:val="28"/>
        </w:rPr>
        <w:t xml:space="preserve">25. Решетнікова О. В., Боровик Т., Сенько І. Маркетинг в соціальних мережах як інструмент просування бренду та підвищення обсягів збуту. Економіка та суспільство. 2024. № 65. DOI: https://doi.org/10.32782/2524-0072/2024-65-128</w:t>
      </w:r>
    </w:p>
    <w:p>
      <w:pPr>
        <w:spacing w:after="0" w:before="0" w:line="360"/>
        <w:ind w:left="709" w:hanging="340"/>
        <w:jc w:val="both"/>
      </w:pPr>
      <w:r>
        <w:rPr>
          <w:rFonts w:ascii="Times New Roman" w:cs="Times New Roman" w:eastAsia="Times New Roman" w:hAnsi="Times New Roman"/>
          <w:sz w:val="28"/>
          <w:szCs w:val="28"/>
        </w:rPr>
        <w:t xml:space="preserve">26. Schau H. J., Muñiz A. M., Arnould E. J. How brand community practices create value. Journal of Marketing. 2009. Vol. 73, No. 5. P. 30–51.</w:t>
      </w:r>
    </w:p>
    <w:p>
      <w:pPr>
        <w:spacing w:after="0" w:before="0" w:line="360"/>
        <w:ind w:left="709" w:hanging="340"/>
        <w:jc w:val="both"/>
      </w:pPr>
      <w:r>
        <w:rPr>
          <w:rFonts w:ascii="Times New Roman" w:cs="Times New Roman" w:eastAsia="Times New Roman" w:hAnsi="Times New Roman"/>
          <w:sz w:val="28"/>
          <w:szCs w:val="28"/>
        </w:rPr>
        <w:t xml:space="preserve">27. Felix R., Rauschnabel P. A., Hinsch C. Elements of strategic social media marketing: A holistic framework. Journal of Business Research. 2017. Vol. 70. P. 118–126. DOI: https://doi.org/10.1016/j.jbusres.2016.05.001</w:t>
      </w:r>
    </w:p>
    <w:p>
      <w:pPr>
        <w:spacing w:after="0" w:before="0" w:line="360"/>
        <w:ind w:left="709" w:hanging="340"/>
        <w:jc w:val="both"/>
      </w:pPr>
      <w:r>
        <w:rPr>
          <w:rFonts w:ascii="Times New Roman" w:cs="Times New Roman" w:eastAsia="Times New Roman" w:hAnsi="Times New Roman"/>
          <w:sz w:val="28"/>
          <w:szCs w:val="28"/>
        </w:rPr>
        <w:t xml:space="preserve">28. Varela-Neira C., Dwivedi Y. K., Camoiras-Rodriguez Z. Social media marketing system: conceptualization, scale development and validation. Internet Research. 2023. Vol. 33, No. 4. P. 1302–1330. DOI: https://doi.org/10.1108/INTR-06-2021-0393</w:t>
      </w:r>
    </w:p>
    <w:p>
      <w:pPr>
        <w:spacing w:after="0" w:before="0" w:line="360"/>
        <w:ind w:left="709" w:hanging="340"/>
        <w:jc w:val="both"/>
      </w:pPr>
      <w:r>
        <w:rPr>
          <w:rFonts w:ascii="Times New Roman" w:cs="Times New Roman" w:eastAsia="Times New Roman" w:hAnsi="Times New Roman"/>
          <w:sz w:val="28"/>
          <w:szCs w:val="28"/>
        </w:rPr>
        <w:t xml:space="preserve">29. Шандрівська О. Є., Соколов Ю. С. Процес формування стратегії SMM-просування: особливості та етапи створення. Менеджмент та підприємництво в Україні: етапи становлення і проблеми розвитку. 2022. Т. 4, № 2. С. 137–147. URL: https://ena.lpnu.ua/handle/ntb/111518</w:t>
      </w:r>
    </w:p>
    <w:p>
      <w:pPr>
        <w:spacing w:after="0" w:before="0" w:line="360"/>
        <w:ind w:left="709" w:hanging="340"/>
        <w:jc w:val="both"/>
      </w:pPr>
      <w:r>
        <w:rPr>
          <w:rFonts w:ascii="Times New Roman" w:cs="Times New Roman" w:eastAsia="Times New Roman" w:hAnsi="Times New Roman"/>
          <w:sz w:val="28"/>
          <w:szCs w:val="28"/>
        </w:rPr>
        <w:t xml:space="preserve">30. Коваль З. О., Ткаченко А. Д. SMM-стратегія, як дієвий інструмент прискорення бізнесу. Менеджмент та підприємництво в Україні: етапи становлення і проблеми розвитку. 2024. Т. 6, № 2. С. 57–65. URL: https://ena.lpnu.ua/handle/ntb/123769</w:t>
      </w:r>
    </w:p>
    <w:p>
      <w:pPr>
        <w:spacing w:after="0" w:before="0" w:line="360"/>
        <w:ind w:left="709" w:hanging="340"/>
        <w:jc w:val="both"/>
      </w:pPr>
      <w:r>
        <w:rPr>
          <w:rFonts w:ascii="Times New Roman" w:cs="Times New Roman" w:eastAsia="Times New Roman" w:hAnsi="Times New Roman"/>
          <w:sz w:val="28"/>
          <w:szCs w:val="28"/>
        </w:rPr>
        <w:t xml:space="preserve">31. Романуша Ю. Використання штучного інтелекту при розробці SMM стратегії бізнесу. Економіка та суспільство. 2024. № 63. URL: https://economyandsociety.in.ua/index.php/journal/article/view/4108</w:t>
      </w:r>
    </w:p>
    <w:p>
      <w:pPr>
        <w:spacing w:after="0" w:before="0" w:line="360"/>
        <w:ind w:left="709" w:hanging="340"/>
        <w:jc w:val="both"/>
      </w:pPr>
      <w:r>
        <w:rPr>
          <w:rFonts w:ascii="Times New Roman" w:cs="Times New Roman" w:eastAsia="Times New Roman" w:hAnsi="Times New Roman"/>
          <w:sz w:val="28"/>
          <w:szCs w:val="28"/>
        </w:rPr>
        <w:t xml:space="preserve">32. Чміль Г., Новаківський К., Демидова В. Моніторинг аудиторії соціальних мереж в Україні. Економіка та суспільство. 2024. № 63. URL: https://economyandsociety.in.ua/index.php/journal/article/view/4203</w:t>
      </w:r>
    </w:p>
    <w:p>
      <w:pPr>
        <w:spacing w:after="0" w:before="0" w:line="360"/>
        <w:ind w:left="709" w:hanging="340"/>
        <w:jc w:val="both"/>
      </w:pPr>
      <w:r>
        <w:rPr>
          <w:rFonts w:ascii="Times New Roman" w:cs="Times New Roman" w:eastAsia="Times New Roman" w:hAnsi="Times New Roman"/>
          <w:sz w:val="28"/>
          <w:szCs w:val="28"/>
        </w:rPr>
        <w:t xml:space="preserve">33. Зіньцьо Ю., Федорук М. Основні види та формати контенту для SMM. Економіка та суспільство. 2025. № 71. DOI: https://doi.org/10.32782/2524-0072/2025-71-86</w:t>
      </w:r>
    </w:p>
    <w:p>
      <w:pPr>
        <w:spacing w:after="0" w:before="0" w:line="360"/>
        <w:ind w:left="709" w:hanging="340"/>
        <w:jc w:val="both"/>
      </w:pPr>
      <w:r>
        <w:rPr>
          <w:rFonts w:ascii="Times New Roman" w:cs="Times New Roman" w:eastAsia="Times New Roman" w:hAnsi="Times New Roman"/>
          <w:sz w:val="28"/>
          <w:szCs w:val="28"/>
        </w:rPr>
        <w:t xml:space="preserve">34. Ashley C., Tuten T. Creative strategies in social media marketing: An exploratory study of branded social content and consumer engagement. Psychology &amp; Marketing. 2015. Vol. 32, No. 1. P. 15–27. DOI: https://doi.org/10.1002/mar.20761</w:t>
      </w:r>
    </w:p>
    <w:p>
      <w:pPr>
        <w:spacing w:after="0" w:before="0" w:line="360"/>
        <w:ind w:left="709" w:hanging="340"/>
        <w:jc w:val="both"/>
      </w:pPr>
      <w:r>
        <w:rPr>
          <w:rFonts w:ascii="Times New Roman" w:cs="Times New Roman" w:eastAsia="Times New Roman" w:hAnsi="Times New Roman"/>
          <w:sz w:val="28"/>
          <w:szCs w:val="28"/>
        </w:rPr>
        <w:t xml:space="preserve">35. Гаврилюк І. І. Таргетована реклама у соціальних мережах. Економіка та суспільство. 2024. № 63. DOI: https://doi.org/10.32782/2524-0072/2024-63-102</w:t>
      </w:r>
    </w:p>
    <w:p>
      <w:pPr>
        <w:spacing w:after="0" w:before="0" w:line="360"/>
        <w:ind w:left="709" w:hanging="340"/>
        <w:jc w:val="both"/>
      </w:pPr>
      <w:r>
        <w:rPr>
          <w:rFonts w:ascii="Times New Roman" w:cs="Times New Roman" w:eastAsia="Times New Roman" w:hAnsi="Times New Roman"/>
          <w:sz w:val="28"/>
          <w:szCs w:val="28"/>
        </w:rPr>
        <w:t xml:space="preserve">36. Бурдяк О., Помазан Л., Гаврилюк І. Роль інфлюенсерів соціальних мереж в забезпеченні ефективності реклами. Економіка та суспільство. 2024. № 60. DOI: https://doi.org/10.32782/2524-0072/2024-60-125</w:t>
      </w:r>
    </w:p>
    <w:p>
      <w:pPr>
        <w:spacing w:after="0" w:before="0" w:line="360"/>
        <w:ind w:left="709" w:hanging="340"/>
        <w:jc w:val="both"/>
      </w:pPr>
      <w:r>
        <w:rPr>
          <w:rFonts w:ascii="Times New Roman" w:cs="Times New Roman" w:eastAsia="Times New Roman" w:hAnsi="Times New Roman"/>
          <w:sz w:val="28"/>
          <w:szCs w:val="28"/>
        </w:rPr>
        <w:t xml:space="preserve">37. Leung F. F., Gu F. F., Palmatier R. W. Online influencer marketing. Journal of the Academy of Marketing Science. 2022. Vol. 50, No. 2. P. 226–251. DOI: https://doi.org/10.1007/s11747-021-00829-4</w:t>
      </w:r>
    </w:p>
    <w:p>
      <w:pPr>
        <w:spacing w:after="0" w:before="0" w:line="360"/>
        <w:ind w:left="709" w:hanging="340"/>
        <w:jc w:val="both"/>
      </w:pPr>
      <w:r>
        <w:rPr>
          <w:rFonts w:ascii="Times New Roman" w:cs="Times New Roman" w:eastAsia="Times New Roman" w:hAnsi="Times New Roman"/>
          <w:sz w:val="28"/>
          <w:szCs w:val="28"/>
        </w:rPr>
        <w:t xml:space="preserve">38. Голидьбіна А. В., Язвінська Н. В. Особливості сучасного ринку ІТ-послуг та специфіка просування на ньому. Економічний вісник НТУУ «Київський політехнічний інститут». 2017. № 14. URL: http://ev.fmm.kpi.ua/article/view/108738</w:t>
      </w:r>
    </w:p>
    <w:p>
      <w:pPr>
        <w:spacing w:after="0" w:before="0" w:line="360"/>
        <w:ind w:left="709" w:hanging="340"/>
        <w:jc w:val="both"/>
      </w:pPr>
      <w:r>
        <w:rPr>
          <w:rFonts w:ascii="Times New Roman" w:cs="Times New Roman" w:eastAsia="Times New Roman" w:hAnsi="Times New Roman"/>
          <w:sz w:val="28"/>
          <w:szCs w:val="28"/>
        </w:rPr>
        <w:t xml:space="preserve">39. Bartoloni S., Ancillai C. Twenty years of social media marketing: A systematic review, integrative framework, and future research agenda. International Journal of Management Reviews. 2024. Vol. 26, No. 3. P. 435–457. DOI: https://doi.org/10.1111/ijmr.12360</w:t>
      </w:r>
    </w:p>
    <w:p>
      <w:pPr>
        <w:spacing w:after="0" w:before="0" w:line="360"/>
        <w:ind w:left="709" w:hanging="340"/>
        <w:jc w:val="both"/>
      </w:pPr>
      <w:r>
        <w:rPr>
          <w:rFonts w:ascii="Times New Roman" w:cs="Times New Roman" w:eastAsia="Times New Roman" w:hAnsi="Times New Roman"/>
          <w:sz w:val="28"/>
          <w:szCs w:val="28"/>
        </w:rPr>
        <w:t xml:space="preserve">40. Keegan B. J., Rowley J. Evaluation and decision making in social media marketing. Management Decision. 2017. Vol. 55, No. 1. P. 15–31. DOI: https://doi.org/10.1108/MD-10-2015-0450</w:t>
      </w:r>
    </w:p>
    <w:p>
      <w:pPr>
        <w:spacing w:after="0" w:before="0" w:line="360"/>
        <w:ind w:left="709" w:hanging="340"/>
        <w:jc w:val="both"/>
      </w:pPr>
      <w:r>
        <w:rPr>
          <w:rFonts w:ascii="Times New Roman" w:cs="Times New Roman" w:eastAsia="Times New Roman" w:hAnsi="Times New Roman"/>
          <w:sz w:val="28"/>
          <w:szCs w:val="28"/>
        </w:rPr>
        <w:t xml:space="preserve">41. Мостова А. Оцінювання ефективності просування бізнесу в соціальних мережах. Економіка та суспільство. 2022. № 43. DOI: https://doi.org/10.32782/2524-0072/2022-43-27</w:t>
      </w:r>
    </w:p>
    <w:p>
      <w:pPr>
        <w:spacing w:after="0" w:before="0" w:line="360"/>
        <w:ind w:left="709" w:hanging="340"/>
        <w:jc w:val="both"/>
      </w:pPr>
      <w:r>
        <w:rPr>
          <w:rFonts w:ascii="Times New Roman" w:cs="Times New Roman" w:eastAsia="Times New Roman" w:hAnsi="Times New Roman"/>
          <w:sz w:val="28"/>
          <w:szCs w:val="28"/>
        </w:rPr>
        <w:t xml:space="preserve">42. Левицька О., Павлишин М., Бурак Є. Оцінювання ефективності рекламних витрат. Вісник Львівського університету. Серія економічна. 2025. Вип. 69. URL: https://publications.lnu.edu.ua/bulletins/index.php/economics/article/viewFile/14050/14640</w:t>
      </w:r>
    </w:p>
    <w:p>
      <w:pPr>
        <w:spacing w:after="0" w:before="0" w:line="360"/>
        <w:ind w:left="709" w:hanging="340"/>
        <w:jc w:val="both"/>
      </w:pPr>
      <w:r>
        <w:rPr>
          <w:rFonts w:ascii="Times New Roman" w:cs="Times New Roman" w:eastAsia="Times New Roman" w:hAnsi="Times New Roman"/>
          <w:sz w:val="28"/>
          <w:szCs w:val="28"/>
        </w:rPr>
        <w:t xml:space="preserve">43. Peters K., Chen Y., Kaplan A. M., Ognibeni B., Pauwels K. Social media metrics – A framework and guidelines for managing social media. Journal of Interactive Marketing. 2013. Vol. 27, No. 4. P. 281–298. DOI: https://doi.org/10.1016/j.intmar.2013.09.007</w:t>
      </w:r>
    </w:p>
    <w:p>
      <w:pPr>
        <w:spacing w:after="0" w:before="0" w:line="360"/>
        <w:ind w:left="709" w:hanging="340"/>
        <w:jc w:val="both"/>
      </w:pPr>
      <w:r>
        <w:rPr>
          <w:rFonts w:ascii="Times New Roman" w:cs="Times New Roman" w:eastAsia="Times New Roman" w:hAnsi="Times New Roman"/>
          <w:sz w:val="28"/>
          <w:szCs w:val="28"/>
        </w:rPr>
        <w:t xml:space="preserve">44. Kumar V., Bhaskaran V., Mirchandani R., Shah M. Creating a measurable social media marketing strategy: Increasing the value and ROI of intangibles and tangibles for Hokey Pokey. Marketing Science. 2013. Vol. 32, No. 2. P. 194–212. DOI: https://doi.org/10.1287/mksc.1120.0768</w:t>
      </w:r>
    </w:p>
    <w:p>
      <w:pPr>
        <w:spacing w:after="0" w:before="0" w:line="360"/>
        <w:ind w:left="709" w:hanging="340"/>
        <w:jc w:val="both"/>
      </w:pPr>
      <w:r>
        <w:rPr>
          <w:rFonts w:ascii="Times New Roman" w:cs="Times New Roman" w:eastAsia="Times New Roman" w:hAnsi="Times New Roman"/>
          <w:sz w:val="28"/>
          <w:szCs w:val="28"/>
        </w:rPr>
        <w:t xml:space="preserve">45. Farris P. W., Bendle N. T., Pfeifer P. E., Reibstein D. J. Marketing Metrics: The Manager's Guide to Measuring Marketing Performance. 3rd ed. Upper Saddle River : Pearson Education, 2015.</w:t>
      </w:r>
    </w:p>
    <w:p>
      <w:pPr>
        <w:spacing w:after="0" w:before="0" w:line="360"/>
        <w:ind w:left="709" w:hanging="340"/>
        <w:jc w:val="both"/>
      </w:pPr>
      <w:r>
        <w:rPr>
          <w:rFonts w:ascii="Times New Roman" w:cs="Times New Roman" w:eastAsia="Times New Roman" w:hAnsi="Times New Roman"/>
          <w:sz w:val="28"/>
          <w:szCs w:val="28"/>
        </w:rPr>
        <w:t xml:space="preserve">46. Зозульов О. В., Царьова Т. О. Наукові дослідження в маркетингу : конспект лекцій [Електронний ресурс] : навч. посіб. для здобувачів ступеня магістра за ОП «Промисловий маркетинг» / КПІ ім. Ігоря Сікорського. Київ : КПІ ім. Ігоря Сікорського, 2025. 274 с. URL: https://ela.kpi.ua/server/api/core/bitstreams/97d9f92d-3473-49c1-899a-c14196c3b384/content</w:t>
      </w:r>
    </w:p>
    <w:p>
      <w:pPr>
        <w:spacing w:after="0" w:before="0" w:line="360"/>
        <w:ind w:left="709" w:hanging="340"/>
        <w:jc w:val="both"/>
      </w:pPr>
      <w:r>
        <w:rPr>
          <w:rFonts w:ascii="Times New Roman" w:cs="Times New Roman" w:eastAsia="Times New Roman" w:hAnsi="Times New Roman"/>
          <w:sz w:val="28"/>
          <w:szCs w:val="28"/>
        </w:rPr>
        <w:t xml:space="preserve">47. Роїк О. О., Овсяк В. К. Розвиток та оцінювання реклами в соціальних мережах. Науковий вісник НЛТУ України. 2024. Т. 34, № 1. DOI: https://doi.org/10.36930/40340111</w:t>
      </w:r>
    </w:p>
    <w:p>
      <w:pPr>
        <w:pStyle w:val="Heading2"/>
        <w:spacing w:after="240" w:before="240" w:line="360"/>
        <w:ind w:firstLine="709"/>
      </w:pPr>
      <w:r>
        <w:rPr>
          <w:rFonts w:ascii="Times New Roman" w:cs="Times New Roman" w:eastAsia="Times New Roman" w:hAnsi="Times New Roman"/>
          <w:b/>
          <w:bCs/>
          <w:color w:val="000000"/>
          <w:sz w:val="28"/>
          <w:szCs w:val="28"/>
        </w:rPr>
        <w:t xml:space="preserve">Що зробити з цим текстом (чек-лист)</w:t>
      </w:r>
    </w:p>
    <w:p>
      <w:pPr>
        <w:spacing w:after="0" w:before="0" w:line="360"/>
        <w:ind w:left="709"/>
      </w:pPr>
      <w:r>
        <w:rPr>
          <w:rFonts w:ascii="Times New Roman" w:cs="Times New Roman" w:eastAsia="Times New Roman" w:hAnsi="Times New Roman"/>
          <w:sz w:val="28"/>
          <w:szCs w:val="28"/>
        </w:rPr>
        <w:t xml:space="preserve">☐ Перефразувати текст своїми словами.</w:t>
      </w:r>
    </w:p>
    <w:p>
      <w:pPr>
        <w:spacing w:after="0" w:before="0" w:line="360"/>
        <w:ind w:left="709"/>
      </w:pPr>
      <w:r>
        <w:rPr>
          <w:rFonts w:ascii="Times New Roman" w:cs="Times New Roman" w:eastAsia="Times New Roman" w:hAnsi="Times New Roman"/>
          <w:sz w:val="28"/>
          <w:szCs w:val="28"/>
        </w:rPr>
        <w:t xml:space="preserve">☐ Знайти сторінки для всіх [N, с. __] / [N, p. __].</w:t>
      </w:r>
    </w:p>
    <w:p>
      <w:pPr>
        <w:spacing w:after="0" w:before="0" w:line="360"/>
        <w:ind w:left="709"/>
      </w:pPr>
      <w:r>
        <w:rPr>
          <w:rFonts w:ascii="Times New Roman" w:cs="Times New Roman" w:eastAsia="Times New Roman" w:hAnsi="Times New Roman"/>
          <w:sz w:val="28"/>
          <w:szCs w:val="28"/>
        </w:rPr>
        <w:t xml:space="preserve">☐ Перевірити в оригіналах твердження про Felix et al. [27], Varela-Neira et al. [28], Keegan &amp; Rowley [40], Peters et al. [43], Hoffman &amp; Fodor [22].</w:t>
      </w:r>
    </w:p>
    <w:p>
      <w:pPr>
        <w:spacing w:after="0" w:before="0" w:line="360"/>
        <w:ind w:left="709"/>
      </w:pPr>
      <w:r>
        <w:rPr>
          <w:rFonts w:ascii="Times New Roman" w:cs="Times New Roman" w:eastAsia="Times New Roman" w:hAnsi="Times New Roman"/>
          <w:sz w:val="28"/>
          <w:szCs w:val="28"/>
        </w:rPr>
        <w:t xml:space="preserve">☐ Перевірити, що AIDA є в Котлера [6], а SOSTAC, RACE і 5S — у Chaffey [8].</w:t>
      </w:r>
    </w:p>
    <w:p>
      <w:pPr>
        <w:spacing w:after="0" w:before="0" w:line="360"/>
        <w:ind w:left="709"/>
      </w:pPr>
      <w:r>
        <w:rPr>
          <w:rFonts w:ascii="Times New Roman" w:cs="Times New Roman" w:eastAsia="Times New Roman" w:hAnsi="Times New Roman"/>
          <w:sz w:val="28"/>
          <w:szCs w:val="28"/>
        </w:rPr>
        <w:t xml:space="preserve">☐ Перемалювати рис. 1.3 і 1.4 у Word (SmartArt або фігури).</w:t>
      </w:r>
    </w:p>
    <w:p>
      <w:pPr>
        <w:spacing w:after="0" w:before="0" w:line="360"/>
        <w:ind w:left="709"/>
      </w:pPr>
      <w:r>
        <w:rPr>
          <w:rFonts w:ascii="Times New Roman" w:cs="Times New Roman" w:eastAsia="Times New Roman" w:hAnsi="Times New Roman"/>
          <w:sz w:val="28"/>
          <w:szCs w:val="28"/>
        </w:rPr>
        <w:t xml:space="preserve">☐ Формули набрати в редакторі формул Word, з нумерацією (1.1)–(1.9) праворуч.</w:t>
      </w:r>
    </w:p>
    <w:p>
      <w:pPr>
        <w:spacing w:after="0" w:before="0" w:line="360"/>
        <w:ind w:left="709"/>
      </w:pPr>
      <w:r>
        <w:rPr>
          <w:rFonts w:ascii="Times New Roman" w:cs="Times New Roman" w:eastAsia="Times New Roman" w:hAnsi="Times New Roman"/>
          <w:sz w:val="28"/>
          <w:szCs w:val="28"/>
        </w:rPr>
        <w:t xml:space="preserve">☐ За бажанням додати в табл. 1.5 дані про аудиторію платформ в Україні [2].</w:t>
      </w:r>
    </w:p>
    <w:p>
      <w:pPr>
        <w:spacing w:after="0" w:before="0" w:line="360"/>
        <w:ind w:left="709"/>
      </w:pPr>
      <w:r>
        <w:rPr>
          <w:rFonts w:ascii="Times New Roman" w:cs="Times New Roman" w:eastAsia="Times New Roman" w:hAnsi="Times New Roman"/>
          <w:sz w:val="28"/>
          <w:szCs w:val="28"/>
        </w:rPr>
        <w:t xml:space="preserve">☐ Своє авторське визначення з 1.1 і методичний підхід (рис. 1.4) винести в «Наукову новизну» у вступі.</w:t>
      </w:r>
    </w:p>
    <w:sectPr>
      <w:pgSz w:w="11907" w:h="16840"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49" w:hanging="340"/>
      </w:pPr>
    </w:lvl>
    <w:lvl w:ilvl="1" w15:tentative="1">
      <w:start w:val="1"/>
      <w:numFmt w:val="bullet"/>
      <w:lvlText w:val="•"/>
      <w:lvlJc w:val="left"/>
      <w:pPr>
        <w:ind w:left="1474"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2026-10-06T16:49:42.174Z</dcterms:created>
  <dcterms:modified xsi:type="dcterms:W3CDTF">2026-10-06T16:49:42.182Z</dcterms:modified>
</cp:coreProperties>
</file>

<file path=docProps/custom.xml><?xml version="1.0" encoding="utf-8"?>
<Properties xmlns="http://schemas.openxmlformats.org/officeDocument/2006/custom-properties" xmlns:vt="http://schemas.openxmlformats.org/officeDocument/2006/docPropsVTypes"/>
</file>