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Розподіл сторінок магістерської дисертації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Тема: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«Управління маркетинговим просуванням підприємства в соціальних мережах» (ТОВ «Гран-Премʼєр»)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Основа: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методичка КПІ ім. Ігоря Сікорського (D5 «Маркетинг», 2025). Основна частина займає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90–120 сторінок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без списку джерел і додатків. Формат: Times New Roman 14, інтервал 1,5, 29–30 рядків на сторінці.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Ціль: ≈105 сторінок основної частини.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Це середина діапазону, тож є запас в обидва боки.</w:t>
      </w:r>
    </w:p>
    <w:p>
      <w:pPr>
        <w:pStyle w:val="Heading2"/>
        <w:spacing w:after="24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Основна частина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1"/>
        <w:gridCol w:w="1871"/>
        <w:gridCol w:w="1871"/>
        <w:gridCol w:w="1871"/>
        <w:gridCol w:w="1872"/>
      </w:tblGrid>
      <w:tr>
        <w:trPr>
          <w:tblHeader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Частина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Мінімум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Ціль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Максимум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Джерел (орієнтовно)</w:t>
            </w:r>
          </w:p>
        </w:tc>
      </w:tr>
      <w:tr>
        <w:trPr>
          <w:tblHeader w:val="false"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ВСТУП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5–8 (згадки провідних вчених в актуальності)</w:t>
            </w:r>
          </w:p>
        </w:tc>
      </w:tr>
      <w:tr>
        <w:trPr>
          <w:tblHeader w:val="false"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РОЗДІЛ 1. Теоретико-методичні засади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23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27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32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35–45</w:t>
            </w:r>
          </w:p>
        </w:tc>
      </w:tr>
      <w:tr>
        <w:trPr>
          <w:tblHeader w:val="false"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1.1. Сутність та роль маркетингового просування в соцмережах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12–15</w:t>
            </w:r>
          </w:p>
        </w:tc>
      </w:tr>
      <w:tr>
        <w:trPr>
          <w:tblHeader w:val="false"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1.2. Система управління маркетинговим просуванням у соцмережах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11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12–15</w:t>
            </w:r>
          </w:p>
        </w:tc>
      </w:tr>
      <w:tr>
        <w:trPr>
          <w:tblHeader w:val="false"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1.3. Методичні засади оцінювання ефективності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10–15</w:t>
            </w:r>
          </w:p>
        </w:tc>
      </w:tr>
      <w:tr>
        <w:trPr>
          <w:tblHeader w:val="false"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Висновки до розділу 1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РОЗДІЛ 2. Діагностика управління просуванням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30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35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40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15–20</w:t>
            </w:r>
          </w:p>
        </w:tc>
      </w:tr>
      <w:tr>
        <w:trPr>
          <w:tblHeader w:val="false"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2.1. Характеристика підприємства та маркетингового середовища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11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12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8–10 (статистика, ринок, YouControl/SMIDA)</w:t>
            </w:r>
          </w:p>
        </w:tc>
      </w:tr>
      <w:tr>
        <w:trPr>
          <w:tblHeader w:val="false"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2.2. Аналіз маркетингового просування ТОВ «Гран-Премʼєр» у соцмережах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11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13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15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3–5 (дані підприємства, аналітика платформ)</w:t>
            </w:r>
          </w:p>
        </w:tc>
      </w:tr>
      <w:tr>
        <w:trPr>
          <w:tblHeader w:val="false"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2.3. Оцінювання ефективності управління просуванням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12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4–5 (бенчмарки, методики)</w:t>
            </w:r>
          </w:p>
        </w:tc>
      </w:tr>
      <w:tr>
        <w:trPr>
          <w:tblHeader w:val="false"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Висновки до розділу 2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РОЗДІЛ 3. Удосконалення управління просуванням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30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34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38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10–15</w:t>
            </w:r>
          </w:p>
        </w:tc>
      </w:tr>
      <w:tr>
        <w:trPr>
          <w:tblHeader w:val="false"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3.1. Обґрунтування напрямів удосконалення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4–6</w:t>
            </w:r>
          </w:p>
        </w:tc>
      </w:tr>
      <w:tr>
        <w:trPr>
          <w:tblHeader w:val="false"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3.2. Комплекс заходів (план реалізації та бюджет)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11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13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15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4–6</w:t>
            </w:r>
          </w:p>
        </w:tc>
      </w:tr>
      <w:tr>
        <w:trPr>
          <w:tblHeader w:val="false"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3.3. Оцінювання економічної ефективності заходів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11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12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2–3 (методики розрахунку)</w:t>
            </w:r>
          </w:p>
        </w:tc>
      </w:tr>
      <w:tr>
        <w:trPr>
          <w:tblHeader w:val="false"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Висновки до розділу 3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ВИСНОВКИ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РАЗОМ основна частина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90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105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120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60–80</w:t>
            </w:r>
          </w:p>
        </w:tc>
      </w:tr>
    </w:tbl>
    <w:p>
      <w:pPr>
        <w:shd w:fill="FFF4CC" w:color="auto" w:val="clear"/>
        <w:spacing w:after="60" w:before="0" w:line="276"/>
        <w:ind w:left="170"/>
      </w:pPr>
      <w:r>
        <w:rPr>
          <w:rFonts w:ascii="Times New Roman" w:cs="Times New Roman" w:eastAsia="Times New Roman" w:hAnsi="Times New Roman"/>
          <w:color w:val="7A4B00"/>
          <w:sz w:val="22"/>
          <w:szCs w:val="22"/>
        </w:rPr>
        <w:t xml:space="preserve">Розділ 1 навмисно менший за розділи 2 і 3. Методичка застерігає, що теорія не повинна «надмірно збільшувати обсяг» і відриватися від практичних розділів. Він має бути аналізом за темою, а не переказом підручників.</w:t>
      </w:r>
    </w:p>
    <w:p>
      <w:pPr>
        <w:pStyle w:val="Heading2"/>
        <w:spacing w:after="24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Частини поза основним обсягом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8"/>
        <w:gridCol w:w="4678"/>
      </w:tblGrid>
      <w:tr>
        <w:trPr>
          <w:tblHeader/>
        </w:trPr>
        <w:tc>
          <w:tcPr>
            <w:tcW w:type="dxa" w:w="4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Частина</w:t>
            </w:r>
          </w:p>
        </w:tc>
        <w:tc>
          <w:tcPr>
            <w:tcW w:type="dxa" w:w="4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Сторінок</w:t>
            </w:r>
          </w:p>
        </w:tc>
      </w:tr>
      <w:tr>
        <w:trPr>
          <w:tblHeader w:val="false"/>
        </w:trPr>
        <w:tc>
          <w:tcPr>
            <w:tcW w:type="dxa" w:w="4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Титульний аркуш</w:t>
            </w:r>
          </w:p>
        </w:tc>
        <w:tc>
          <w:tcPr>
            <w:tcW w:type="dxa" w:w="4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4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Завдання + календарний план</w:t>
            </w:r>
          </w:p>
        </w:tc>
        <w:tc>
          <w:tcPr>
            <w:tcW w:type="dxa" w:w="4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2–3</w:t>
            </w:r>
          </w:p>
        </w:tc>
      </w:tr>
      <w:tr>
        <w:trPr>
          <w:tblHeader w:val="false"/>
        </w:trPr>
        <w:tc>
          <w:tcPr>
            <w:tcW w:type="dxa" w:w="4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Реферат (укр.) + Abstract (англ.), по 200–500 слів</w:t>
            </w:r>
          </w:p>
        </w:tc>
        <w:tc>
          <w:tcPr>
            <w:tcW w:type="dxa" w:w="4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4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Перелік умовних позначень (CTR, CPC, CPM, CPL, CAC, ROMI, ER, UGC, CRM…)</w:t>
            </w:r>
          </w:p>
        </w:tc>
        <w:tc>
          <w:tcPr>
            <w:tcW w:type="dxa" w:w="4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4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Зміст</w:t>
            </w:r>
          </w:p>
        </w:tc>
        <w:tc>
          <w:tcPr>
            <w:tcW w:type="dxa" w:w="4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4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Список використаних джерел (60–80 позицій)</w:t>
            </w:r>
          </w:p>
        </w:tc>
        <w:tc>
          <w:tcPr>
            <w:tcW w:type="dxa" w:w="4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7–9</w:t>
            </w:r>
          </w:p>
        </w:tc>
      </w:tr>
      <w:tr>
        <w:trPr>
          <w:tblHeader w:val="false"/>
        </w:trPr>
        <w:tc>
          <w:tcPr>
            <w:tcW w:type="dxa" w:w="4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Додатки</w:t>
            </w:r>
          </w:p>
        </w:tc>
        <w:tc>
          <w:tcPr>
            <w:tcW w:type="dxa" w:w="4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10–20</w:t>
            </w:r>
          </w:p>
        </w:tc>
      </w:tr>
      <w:tr>
        <w:trPr>
          <w:tblHeader w:val="false"/>
        </w:trPr>
        <w:tc>
          <w:tcPr>
            <w:tcW w:type="dxa" w:w="4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Разом документ</w:t>
            </w:r>
          </w:p>
        </w:tc>
        <w:tc>
          <w:tcPr>
            <w:tcW w:type="dxa" w:w="4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≈130–155</w:t>
            </w:r>
          </w:p>
        </w:tc>
      </w:tr>
    </w:tbl>
    <w:p>
      <w:pPr>
        <w:pStyle w:val="Heading2"/>
        <w:spacing w:after="24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Що має бути в кожному підрозділі (щоб «добрати» обсяг змістом, а не водою)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### Розділ 1 (≈27 с.)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 (8 с.)</w:t>
      </w:r>
    </w:p>
    <w:p>
      <w:pPr>
        <w:pStyle w:val="ListParagraph"/>
        <w:numPr>
          <w:ilvl w:val="1"/>
          <w:numId w:val="2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Таблиця «Автор — визначення» для понять «маркетингове просування», «SMM», «соціальні медіа»: 8–10 авторів, вітчизняні та англомовні.</w:t>
      </w:r>
    </w:p>
    <w:p>
      <w:pPr>
        <w:pStyle w:val="ListParagraph"/>
        <w:numPr>
          <w:ilvl w:val="1"/>
          <w:numId w:val="2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Власне авторське визначення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це елемент наукової новизни.</w:t>
      </w:r>
    </w:p>
    <w:p>
      <w:pPr>
        <w:pStyle w:val="ListParagraph"/>
        <w:numPr>
          <w:ilvl w:val="1"/>
          <w:numId w:val="2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Схема місця соцмереж у системі маркетингових комунікацій (Mangold &amp; Faulds).</w:t>
      </w:r>
    </w:p>
    <w:p>
      <w:pPr>
        <w:pStyle w:val="ListParagraph"/>
        <w:numPr>
          <w:ilvl w:val="1"/>
          <w:numId w:val="2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Порівняння SMM з традиційними комунікаціями.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 (9 с.)</w:t>
      </w:r>
    </w:p>
    <w:p>
      <w:pPr>
        <w:pStyle w:val="ListParagraph"/>
        <w:numPr>
          <w:ilvl w:val="1"/>
          <w:numId w:val="2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Схема процесу управління: аналіз → цілі → ЦА → платформи → контент → бюджет → реалізація → контроль.</w:t>
      </w:r>
    </w:p>
    <w:p>
      <w:pPr>
        <w:pStyle w:val="ListParagraph"/>
        <w:numPr>
          <w:ilvl w:val="1"/>
          <w:numId w:val="2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Порівняльна таблиця моделей SOSTAC, RACE, AIDA та 5S.</w:t>
      </w:r>
    </w:p>
    <w:p>
      <w:pPr>
        <w:pStyle w:val="ListParagraph"/>
        <w:numPr>
          <w:ilvl w:val="1"/>
          <w:numId w:val="2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Характеристика платформ: Instagram, Facebook, TikTok, YouTube, Telegram, LinkedIn.</w:t>
      </w:r>
    </w:p>
    <w:p>
      <w:pPr>
        <w:pStyle w:val="ListParagraph"/>
        <w:numPr>
          <w:ilvl w:val="1"/>
          <w:numId w:val="2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Інструменти: таргет, інфлюенсери, UGC, ретаргетинг, CRM.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 (9 с.)</w:t>
      </w:r>
    </w:p>
    <w:p>
      <w:pPr>
        <w:pStyle w:val="ListParagraph"/>
        <w:numPr>
          <w:ilvl w:val="1"/>
          <w:numId w:val="2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показників: таблиця з формулами CTR, CPC, CPM, CPL, CR, CAC, ROMI, ER, згрупованими за рівнями (охоплення → залучення → конверсія → економічний результат).</w:t>
      </w:r>
    </w:p>
    <w:p>
      <w:pPr>
        <w:pStyle w:val="ListParagraph"/>
        <w:numPr>
          <w:ilvl w:val="1"/>
          <w:numId w:val="2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Методи оцінювання: бенчмаркінг, SWOT, контент-аналіз, аналіз воронки.</w:t>
      </w:r>
    </w:p>
    <w:p>
      <w:pPr>
        <w:pStyle w:val="ListParagraph"/>
        <w:numPr>
          <w:ilvl w:val="1"/>
          <w:numId w:val="2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Методичний підхід, обраний для розділу 2.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### Розділ 2 (≈35 с.)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 (11 с.)</w:t>
      </w:r>
    </w:p>
    <w:p>
      <w:pPr>
        <w:pStyle w:val="ListParagraph"/>
        <w:numPr>
          <w:ilvl w:val="1"/>
          <w:numId w:val="2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Ринок: динаміка, структура, конкуренти, 5 сил Портера.</w:t>
      </w:r>
    </w:p>
    <w:p>
      <w:pPr>
        <w:pStyle w:val="ListParagraph"/>
        <w:numPr>
          <w:ilvl w:val="1"/>
          <w:numId w:val="2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Профіль підприємства.</w:t>
      </w:r>
    </w:p>
    <w:p>
      <w:pPr>
        <w:pStyle w:val="ListParagraph"/>
        <w:numPr>
          <w:ilvl w:val="1"/>
          <w:numId w:val="2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Фінансово-економічні показники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 3–5 років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(2021–2025).</w:t>
      </w:r>
    </w:p>
    <w:p>
      <w:pPr>
        <w:pStyle w:val="ListParagraph"/>
        <w:numPr>
          <w:ilvl w:val="1"/>
          <w:numId w:val="2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Організація маркетингу.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 (13 с.)</w:t>
      </w:r>
    </w:p>
    <w:p>
      <w:pPr>
        <w:pStyle w:val="ListParagraph"/>
        <w:numPr>
          <w:ilvl w:val="1"/>
          <w:numId w:val="2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Аудит акаунтів: платформи, аудиторія, рубрикатор контенту, частота публікацій, рекламні кампанії, бюджет.</w:t>
      </w:r>
    </w:p>
    <w:p>
      <w:pPr>
        <w:pStyle w:val="ListParagraph"/>
        <w:numPr>
          <w:ilvl w:val="1"/>
          <w:numId w:val="2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Метрики за періодом у таблицях і на графіках.</w:t>
      </w:r>
    </w:p>
    <w:p>
      <w:pPr>
        <w:pStyle w:val="ListParagraph"/>
        <w:numPr>
          <w:ilvl w:val="1"/>
          <w:numId w:val="2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Хто веде SMM: власна команда чи агенція.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 (10 с.)</w:t>
      </w:r>
    </w:p>
    <w:p>
      <w:pPr>
        <w:pStyle w:val="ListParagraph"/>
        <w:numPr>
          <w:ilvl w:val="1"/>
          <w:numId w:val="2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Бенчмаркінг з 3–5 конкурентами.</w:t>
      </w:r>
    </w:p>
    <w:p>
      <w:pPr>
        <w:pStyle w:val="ListParagraph"/>
        <w:numPr>
          <w:ilvl w:val="1"/>
          <w:numId w:val="2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Контент-аналіз.</w:t>
      </w:r>
    </w:p>
    <w:p>
      <w:pPr>
        <w:pStyle w:val="ListParagraph"/>
        <w:numPr>
          <w:ilvl w:val="1"/>
          <w:numId w:val="2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Воронка «охоплення → кліки → ліди → продажі».</w:t>
      </w:r>
    </w:p>
    <w:p>
      <w:pPr>
        <w:pStyle w:val="ListParagraph"/>
        <w:numPr>
          <w:ilvl w:val="1"/>
          <w:numId w:val="2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SWOT-аналіз SMM.</w:t>
      </w:r>
    </w:p>
    <w:p>
      <w:pPr>
        <w:pStyle w:val="ListParagraph"/>
        <w:numPr>
          <w:ilvl w:val="1"/>
          <w:numId w:val="2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Перелік проблем і резервів, які стануть входом для розділу 3.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### Розділ 3 (≈34 с.)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 (9 с.)</w:t>
      </w:r>
    </w:p>
    <w:p>
      <w:pPr>
        <w:pStyle w:val="ListParagraph"/>
        <w:numPr>
          <w:ilvl w:val="1"/>
          <w:numId w:val="2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Цілі за SMART.</w:t>
      </w:r>
    </w:p>
    <w:p>
      <w:pPr>
        <w:pStyle w:val="ListParagraph"/>
        <w:numPr>
          <w:ilvl w:val="1"/>
          <w:numId w:val="2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Пріоритетні сегменти та платформи.</w:t>
      </w:r>
    </w:p>
    <w:p>
      <w:pPr>
        <w:pStyle w:val="ListParagraph"/>
        <w:numPr>
          <w:ilvl w:val="1"/>
          <w:numId w:val="2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Позиціонування й tone of voice.</w:t>
      </w:r>
    </w:p>
    <w:p>
      <w:pPr>
        <w:pStyle w:val="ListParagraph"/>
        <w:numPr>
          <w:ilvl w:val="1"/>
          <w:numId w:val="2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Принципи роботи з аудиторією.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 (13 с.)</w:t>
      </w:r>
    </w:p>
    <w:p>
      <w:pPr>
        <w:pStyle w:val="ListParagraph"/>
        <w:numPr>
          <w:ilvl w:val="1"/>
          <w:numId w:val="2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Комплекс заходів: контент-стратегія, таргет, ретаргетинг, інфлюенсери, UGC, відео, лідогенерація, інтеграція з сайтом і CRM.</w:t>
      </w:r>
    </w:p>
    <w:p>
      <w:pPr>
        <w:pStyle w:val="ListParagraph"/>
        <w:numPr>
          <w:ilvl w:val="1"/>
          <w:numId w:val="2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Розрахунково-оптимізаційна задача (обов'язкова за методичкою!)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наприклад оптимальний розподіл бюджету між платформами і форматами за CPL/ROMI, з Excel Solver або лінійним програмуванням.</w:t>
      </w:r>
    </w:p>
    <w:p>
      <w:pPr>
        <w:pStyle w:val="ListParagraph"/>
        <w:numPr>
          <w:ilvl w:val="1"/>
          <w:numId w:val="2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План-графік реалізації (діаграма Ганта).</w:t>
      </w:r>
    </w:p>
    <w:p>
      <w:pPr>
        <w:pStyle w:val="ListParagraph"/>
        <w:numPr>
          <w:ilvl w:val="1"/>
          <w:numId w:val="2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Кошторис.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 (11 с.)</w:t>
      </w:r>
    </w:p>
    <w:p>
      <w:pPr>
        <w:pStyle w:val="ListParagraph"/>
        <w:numPr>
          <w:ilvl w:val="1"/>
          <w:numId w:val="2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Прогноз охоплення, трафіку, лідів і продажів.</w:t>
      </w:r>
    </w:p>
    <w:p>
      <w:pPr>
        <w:pStyle w:val="ListParagraph"/>
        <w:numPr>
          <w:ilvl w:val="1"/>
          <w:numId w:val="2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Витрати та доходи «до/після».</w:t>
      </w:r>
    </w:p>
    <w:p>
      <w:pPr>
        <w:pStyle w:val="ListParagraph"/>
        <w:numPr>
          <w:ilvl w:val="1"/>
          <w:numId w:val="2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CPL, CAC, ROMI.</w:t>
      </w:r>
    </w:p>
    <w:p>
      <w:pPr>
        <w:pStyle w:val="ListParagraph"/>
        <w:numPr>
          <w:ilvl w:val="1"/>
          <w:numId w:val="2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NPV, PI, термін окупності, точка беззбитковості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(вимога методички).</w:t>
      </w:r>
    </w:p>
    <w:p>
      <w:pPr>
        <w:pStyle w:val="ListParagraph"/>
        <w:numPr>
          <w:ilvl w:val="1"/>
          <w:numId w:val="2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Ризики та заходи щодо їх зниження.</w:t>
      </w:r>
    </w:p>
    <w:p>
      <w:pPr>
        <w:pStyle w:val="Heading2"/>
        <w:spacing w:after="24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Підказки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Висновки до розділів (по 1 с.)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по одному абзацу на кожен підрозділ.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Загальні висновки (4 с.)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:</w:t>
      </w:r>
    </w:p>
    <w:p>
      <w:pPr>
        <w:pStyle w:val="ListParagraph"/>
        <w:numPr>
          <w:ilvl w:val="1"/>
          <w:numId w:val="2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кількість пунктів = кількість завдань у вступі + 1 загальний висновок;</w:t>
      </w:r>
    </w:p>
    <w:p>
      <w:pPr>
        <w:pStyle w:val="ListParagraph"/>
        <w:numPr>
          <w:ilvl w:val="1"/>
          <w:numId w:val="2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кожен пункт починається словами «визначено…», «встановлено…»;</w:t>
      </w:r>
    </w:p>
    <w:p>
      <w:pPr>
        <w:pStyle w:val="ListParagraph"/>
        <w:numPr>
          <w:ilvl w:val="1"/>
          <w:numId w:val="2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обов'язково з цифрами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Таблиці й рисунки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займають близько 25–35 % обсягу практичних розділів. Великі таблиці (вихідні дані, анкети, повні розрахунки) винось у додатки, а в тексті залишай зведені.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Якщо текст виходить за межі 120 сторінок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скорочуй розділ 1. Якщо не дотягуєш до 90, розширюй 2.2 і 3.2 практичними даними.</w:t>
      </w:r>
    </w:p>
    <w:sectPr>
      <w:pgSz w:w="11907" w:h="16840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49" w:hanging="340"/>
      </w:pPr>
    </w:lvl>
    <w:lvl w:ilvl="1" w15:tentative="1">
      <w:start w:val="1"/>
      <w:numFmt w:val="bullet"/>
      <w:lvlText w:val="•"/>
      <w:lvlJc w:val="left"/>
      <w:pPr>
        <w:ind w:left="1474" w:hanging="28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2026-10-06T18:04:11.641Z</dcterms:created>
  <dcterms:modified xsi:type="dcterms:W3CDTF">2026-10-06T18:04:11.648Z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