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line="360"/>
        <w:jc w:val="center"/>
      </w:pPr>
      <w:r>
        <w:rPr>
          <w:rFonts w:ascii="Times New Roman" w:cs="Times New Roman" w:eastAsia="Times New Roman" w:hAnsi="Times New Roman"/>
          <w:b/>
          <w:bCs/>
          <w:color w:val="000000"/>
          <w:sz w:val="28"/>
          <w:szCs w:val="28"/>
        </w:rPr>
        <w:t xml:space="preserve">ПРИКЛАД ТЕКСТУ ПІДРОЗДІЛУ 1.1</w:t>
      </w:r>
    </w:p>
    <w:p>
      <w:pPr>
        <w:shd w:fill="FFF4CC" w:color="auto" w:val="clear"/>
        <w:spacing w:after="60" w:before="0" w:line="276"/>
        <w:ind w:left="170"/>
      </w:pPr>
      <w:r>
        <w:rPr>
          <w:rFonts w:ascii="Times New Roman" w:cs="Times New Roman" w:eastAsia="Times New Roman" w:hAnsi="Times New Roman"/>
          <w:b/>
          <w:bCs/>
          <w:color w:val="7A4B00"/>
          <w:sz w:val="22"/>
          <w:szCs w:val="22"/>
        </w:rPr>
        <w:t xml:space="preserve">Перш ніж використовувати, прочитайте це:</w:t>
      </w:r>
    </w:p>
    <w:p>
      <w:pPr>
        <w:shd w:fill="FFF4CC" w:color="auto" w:val="clear"/>
        <w:spacing w:after="60" w:before="0" w:line="276"/>
        <w:ind w:left="170"/>
      </w:pPr>
      <w:r>
        <w:rPr>
          <w:rFonts w:ascii="Times New Roman" w:cs="Times New Roman" w:eastAsia="Times New Roman" w:hAnsi="Times New Roman"/>
          <w:color w:val="7A4B00"/>
          <w:sz w:val="22"/>
          <w:szCs w:val="22"/>
        </w:rPr>
        <w:t xml:space="preserve">1. </w:t>
      </w:r>
      <w:r>
        <w:rPr>
          <w:rFonts w:ascii="Times New Roman" w:cs="Times New Roman" w:eastAsia="Times New Roman" w:hAnsi="Times New Roman"/>
          <w:b/>
          <w:bCs/>
          <w:color w:val="7A4B00"/>
          <w:sz w:val="22"/>
          <w:szCs w:val="22"/>
        </w:rPr>
        <w:t xml:space="preserve">Це зразок, а не готовий текст для здачі.</w:t>
      </w:r>
      <w:r>
        <w:rPr>
          <w:rFonts w:ascii="Times New Roman" w:cs="Times New Roman" w:eastAsia="Times New Roman" w:hAnsi="Times New Roman"/>
          <w:color w:val="7A4B00"/>
          <w:sz w:val="22"/>
          <w:szCs w:val="22"/>
        </w:rPr>
        <w:t xml:space="preserve"> Перепишіть його своїми словами, змініть порядок і доповніть власними думками. Тоді текст буде вашим і однорідним за стилем з рештою роботи.</w:t>
      </w:r>
    </w:p>
    <w:p>
      <w:pPr>
        <w:shd w:fill="FFF4CC" w:color="auto" w:val="clear"/>
        <w:spacing w:after="60" w:before="0" w:line="276"/>
        <w:ind w:left="170"/>
      </w:pPr>
      <w:r>
        <w:rPr>
          <w:rFonts w:ascii="Times New Roman" w:cs="Times New Roman" w:eastAsia="Times New Roman" w:hAnsi="Times New Roman"/>
          <w:color w:val="7A4B00"/>
          <w:sz w:val="22"/>
          <w:szCs w:val="22"/>
        </w:rPr>
        <w:t xml:space="preserve">2. </w:t>
      </w:r>
      <w:r>
        <w:rPr>
          <w:rFonts w:ascii="Times New Roman" w:cs="Times New Roman" w:eastAsia="Times New Roman" w:hAnsi="Times New Roman"/>
          <w:b/>
          <w:bCs/>
          <w:color w:val="7A4B00"/>
          <w:sz w:val="22"/>
          <w:szCs w:val="22"/>
        </w:rPr>
        <w:t xml:space="preserve">Квадратні дужки:</w:t>
      </w:r>
    </w:p>
    <w:p>
      <w:pPr>
        <w:shd w:fill="FFF4CC" w:color="auto" w:val="clear"/>
        <w:spacing w:after="60" w:before="0" w:line="276"/>
        <w:ind w:left="170"/>
      </w:pPr>
      <w:r>
        <w:rPr>
          <w:rFonts w:ascii="Times New Roman" w:cs="Times New Roman" w:eastAsia="Times New Roman" w:hAnsi="Times New Roman"/>
          <w:color w:val="7A4B00"/>
          <w:sz w:val="22"/>
          <w:szCs w:val="22"/>
        </w:rPr>
        <w:t xml:space="preserve">- </w:t>
      </w:r>
      <w:r>
        <w:rPr>
          <w:rFonts w:ascii="Times New Roman" w:cs="Times New Roman" w:eastAsia="Times New Roman" w:hAnsi="Times New Roman"/>
          <w:b/>
          <w:bCs/>
          <w:color w:val="7A4B00"/>
          <w:sz w:val="22"/>
          <w:szCs w:val="22"/>
        </w:rPr>
        <w:t xml:space="preserve">[N, с. __]</w:t>
      </w:r>
      <w:r>
        <w:rPr>
          <w:rFonts w:ascii="Times New Roman" w:cs="Times New Roman" w:eastAsia="Times New Roman" w:hAnsi="Times New Roman"/>
          <w:color w:val="7A4B00"/>
          <w:sz w:val="22"/>
          <w:szCs w:val="22"/>
        </w:rPr>
        <w:t xml:space="preserve">: номер джерела зі списку в кінці цього файлу і місце для сторінки, яку треба знайти в оригіналі;</w:t>
      </w:r>
    </w:p>
    <w:p>
      <w:pPr>
        <w:shd w:fill="FFF4CC" w:color="auto" w:val="clear"/>
        <w:spacing w:after="60" w:before="0" w:line="276"/>
        <w:ind w:left="170"/>
      </w:pPr>
      <w:r>
        <w:rPr>
          <w:rFonts w:ascii="Times New Roman" w:cs="Times New Roman" w:eastAsia="Times New Roman" w:hAnsi="Times New Roman"/>
          <w:color w:val="7A4B00"/>
          <w:sz w:val="22"/>
          <w:szCs w:val="22"/>
        </w:rPr>
        <w:t xml:space="preserve">- </w:t>
      </w:r>
      <w:r>
        <w:rPr>
          <w:rFonts w:ascii="Times New Roman" w:cs="Times New Roman" w:eastAsia="Times New Roman" w:hAnsi="Times New Roman"/>
          <w:b/>
          <w:bCs/>
          <w:color w:val="7A4B00"/>
          <w:sz w:val="22"/>
          <w:szCs w:val="22"/>
        </w:rPr>
        <w:t xml:space="preserve">«…»</w:t>
      </w:r>
      <w:r>
        <w:rPr>
          <w:rFonts w:ascii="Times New Roman" w:cs="Times New Roman" w:eastAsia="Times New Roman" w:hAnsi="Times New Roman"/>
          <w:color w:val="7A4B00"/>
          <w:sz w:val="22"/>
          <w:szCs w:val="22"/>
        </w:rPr>
        <w:t xml:space="preserve">: місце для дослівної цитати, яку ви скопіюєте з джерела. Цитат, яких я не можу перевірити, я </w:t>
      </w:r>
      <w:r>
        <w:rPr>
          <w:rFonts w:ascii="Times New Roman" w:cs="Times New Roman" w:eastAsia="Times New Roman" w:hAnsi="Times New Roman"/>
          <w:b/>
          <w:bCs/>
          <w:color w:val="7A4B00"/>
          <w:sz w:val="22"/>
          <w:szCs w:val="22"/>
        </w:rPr>
        <w:t xml:space="preserve">не вигадував</w:t>
      </w:r>
      <w:r>
        <w:rPr>
          <w:rFonts w:ascii="Times New Roman" w:cs="Times New Roman" w:eastAsia="Times New Roman" w:hAnsi="Times New Roman"/>
          <w:color w:val="7A4B00"/>
          <w:sz w:val="22"/>
          <w:szCs w:val="22"/>
        </w:rPr>
        <w:t xml:space="preserve">.</w:t>
      </w:r>
    </w:p>
    <w:p>
      <w:pPr>
        <w:shd w:fill="FFF4CC" w:color="auto" w:val="clear"/>
        <w:spacing w:after="60" w:before="0" w:line="276"/>
        <w:ind w:left="170"/>
      </w:pPr>
      <w:r>
        <w:rPr>
          <w:rFonts w:ascii="Times New Roman" w:cs="Times New Roman" w:eastAsia="Times New Roman" w:hAnsi="Times New Roman"/>
          <w:color w:val="7A4B00"/>
          <w:sz w:val="22"/>
          <w:szCs w:val="22"/>
        </w:rPr>
        <w:t xml:space="preserve">3. </w:t>
      </w:r>
      <w:r>
        <w:rPr>
          <w:rFonts w:ascii="Times New Roman" w:cs="Times New Roman" w:eastAsia="Times New Roman" w:hAnsi="Times New Roman"/>
          <w:b/>
          <w:bCs/>
          <w:color w:val="7A4B00"/>
          <w:sz w:val="22"/>
          <w:szCs w:val="22"/>
        </w:rPr>
        <w:t xml:space="preserve">Перевірте зміст.</w:t>
      </w:r>
      <w:r>
        <w:rPr>
          <w:rFonts w:ascii="Times New Roman" w:cs="Times New Roman" w:eastAsia="Times New Roman" w:hAnsi="Times New Roman"/>
          <w:color w:val="7A4B00"/>
          <w:sz w:val="22"/>
          <w:szCs w:val="22"/>
        </w:rPr>
        <w:t xml:space="preserve"> Твердження, які я приписую авторам, відповідають загальновідомому змісту цих праць. Перед здачею звірте кожне з оригіналом.</w:t>
      </w:r>
    </w:p>
    <w:p>
      <w:pPr>
        <w:shd w:fill="FFF4CC" w:color="auto" w:val="clear"/>
        <w:spacing w:after="60" w:before="0" w:line="276"/>
        <w:ind w:left="170"/>
      </w:pPr>
      <w:r>
        <w:rPr>
          <w:rFonts w:ascii="Times New Roman" w:cs="Times New Roman" w:eastAsia="Times New Roman" w:hAnsi="Times New Roman"/>
          <w:color w:val="7A4B00"/>
          <w:sz w:val="22"/>
          <w:szCs w:val="22"/>
        </w:rPr>
        <w:t xml:space="preserve">4. </w:t>
      </w:r>
      <w:r>
        <w:rPr>
          <w:rFonts w:ascii="Times New Roman" w:cs="Times New Roman" w:eastAsia="Times New Roman" w:hAnsi="Times New Roman"/>
          <w:b/>
          <w:bCs/>
          <w:color w:val="7A4B00"/>
          <w:sz w:val="22"/>
          <w:szCs w:val="22"/>
        </w:rPr>
        <w:t xml:space="preserve">Політика КПІ щодо ШІ.</w:t>
      </w:r>
      <w:r>
        <w:rPr>
          <w:rFonts w:ascii="Times New Roman" w:cs="Times New Roman" w:eastAsia="Times New Roman" w:hAnsi="Times New Roman"/>
          <w:color w:val="7A4B00"/>
          <w:sz w:val="22"/>
          <w:szCs w:val="22"/>
        </w:rPr>
        <w:t xml:space="preserve"> Ознайомтеся з нею (https://osvita.kpi.ua/node/1225) і за потреби вкажіть використання ШІ як допоміжного інструменту.</w:t>
      </w:r>
    </w:p>
    <w:p>
      <w:pPr>
        <w:pStyle w:val="Heading2"/>
        <w:spacing w:after="240" w:before="240" w:line="360"/>
        <w:ind w:firstLine="709"/>
      </w:pPr>
      <w:r>
        <w:rPr>
          <w:rFonts w:ascii="Times New Roman" w:cs="Times New Roman" w:eastAsia="Times New Roman" w:hAnsi="Times New Roman"/>
          <w:b/>
          <w:bCs/>
          <w:color w:val="000000"/>
          <w:sz w:val="28"/>
          <w:szCs w:val="28"/>
        </w:rPr>
        <w:t xml:space="preserve">1.1 Сутність та роль маркетингового просування підприємства в соціальних мережах</w:t>
      </w:r>
    </w:p>
    <w:p>
      <w:pPr>
        <w:spacing w:after="0" w:before="0" w:line="360"/>
        <w:ind w:firstLine="709"/>
        <w:jc w:val="both"/>
      </w:pPr>
      <w:r>
        <w:rPr>
          <w:rFonts w:ascii="Times New Roman" w:cs="Times New Roman" w:eastAsia="Times New Roman" w:hAnsi="Times New Roman"/>
          <w:sz w:val="28"/>
          <w:szCs w:val="28"/>
        </w:rPr>
        <w:t xml:space="preserve">Сучасний етап розвитку економіки характеризується стрімкою цифровізацією всіх сфер суспільного життя, що докорінно змінює моделі поведінки споживачів і способи їхньої взаємодії з підприємствами. Соціальні мережі перетворилися з платформ міжособистісного спілкування на повноцінне середовище пошуку інформації, формування купівельних рішень та обміну досвідом споживання [1, с. __]. Для українського ринку ця тенденція є особливо виразною: станом на жовтень 2025 р. в Україні налічувалося 23,0 млн активних користувачів соціальних мереж, що становить 58,5 % населення країни, причому лише впродовж 2025 р. їхня кількість зросла на 1,4 млн осіб [2; 3]. За таких умов маркетингове просування в соціальних мережах набуває для підприємств не допоміжного, а стратегічного значення. Водночас його ефективне використання потребує уточнення сутності поняття маркетингового просування, визначення місця соціальних мереж у системі маркетингових комунікацій, розкриття специфіки SMM та його ролі у взаємодії підприємства з цільовою аудиторією.</w:t>
      </w:r>
    </w:p>
    <w:p>
      <w:pPr>
        <w:spacing w:after="0" w:before="0" w:line="360"/>
        <w:ind w:firstLine="709"/>
        <w:jc w:val="both"/>
      </w:pPr>
      <w:r>
        <w:rPr>
          <w:rFonts w:ascii="Times New Roman" w:cs="Times New Roman" w:eastAsia="Times New Roman" w:hAnsi="Times New Roman"/>
          <w:sz w:val="28"/>
          <w:szCs w:val="28"/>
        </w:rPr>
        <w:t xml:space="preserve">Категорія «просування» посідає одне з центральних місць у концепції комплексу маркетингу «4P», запропонованій Е. Дж. Маккарті, та традиційно розглядається як його четвертий елемент — Promotion, поряд із товаром (Product), ціною (Price) та розподілом (Place) [4, с. __]. Водночас в українській науковій літературі англомовний термін «promotion» перекладається неоднозначно: як «просування», «маркетингові комунікації», «комунікаційна політика» або «система стимулювання збуту». Чіткого розмежування цих понять немає, що зумовлює потребу в уточненні їхнього змісту [5, с. __].</w:t>
      </w:r>
    </w:p>
    <w:p>
      <w:pPr>
        <w:spacing w:after="0" w:before="0" w:line="360"/>
        <w:ind w:firstLine="709"/>
        <w:jc w:val="both"/>
      </w:pPr>
      <w:r>
        <w:rPr>
          <w:rFonts w:ascii="Times New Roman" w:cs="Times New Roman" w:eastAsia="Times New Roman" w:hAnsi="Times New Roman"/>
          <w:sz w:val="28"/>
          <w:szCs w:val="28"/>
        </w:rPr>
        <w:t xml:space="preserve">Аналіз наукових праць вітчизняних і зарубіжних дослідників засвідчив відсутність єдиного підходу до трактування поняття «маркетингове просування» (табл. 1.1).</w:t>
      </w:r>
    </w:p>
    <w:p>
      <w:pPr>
        <w:spacing w:after="0" w:before="120" w:line="360"/>
        <w:ind w:firstLine="709"/>
      </w:pPr>
      <w:r>
        <w:rPr>
          <w:rFonts w:ascii="Times New Roman" w:cs="Times New Roman" w:eastAsia="Times New Roman" w:hAnsi="Times New Roman"/>
          <w:sz w:val="28"/>
          <w:szCs w:val="28"/>
        </w:rPr>
        <w:t xml:space="preserve">Таблиця 1.1 – Наукові підходи до визначення поняття «маркетингове просування»</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20"/>
      </w:tblGrid>
      <w:tr>
        <w:trPr>
          <w:tblHeader/>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Автор(и)</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Визначення</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Підхід / ключовий акцент</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Котлер Ф., Келлер К. Л. [6, с. __]</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(дослівна цитата з «Маркетингового менеджменту»)</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комунікаційний: інформування, переконання, нагадування</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Сенишин О. С., Кривешко О. В. [4, с. __]</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i/>
                <w:iCs/>
                <w:sz w:val="24"/>
                <w:szCs w:val="24"/>
              </w:rPr>
              <w:t xml:space="preserve">(визначте після прочитання)</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Романчик Т. В. [5, с. __]</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i/>
                <w:iCs/>
                <w:sz w:val="24"/>
                <w:szCs w:val="24"/>
              </w:rPr>
              <w:t xml:space="preserve">(визначте після прочитання)</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Окландер М. А. та ін. [7, с. __]</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цифровий: просування в онлайн-середовищі</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Chaffey D., Ellis-Chadwick F. [8, p. __]</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(переклад автора)</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цифровий / відносинний</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Закон України «Про рекламу» [9]</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(визначення «реклами», ст. 1)</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нормативний: реклама як складова просування</w:t>
            </w:r>
          </w:p>
        </w:tc>
      </w:tr>
    </w:tbl>
    <w:p>
      <w:pPr>
        <w:spacing w:after="120" w:before="0" w:line="360"/>
        <w:ind w:firstLine="709"/>
      </w:pPr>
      <w:r>
        <w:rPr>
          <w:rFonts w:ascii="Times New Roman" w:cs="Times New Roman" w:eastAsia="Times New Roman" w:hAnsi="Times New Roman"/>
          <w:sz w:val="24"/>
          <w:szCs w:val="24"/>
        </w:rPr>
        <w:t xml:space="preserve">Систематизовано автором за [4; 5; 7; 8; 9]</w:t>
      </w:r>
    </w:p>
    <w:p>
      <w:pPr>
        <w:spacing w:after="0" w:before="0" w:line="360"/>
        <w:ind w:firstLine="709"/>
        <w:jc w:val="both"/>
      </w:pPr>
      <w:r>
        <w:rPr>
          <w:rFonts w:ascii="Times New Roman" w:cs="Times New Roman" w:eastAsia="Times New Roman" w:hAnsi="Times New Roman"/>
          <w:sz w:val="28"/>
          <w:szCs w:val="28"/>
        </w:rPr>
        <w:t xml:space="preserve">Узагальнення наведених визначень дозволяє виокремити три основні підходи до розуміння сутності просування.</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Комунікаційний підхід</w:t>
      </w:r>
      <w:r>
        <w:rPr>
          <w:rFonts w:ascii="Times New Roman" w:cs="Times New Roman" w:eastAsia="Times New Roman" w:hAnsi="Times New Roman"/>
          <w:sz w:val="28"/>
          <w:szCs w:val="28"/>
        </w:rPr>
        <w:t xml:space="preserve"> розглядає просування передусім як процес передавання інформації про товар і підприємство цільовій аудиторії з метою її інформування, переконання та нагадування.</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Збутовий підхід</w:t>
      </w:r>
      <w:r>
        <w:rPr>
          <w:rFonts w:ascii="Times New Roman" w:cs="Times New Roman" w:eastAsia="Times New Roman" w:hAnsi="Times New Roman"/>
          <w:sz w:val="28"/>
          <w:szCs w:val="28"/>
        </w:rPr>
        <w:t xml:space="preserve"> акцентує увагу на стимулюванні попиту та збільшенні обсягів продажу, трактуючи просування як сукупність заходів впливу на купівельну поведінку.</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Відносинний підхід</w:t>
      </w:r>
      <w:r>
        <w:rPr>
          <w:rFonts w:ascii="Times New Roman" w:cs="Times New Roman" w:eastAsia="Times New Roman" w:hAnsi="Times New Roman"/>
          <w:sz w:val="28"/>
          <w:szCs w:val="28"/>
        </w:rPr>
        <w:t xml:space="preserve">, що сформувався під впливом концепції маркетингу відносин, розглядає просування як інструмент формування довгострокової двосторонньої взаємодії з клієнтами.</w:t>
      </w:r>
    </w:p>
    <w:p>
      <w:pPr>
        <w:shd w:fill="FFF4CC" w:color="auto" w:val="clear"/>
        <w:spacing w:after="60" w:before="0" w:line="276"/>
        <w:ind w:left="170"/>
      </w:pPr>
      <w:r>
        <w:rPr>
          <w:rFonts w:ascii="Times New Roman" w:cs="Times New Roman" w:eastAsia="Times New Roman" w:hAnsi="Times New Roman"/>
          <w:i/>
          <w:iCs/>
          <w:color w:val="7A4B00"/>
          <w:sz w:val="22"/>
          <w:szCs w:val="22"/>
        </w:rPr>
        <w:t xml:space="preserve">[Примітка для вас: перевірте, що визначення з таблиці справді розподіляються за цими підходами. Якщо ні, скоригуйте абзац.]</w:t>
      </w:r>
    </w:p>
    <w:p>
      <w:pPr>
        <w:spacing w:after="0" w:before="0" w:line="360"/>
        <w:ind w:firstLine="709"/>
        <w:jc w:val="both"/>
      </w:pPr>
      <w:r>
        <w:rPr>
          <w:rFonts w:ascii="Times New Roman" w:cs="Times New Roman" w:eastAsia="Times New Roman" w:hAnsi="Times New Roman"/>
          <w:sz w:val="28"/>
          <w:szCs w:val="28"/>
        </w:rPr>
        <w:t xml:space="preserve">На нашу думку, жоден із підходів окремо не відображає повною мірою сутність просування в сучасних умовах. Інформування та стимулювання збуту залишаються його важливими завданнями. Однак розвиток цифрових технологій змістив акцент із односпрямованої трансляції повідомлень на двосторонню, а нерідко й багатосторонню взаємодію зі споживачами. Тому найбільш обґрунтованим вважаємо інтегрований підхід, за яким маркетингове просування є керованим процесом комунікаційного впливу, спрямованим одночасно на досягнення збутових цілей і на формування стійких відносин із цільовою аудиторією.</w:t>
      </w:r>
    </w:p>
    <w:p>
      <w:pPr>
        <w:spacing w:after="0" w:before="0" w:line="360"/>
        <w:ind w:firstLine="709"/>
        <w:jc w:val="both"/>
      </w:pPr>
      <w:r>
        <w:rPr>
          <w:rFonts w:ascii="Times New Roman" w:cs="Times New Roman" w:eastAsia="Times New Roman" w:hAnsi="Times New Roman"/>
          <w:sz w:val="28"/>
          <w:szCs w:val="28"/>
        </w:rPr>
        <w:t xml:space="preserve">Традиційно комплекс просування (promotion mix) охоплює рекламу, стимулювання збуту, зв'язки з громадськістю, особистий продаж і прямий маркетинг [4, с. __]. Проте розвиток цифрових технологій суттєво трансформував цей комплекс. Поряд із традиційними інструментами дедалі вагомішого значення набувають цифрові канали [7, с. __; 8, p. __], серед яких особливе місце посідають соціальні мережі.</w:t>
      </w:r>
    </w:p>
    <w:p>
      <w:pPr>
        <w:spacing w:after="0" w:before="0" w:line="360"/>
        <w:ind w:firstLine="709"/>
        <w:jc w:val="both"/>
      </w:pPr>
      <w:r>
        <w:rPr>
          <w:rFonts w:ascii="Times New Roman" w:cs="Times New Roman" w:eastAsia="Times New Roman" w:hAnsi="Times New Roman"/>
          <w:sz w:val="28"/>
          <w:szCs w:val="28"/>
        </w:rPr>
        <w:t xml:space="preserve">Для визначення місця соціальних мереж у системі маркетингових комунікацій доцільно насамперед розмежувати поняття «соціальні медіа» та «соціальні мережі», які в науковій і практичній літературі нерідко вживаються як синоніми. Одне з найбільш цитованих визначень соціальних медіа запропонували А. Каплан і М. Хенлайн. Вони розглядають їх як групу інтернет-застосунків, що ґрунтуються на ідеологічних і технологічних засадах Web 2.0 та дають змогу створювати контент, генерований користувачами (user-generated content, UGC), і обмінюватися ним [10, p. 61]. Автори класифікують соціальні медіа на шість груп: колективні проєкти, блоги, контент-спільноти, сайти соціальних мереж, віртуальні ігрові світи та віртуальні соціальні світи [10, p. __]. Отже, соціальні мережі (Facebook, Instagram, TikTok, LinkedIn тощо) є одним із видів соціальних медіа. Водночас саме вони сьогодні становлять основний канал маркетингової комунікації підприємств з аудиторією.</w:t>
      </w:r>
    </w:p>
    <w:p>
      <w:pPr>
        <w:spacing w:after="0" w:before="0" w:line="360"/>
        <w:ind w:firstLine="709"/>
        <w:jc w:val="both"/>
      </w:pPr>
      <w:r>
        <w:rPr>
          <w:rFonts w:ascii="Times New Roman" w:cs="Times New Roman" w:eastAsia="Times New Roman" w:hAnsi="Times New Roman"/>
          <w:sz w:val="28"/>
          <w:szCs w:val="28"/>
        </w:rPr>
        <w:t xml:space="preserve">Функціональні можливості соціальних медіа розкриває модель Я. Кіцманна та співавторів, яка виокремлює сім функціональних блоків: ідентичність, розмови, обмін, присутність, стосунки, репутацію та групи [11, p. __]. Різні платформи по-різному поєднують ці блоки. Тому, на думку авторів, підприємство має формувати стратегію присутності в соціальних медіа з урахуванням функціональної специфіки кожної платформи [11, p. __]. Для практики це означає, що вибір соціальних мереж для просування має ґрунтуватися на відповідності їхніх функціональних можливостей цілям комунікації та характеристикам цільової аудиторії.</w:t>
      </w:r>
    </w:p>
    <w:p>
      <w:pPr>
        <w:spacing w:after="0" w:before="0" w:line="360"/>
        <w:ind w:firstLine="709"/>
        <w:jc w:val="both"/>
      </w:pPr>
      <w:r>
        <w:rPr>
          <w:rFonts w:ascii="Times New Roman" w:cs="Times New Roman" w:eastAsia="Times New Roman" w:hAnsi="Times New Roman"/>
          <w:sz w:val="28"/>
          <w:szCs w:val="28"/>
        </w:rPr>
        <w:t xml:space="preserve">Ключову роль у розумінні місця соціальних мереж у системі маркетингових комунікацій відіграє концепція В. Г. Менголда та Д. Дж. Фолдса. Вони визначили соціальні медіа як «гібридний елемент» комплексу просування [12, p. __]. Гібридність полягає в тому, що соціальні медіа поєднують дві різні за природою форми комунікації. З одного боку, у традиційному сенсі вони дають змогу підприємству звертатися до споживачів. З іншого боку, у нетрадиційному сенсі вони дають змогу споживачам безпосередньо спілкуватися між собою [12, p. __]. Зміст, час і частота таких розмов між споживачами перебувають поза прямим контролем менеджменту. Через це завдання підприємства полягає вже не в повному контролі над повідомленнями, а у формуванні дискусій відповідно до власних цілей [12, p. __]. Місце соціальних мереж у системі маркетингових комунікацій підприємства відображено на рис. 1.1.</w:t>
      </w:r>
    </w:p>
    <w:p>
      <w:pPr>
        <w:spacing w:after="0" w:before="120" w:line="360"/>
        <w:jc w:val="center"/>
      </w:pPr>
      <w:r>
        <w:rPr>
          <w:rFonts w:ascii="Times New Roman" w:cs="Times New Roman" w:eastAsia="Times New Roman" w:hAnsi="Times New Roman"/>
          <w:sz w:val="28"/>
          <w:szCs w:val="28"/>
        </w:rPr>
        <w:t xml:space="preserve">Рисунок 1.1 – Місце соціальних мереж у системі маркетингових комунікацій підприємства</w:t>
      </w:r>
    </w:p>
    <w:p>
      <w:pPr>
        <w:spacing w:after="0" w:before="0" w:line="240"/>
      </w:pPr>
      <w:r>
        <w:rPr>
          <w:rFonts w:ascii="Courier New" w:cs="Courier New" w:eastAsia="Courier New" w:hAnsi="Courier New"/>
          <w:sz w:val="16"/>
          <w:szCs w:val="16"/>
        </w:rPr>
        <w:t xml:space="preserve">                    КОМПЛЕКС МАРКЕТИНГУ (4P)</w:t>
      </w:r>
    </w:p>
    <w:p>
      <w:pPr>
        <w:spacing w:after="0" w:before="0" w:line="240"/>
      </w:pPr>
      <w:r>
        <w:rPr>
          <w:rFonts w:ascii="Courier New" w:cs="Courier New" w:eastAsia="Courier New" w:hAnsi="Courier New"/>
          <w:sz w:val="16"/>
          <w:szCs w:val="16"/>
        </w:rPr>
        <w:t xml:space="preserve">           Товар     Ціна     Розподіл     ПРОСУВАННЯ</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ТРАДИЦІЙНІ ІНСТРУМЕНТИ                          СОЦІАЛЬНІ МЕРЕЖІ</w:t>
      </w:r>
    </w:p>
    <w:p>
      <w:pPr>
        <w:spacing w:after="0" w:before="0" w:line="240"/>
      </w:pPr>
      <w:r>
        <w:rPr>
          <w:rFonts w:ascii="Courier New" w:cs="Courier New" w:eastAsia="Courier New" w:hAnsi="Courier New"/>
          <w:sz w:val="16"/>
          <w:szCs w:val="16"/>
        </w:rPr>
        <w:t xml:space="preserve"> • реклама                                      («гібридний елемент»)</w:t>
      </w:r>
    </w:p>
    <w:p>
      <w:pPr>
        <w:spacing w:after="0" w:before="0" w:line="240"/>
      </w:pPr>
      <w:r>
        <w:rPr>
          <w:rFonts w:ascii="Courier New" w:cs="Courier New" w:eastAsia="Courier New" w:hAnsi="Courier New"/>
          <w:sz w:val="16"/>
          <w:szCs w:val="16"/>
        </w:rPr>
        <w:t xml:space="preserve"> • стимулювання збуту                 ┌──────────────────┴──────────────┐</w:t>
      </w:r>
    </w:p>
    <w:p>
      <w:pPr>
        <w:spacing w:after="0" w:before="0" w:line="240"/>
      </w:pPr>
      <w:r>
        <w:rPr>
          <w:rFonts w:ascii="Courier New" w:cs="Courier New" w:eastAsia="Courier New" w:hAnsi="Courier New"/>
          <w:sz w:val="16"/>
          <w:szCs w:val="16"/>
        </w:rPr>
        <w:t xml:space="preserve"> • зв'язки з громадськістю            ▼                                 ▼</w:t>
      </w:r>
    </w:p>
    <w:p>
      <w:pPr>
        <w:spacing w:after="0" w:before="0" w:line="240"/>
      </w:pPr>
      <w:r>
        <w:rPr>
          <w:rFonts w:ascii="Courier New" w:cs="Courier New" w:eastAsia="Courier New" w:hAnsi="Courier New"/>
          <w:sz w:val="16"/>
          <w:szCs w:val="16"/>
        </w:rPr>
        <w:t xml:space="preserve"> • особистий продаж          Підприємство ↔ споживач       Споживач ↔ споживач</w:t>
      </w:r>
    </w:p>
    <w:p>
      <w:pPr>
        <w:spacing w:after="0" w:before="0" w:line="240"/>
      </w:pPr>
      <w:r>
        <w:rPr>
          <w:rFonts w:ascii="Courier New" w:cs="Courier New" w:eastAsia="Courier New" w:hAnsi="Courier New"/>
          <w:sz w:val="16"/>
          <w:szCs w:val="16"/>
        </w:rPr>
        <w:t xml:space="preserve"> • прямий маркетинг          (контент, реклама,            (відгуки, eWOM, UGC,</w:t>
      </w:r>
    </w:p>
    <w:p>
      <w:pPr>
        <w:spacing w:after="0" w:before="0" w:line="240"/>
      </w:pPr>
      <w:r>
        <w:rPr>
          <w:rFonts w:ascii="Courier New" w:cs="Courier New" w:eastAsia="Courier New" w:hAnsi="Courier New"/>
          <w:sz w:val="16"/>
          <w:szCs w:val="16"/>
        </w:rPr>
        <w:t xml:space="preserve">                              діалог, підтримка)            рекомендації)</w:t>
      </w:r>
    </w:p>
    <w:p>
      <w:pPr>
        <w:spacing w:after="0" w:before="0" w:line="240"/>
      </w:pPr>
      <w:r>
        <w:rPr>
          <w:rFonts w:ascii="Courier New" w:cs="Courier New" w:eastAsia="Courier New" w:hAnsi="Courier New"/>
          <w:sz w:val="16"/>
          <w:szCs w:val="16"/>
        </w:rPr>
        <w:t xml:space="preserve">       │                              │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ІНТЕГРАЦІЯ: сайт, e-mail, CRM, офлайн-канали</w:t>
      </w:r>
    </w:p>
    <w:p>
      <w:pPr>
        <w:spacing w:after="120" w:before="0" w:line="360"/>
        <w:ind w:firstLine="709"/>
      </w:pPr>
      <w:r>
        <w:rPr>
          <w:rFonts w:ascii="Times New Roman" w:cs="Times New Roman" w:eastAsia="Times New Roman" w:hAnsi="Times New Roman"/>
          <w:sz w:val="24"/>
          <w:szCs w:val="24"/>
        </w:rPr>
        <w:t xml:space="preserve">Складено автором на основі [12; 13]</w:t>
      </w:r>
    </w:p>
    <w:p>
      <w:pPr>
        <w:shd w:fill="FFF4CC" w:color="auto" w:val="clear"/>
        <w:spacing w:after="60" w:before="0" w:line="276"/>
        <w:ind w:left="170"/>
      </w:pPr>
      <w:r>
        <w:rPr>
          <w:rFonts w:ascii="Times New Roman" w:cs="Times New Roman" w:eastAsia="Times New Roman" w:hAnsi="Times New Roman"/>
          <w:i/>
          <w:iCs/>
          <w:color w:val="7A4B00"/>
          <w:sz w:val="22"/>
          <w:szCs w:val="22"/>
        </w:rPr>
        <w:t xml:space="preserve">[Примітка: у Word зробіть цю схему фігурами або SmartArt. Тут вона показана текстом.]</w:t>
      </w:r>
    </w:p>
    <w:p>
      <w:pPr>
        <w:spacing w:after="0" w:before="0" w:line="360"/>
        <w:ind w:firstLine="709"/>
        <w:jc w:val="both"/>
      </w:pPr>
      <w:r>
        <w:rPr>
          <w:rFonts w:ascii="Times New Roman" w:cs="Times New Roman" w:eastAsia="Times New Roman" w:hAnsi="Times New Roman"/>
          <w:sz w:val="28"/>
          <w:szCs w:val="28"/>
        </w:rPr>
        <w:t xml:space="preserve">Важливо підкреслити, що соціальні мережі не функціонують у системі маркетингових комунікацій ізольовано. Р. Ханна, А. Ром і В. Кріттенден наголошують на необхідності розглядати соціальні медіа як частину ширшої екосистеми, у якій цифрові та традиційні канали взаємно підсилюють один одного [13, p. __]. Ефективність просування в соціальних мережах значною мірою залежить від їхньої інтеграції з вебсайтом підприємства, системами управління взаємовідносинами з клієнтами (CRM) та іншими каналами комунікації [14, с. __].</w:t>
      </w:r>
    </w:p>
    <w:p>
      <w:pPr>
        <w:spacing w:after="0" w:before="0" w:line="360"/>
        <w:ind w:firstLine="709"/>
        <w:jc w:val="both"/>
      </w:pPr>
      <w:r>
        <w:rPr>
          <w:rFonts w:ascii="Times New Roman" w:cs="Times New Roman" w:eastAsia="Times New Roman" w:hAnsi="Times New Roman"/>
          <w:sz w:val="28"/>
          <w:szCs w:val="28"/>
        </w:rPr>
        <w:t xml:space="preserve">Розглянуті особливості соціальних мереж зумовлюють специфіку маркетингу в соціальних мережах (Social Media Marketing, SMM) як окремого напряму маркетингової діяльності. Попри поширеність цього терміна, у науковій літературі відсутнє його загальноприйняте визначення (табл. 1.2).</w:t>
      </w:r>
    </w:p>
    <w:p>
      <w:pPr>
        <w:spacing w:after="0" w:before="120" w:line="360"/>
        <w:ind w:firstLine="709"/>
      </w:pPr>
      <w:r>
        <w:rPr>
          <w:rFonts w:ascii="Times New Roman" w:cs="Times New Roman" w:eastAsia="Times New Roman" w:hAnsi="Times New Roman"/>
          <w:sz w:val="28"/>
          <w:szCs w:val="28"/>
        </w:rPr>
        <w:t xml:space="preserve">Таблиця 1.2 – Підходи до визначення сутності поняття «маркетинг у соціальних мережах (SMM)»</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20"/>
      </w:tblGrid>
      <w:tr>
        <w:trPr>
          <w:tblHeader/>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Автор(и)</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Визначення</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Ключовий акцент</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Tuten T. L. [15, p. __]</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(переклад автора)</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i/>
                <w:iCs/>
                <w:sz w:val="24"/>
                <w:szCs w:val="24"/>
              </w:rPr>
              <w:t xml:space="preserve">(визначте)</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Li F., Larimo J., Leonidou L. C. [16, p. __]</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(визначення SMM-стратегії, переклад автора)</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стратегічний</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Ярмолюк О., Фісун Ю., Шаповалова А. [17, с. __]</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i/>
                <w:iCs/>
                <w:sz w:val="24"/>
                <w:szCs w:val="24"/>
              </w:rPr>
              <w:t xml:space="preserve">(визначте)</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Гірна О. та ін. [18, с. __]</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i/>
                <w:iCs/>
                <w:sz w:val="24"/>
                <w:szCs w:val="24"/>
              </w:rPr>
              <w:t xml:space="preserve">(визначте)</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Шиковець К., Мельник М. [19, с. __]</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комунікаційний</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Пімоненко Т. та ін. [20, с. __]</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i/>
                <w:iCs/>
                <w:sz w:val="24"/>
                <w:szCs w:val="24"/>
              </w:rPr>
              <w:t xml:space="preserve">(визначте)</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Авторське визначення</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i/>
                <w:iCs/>
                <w:sz w:val="24"/>
                <w:szCs w:val="24"/>
              </w:rPr>
              <w:t xml:space="preserve">(див. нижче)</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управлінський</w:t>
            </w:r>
          </w:p>
        </w:tc>
      </w:tr>
    </w:tbl>
    <w:p>
      <w:pPr>
        <w:spacing w:after="120" w:before="0" w:line="360"/>
        <w:ind w:firstLine="709"/>
      </w:pPr>
      <w:r>
        <w:rPr>
          <w:rFonts w:ascii="Times New Roman" w:cs="Times New Roman" w:eastAsia="Times New Roman" w:hAnsi="Times New Roman"/>
          <w:sz w:val="24"/>
          <w:szCs w:val="24"/>
        </w:rPr>
        <w:t xml:space="preserve">Систематизовано автором за [15; 16; 17; 18; 19; 20]</w:t>
      </w:r>
    </w:p>
    <w:p>
      <w:pPr>
        <w:spacing w:after="0" w:before="0" w:line="360"/>
        <w:ind w:firstLine="709"/>
        <w:jc w:val="both"/>
      </w:pPr>
      <w:r>
        <w:rPr>
          <w:rFonts w:ascii="Times New Roman" w:cs="Times New Roman" w:eastAsia="Times New Roman" w:hAnsi="Times New Roman"/>
          <w:sz w:val="28"/>
          <w:szCs w:val="28"/>
        </w:rPr>
        <w:t xml:space="preserve">Аналіз наведених визначень дозволяє виявити як спільні риси, так і відмінності в підходах дослідників.</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Спільне:</w:t>
      </w:r>
      <w:r>
        <w:rPr>
          <w:rFonts w:ascii="Times New Roman" w:cs="Times New Roman" w:eastAsia="Times New Roman" w:hAnsi="Times New Roman"/>
          <w:sz w:val="28"/>
          <w:szCs w:val="28"/>
        </w:rPr>
        <w:t xml:space="preserve"> більшість авторів розглядає SMM як використання соціальних мереж для досягнення маркетингових цілей підприємства, зокрема для підвищення впізнаваності бренду, залучення аудиторії та стимулювання продажів.</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Відмінне:</w:t>
      </w:r>
      <w:r>
        <w:rPr>
          <w:rFonts w:ascii="Times New Roman" w:cs="Times New Roman" w:eastAsia="Times New Roman" w:hAnsi="Times New Roman"/>
          <w:sz w:val="28"/>
          <w:szCs w:val="28"/>
        </w:rPr>
        <w:t xml:space="preserve"> частина дослідників акцентує увагу на інструментальному аспекті, тобто на сукупності інструментів і технологій просування. Інші наголошують на комунікаційному аспекті, тобто на взаємодії з аудиторією. Ф. Лі, Я. Ларімо та Л. Леонідоу розглядають SMM-стратегію з позицій стратегічного менеджменту. Вони виокремлюють чотири типи стратегій за рівнем зрілості: соціальну комерцію, соціальний контент, соціальний моніторинг і соціальну CRM [16, p. __].</w:t>
      </w:r>
    </w:p>
    <w:p>
      <w:pPr>
        <w:spacing w:after="0" w:before="0" w:line="360"/>
        <w:ind w:firstLine="709"/>
        <w:jc w:val="both"/>
      </w:pPr>
      <w:r>
        <w:rPr>
          <w:rFonts w:ascii="Times New Roman" w:cs="Times New Roman" w:eastAsia="Times New Roman" w:hAnsi="Times New Roman"/>
          <w:sz w:val="28"/>
          <w:szCs w:val="28"/>
        </w:rPr>
        <w:t xml:space="preserve">Водночас, на нашу думку, більшість наведених визначень недостатньо враховує </w:t>
      </w:r>
      <w:r>
        <w:rPr>
          <w:rFonts w:ascii="Times New Roman" w:cs="Times New Roman" w:eastAsia="Times New Roman" w:hAnsi="Times New Roman"/>
          <w:b/>
          <w:bCs/>
          <w:sz w:val="28"/>
          <w:szCs w:val="28"/>
        </w:rPr>
        <w:t xml:space="preserve">управлінський аспект</w:t>
      </w:r>
      <w:r>
        <w:rPr>
          <w:rFonts w:ascii="Times New Roman" w:cs="Times New Roman" w:eastAsia="Times New Roman" w:hAnsi="Times New Roman"/>
          <w:sz w:val="28"/>
          <w:szCs w:val="28"/>
        </w:rPr>
        <w:t xml:space="preserve"> SMM: планування, організацію, контроль та оцінювання ефективності просування на основі вимірюваних показників. Саме цей аспект є визначальним для підприємства, яке розглядає соціальні мережі не як разовий інструмент, а як системний канал маркетингових комунікацій.</w:t>
      </w:r>
    </w:p>
    <w:p>
      <w:pPr>
        <w:spacing w:after="0" w:before="0" w:line="360"/>
        <w:ind w:firstLine="709"/>
        <w:jc w:val="both"/>
      </w:pPr>
      <w:r>
        <w:rPr>
          <w:rFonts w:ascii="Times New Roman" w:cs="Times New Roman" w:eastAsia="Times New Roman" w:hAnsi="Times New Roman"/>
          <w:sz w:val="28"/>
          <w:szCs w:val="28"/>
        </w:rPr>
        <w:t xml:space="preserve">З огляду на це, під маркетинговим просуванням підприємства в соціальних мережах </w:t>
      </w:r>
      <w:r>
        <w:rPr>
          <w:rFonts w:ascii="Times New Roman" w:cs="Times New Roman" w:eastAsia="Times New Roman" w:hAnsi="Times New Roman"/>
          <w:b/>
          <w:bCs/>
          <w:sz w:val="28"/>
          <w:szCs w:val="28"/>
        </w:rPr>
        <w:t xml:space="preserve">запропоновано розуміти</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керований процес планування, реалізації та контролю комунікаційної діяльності підприємства на платформах соціальних мереж, спрямований на формування обізнаності, залучення та конверсію цільової аудиторії і розвиток довгострокових відносин із нею, що ґрунтується на поєднанні контенту, платної реклами та взаємодії з користувачами і оцінюється за системою вимірюваних маркетингових та економічних показників.</w:t>
      </w:r>
    </w:p>
    <w:p>
      <w:pPr>
        <w:shd w:fill="FFF4CC" w:color="auto" w:val="clear"/>
        <w:spacing w:after="60" w:before="0" w:line="276"/>
        <w:ind w:left="170"/>
      </w:pPr>
      <w:r>
        <w:rPr>
          <w:rFonts w:ascii="Times New Roman" w:cs="Times New Roman" w:eastAsia="Times New Roman" w:hAnsi="Times New Roman"/>
          <w:i/>
          <w:iCs/>
          <w:color w:val="7A4B00"/>
          <w:sz w:val="22"/>
          <w:szCs w:val="22"/>
        </w:rPr>
        <w:t xml:space="preserve">[Примітка: це </w:t>
      </w:r>
      <w:r>
        <w:rPr>
          <w:rFonts w:ascii="Times New Roman" w:cs="Times New Roman" w:eastAsia="Times New Roman" w:hAnsi="Times New Roman"/>
          <w:i/>
          <w:iCs/>
          <w:color w:val="7A4B00"/>
          <w:sz w:val="22"/>
          <w:szCs w:val="22"/>
        </w:rPr>
        <w:t xml:space="preserve">зразок</w:t>
      </w:r>
      <w:r>
        <w:rPr>
          <w:rFonts w:ascii="Times New Roman" w:cs="Times New Roman" w:eastAsia="Times New Roman" w:hAnsi="Times New Roman"/>
          <w:i/>
          <w:iCs/>
          <w:color w:val="7A4B00"/>
          <w:sz w:val="22"/>
          <w:szCs w:val="22"/>
        </w:rPr>
        <w:t xml:space="preserve"> авторського визначення. Обов'язково сформулюйте своє, бо це елемент наукової новизни, і комісія може попросити його пояснити.]</w:t>
      </w:r>
    </w:p>
    <w:p>
      <w:pPr>
        <w:spacing w:after="0" w:before="0" w:line="360"/>
        <w:ind w:firstLine="709"/>
        <w:jc w:val="both"/>
      </w:pPr>
      <w:r>
        <w:rPr>
          <w:rFonts w:ascii="Times New Roman" w:cs="Times New Roman" w:eastAsia="Times New Roman" w:hAnsi="Times New Roman"/>
          <w:sz w:val="28"/>
          <w:szCs w:val="28"/>
        </w:rPr>
        <w:t xml:space="preserve">Специфіку SMM найбільш наочно розкриває його порівняння з традиційними маркетинговими комунікаціями (табл. 1.3).</w:t>
      </w:r>
    </w:p>
    <w:p>
      <w:pPr>
        <w:spacing w:after="0" w:before="120" w:line="360"/>
        <w:ind w:firstLine="709"/>
      </w:pPr>
      <w:r>
        <w:rPr>
          <w:rFonts w:ascii="Times New Roman" w:cs="Times New Roman" w:eastAsia="Times New Roman" w:hAnsi="Times New Roman"/>
          <w:sz w:val="28"/>
          <w:szCs w:val="28"/>
        </w:rPr>
        <w:t xml:space="preserve">Таблиця 1.3 – Порівняльна характеристика традиційних маркетингових комунікацій та SMM</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20"/>
      </w:tblGrid>
      <w:tr>
        <w:trPr>
          <w:tblHeader/>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Критерій</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Традиційні маркетингові комунікації</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Маркетинг у соціальних мережах (SMM)</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Спрямованість комунікації</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переважно односпрямована (підприємство → споживач)</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двостороння та багатостороння (підприємство ↔ споживач, споживач ↔ споживач)</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Контроль над змістом повідомлень</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повний</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частковий (коментарі, відгуки, UGC)</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Можливості таргетування</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широкі сегменти аудиторії</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точне таргетування за демографічними, географічними, поведінковими ознаками та інтересами</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Швидкість зворотного зв'язку</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низька, відкладена</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висока, у режимі реального часу</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Вимірюваність результатів</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обмежена</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висока (охоплення, залученість, кліки, конверсії)</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Вартість контакту</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відносно висока</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відносно низька</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Роль споживача</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пасивний отримувач</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активний учасник і співтворець контенту</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Чинник поширення</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медіабюджет</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медіабюджет + вірусне поширення + алгоритми платформ</w:t>
            </w:r>
          </w:p>
        </w:tc>
      </w:tr>
    </w:tbl>
    <w:p>
      <w:pPr>
        <w:spacing w:after="120" w:before="0" w:line="360"/>
        <w:ind w:firstLine="709"/>
      </w:pPr>
      <w:r>
        <w:rPr>
          <w:rFonts w:ascii="Times New Roman" w:cs="Times New Roman" w:eastAsia="Times New Roman" w:hAnsi="Times New Roman"/>
          <w:sz w:val="24"/>
          <w:szCs w:val="24"/>
        </w:rPr>
        <w:t xml:space="preserve">Складено автором на основі [8; 12; 21]</w:t>
      </w:r>
    </w:p>
    <w:p>
      <w:pPr>
        <w:spacing w:after="0" w:before="0" w:line="360"/>
        <w:ind w:firstLine="709"/>
        <w:jc w:val="both"/>
      </w:pPr>
      <w:r>
        <w:rPr>
          <w:rFonts w:ascii="Times New Roman" w:cs="Times New Roman" w:eastAsia="Times New Roman" w:hAnsi="Times New Roman"/>
          <w:sz w:val="28"/>
          <w:szCs w:val="28"/>
        </w:rPr>
        <w:t xml:space="preserve">Як видно з табл. 1.3, принциповою відмінністю SMM є перехід від моделі трансляції повідомлень до моделі взаємодії. У ній споживач стає не лише адресатом, а й активним учасником комунікації. Особливого значення набуває електронна «сарафанна» комунікація (eWOM). Так, М. Трусов, Р. Баклін та К. Пауелс на прикладі соціальної мережі емпірично довели: рекомендації користувачів мають значно триваліший ефект і вищу еластичність відгуку, ніж традиційні маркетингові заходи. У довгостроковому періоді ефект таких рекомендацій виявився приблизно у 20 разів сильнішим за ефект подієвого маркетингу та у 30 разів — за ефект появ у медіа [21, p. __].</w:t>
      </w:r>
    </w:p>
    <w:p>
      <w:pPr>
        <w:spacing w:after="0" w:before="0" w:line="360"/>
        <w:ind w:firstLine="709"/>
        <w:jc w:val="both"/>
      </w:pPr>
      <w:r>
        <w:rPr>
          <w:rFonts w:ascii="Times New Roman" w:cs="Times New Roman" w:eastAsia="Times New Roman" w:hAnsi="Times New Roman"/>
          <w:sz w:val="28"/>
          <w:szCs w:val="28"/>
        </w:rPr>
        <w:t xml:space="preserve">Водночас специфіка SMM створює і певні обмеження:</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охоплення органічних публікацій залежить від алгоритмів платформ, на які підприємство не впливає;</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відкритість комунікації підвищує ризик поширення негативних відгуків;</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оцінювання фінансової віддачі від SMM ускладнене. Як зазначають Д. Хоффман і М. Фодор, традиційний підхід до розрахунку ROI не завжди придатний для соціальних медіа, тож оцінювання слід починати з мотивів споживачів та їхніх «інвестицій» у взаємодію з брендом [22, p. __].</w:t>
      </w:r>
    </w:p>
    <w:p>
      <w:pPr>
        <w:spacing w:after="0" w:before="0" w:line="360"/>
        <w:ind w:firstLine="709"/>
        <w:jc w:val="both"/>
      </w:pPr>
      <w:r>
        <w:rPr>
          <w:rFonts w:ascii="Times New Roman" w:cs="Times New Roman" w:eastAsia="Times New Roman" w:hAnsi="Times New Roman"/>
          <w:sz w:val="28"/>
          <w:szCs w:val="28"/>
        </w:rPr>
        <w:t xml:space="preserve">Розкриття специфіки SMM дає змогу визначити його роль у взаємодії підприємства з цільовою аудиторією. К. Ламбертон та Е. Стівен, узагальнивши дослідження 2000–2015 рр., виокремили три ключові ролі цифрових і соціальних медіа в маркетингу [23, p. __]:</w:t>
      </w:r>
    </w:p>
    <w:p>
      <w:pPr>
        <w:spacing w:after="0" w:before="0" w:line="360"/>
        <w:ind w:left="709" w:hanging="340"/>
        <w:jc w:val="both"/>
      </w:pPr>
      <w:r>
        <w:rPr>
          <w:rFonts w:ascii="Times New Roman" w:cs="Times New Roman" w:eastAsia="Times New Roman" w:hAnsi="Times New Roman"/>
          <w:sz w:val="28"/>
          <w:szCs w:val="28"/>
        </w:rPr>
        <w:t xml:space="preserve">1. засіб самовираження споживачів;</w:t>
      </w:r>
    </w:p>
    <w:p>
      <w:pPr>
        <w:spacing w:after="0" w:before="0" w:line="360"/>
        <w:ind w:left="709" w:hanging="340"/>
        <w:jc w:val="both"/>
      </w:pPr>
      <w:r>
        <w:rPr>
          <w:rFonts w:ascii="Times New Roman" w:cs="Times New Roman" w:eastAsia="Times New Roman" w:hAnsi="Times New Roman"/>
          <w:sz w:val="28"/>
          <w:szCs w:val="28"/>
        </w:rPr>
        <w:t xml:space="preserve">2. інструмент підтримки прийняття їхніх рішень;</w:t>
      </w:r>
    </w:p>
    <w:p>
      <w:pPr>
        <w:spacing w:after="0" w:before="0" w:line="360"/>
        <w:ind w:left="709" w:hanging="340"/>
        <w:jc w:val="both"/>
      </w:pPr>
      <w:r>
        <w:rPr>
          <w:rFonts w:ascii="Times New Roman" w:cs="Times New Roman" w:eastAsia="Times New Roman" w:hAnsi="Times New Roman"/>
          <w:sz w:val="28"/>
          <w:szCs w:val="28"/>
        </w:rPr>
        <w:t xml:space="preserve">3. джерело ринкової інформації для підприємств.</w:t>
      </w:r>
    </w:p>
    <w:p>
      <w:pPr>
        <w:spacing w:after="0" w:before="0" w:line="360"/>
        <w:ind w:firstLine="709"/>
        <w:jc w:val="both"/>
      </w:pPr>
      <w:r>
        <w:rPr>
          <w:rFonts w:ascii="Times New Roman" w:cs="Times New Roman" w:eastAsia="Times New Roman" w:hAnsi="Times New Roman"/>
          <w:sz w:val="28"/>
          <w:szCs w:val="28"/>
        </w:rPr>
        <w:t xml:space="preserve">Розвиваючи цей підхід, вважаємо за доцільне виокремити такі функції SMM у взаємодії підприємства з цільовою аудиторією (рис. 1.2).</w:t>
      </w:r>
    </w:p>
    <w:p>
      <w:pPr>
        <w:spacing w:after="0" w:before="120" w:line="360"/>
        <w:jc w:val="center"/>
      </w:pPr>
      <w:r>
        <w:rPr>
          <w:rFonts w:ascii="Times New Roman" w:cs="Times New Roman" w:eastAsia="Times New Roman" w:hAnsi="Times New Roman"/>
          <w:sz w:val="28"/>
          <w:szCs w:val="28"/>
        </w:rPr>
        <w:t xml:space="preserve">Рисунок 1.2 – Функції SMM у взаємодії підприємства з цільовою аудиторією</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ІНФОРМАЦІЙНА        │</w:t>
      </w:r>
    </w:p>
    <w:p>
      <w:pPr>
        <w:spacing w:after="0" w:before="0" w:line="240"/>
      </w:pPr>
      <w:r>
        <w:rPr>
          <w:rFonts w:ascii="Courier New" w:cs="Courier New" w:eastAsia="Courier New" w:hAnsi="Courier New"/>
          <w:sz w:val="16"/>
          <w:szCs w:val="16"/>
        </w:rPr>
        <w:t xml:space="preserve">                    │ інформування про     │</w:t>
      </w:r>
    </w:p>
    <w:p>
      <w:pPr>
        <w:spacing w:after="0" w:before="0" w:line="240"/>
      </w:pPr>
      <w:r>
        <w:rPr>
          <w:rFonts w:ascii="Courier New" w:cs="Courier New" w:eastAsia="Courier New" w:hAnsi="Courier New"/>
          <w:sz w:val="16"/>
          <w:szCs w:val="16"/>
        </w:rPr>
        <w:t xml:space="preserve">                    │ товари, акції, бренд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         ┌──────────────────┐</w:t>
      </w:r>
    </w:p>
    <w:p>
      <w:pPr>
        <w:spacing w:after="0" w:before="0" w:line="240"/>
      </w:pPr>
      <w:r>
        <w:rPr>
          <w:rFonts w:ascii="Courier New" w:cs="Courier New" w:eastAsia="Courier New" w:hAnsi="Courier New"/>
          <w:sz w:val="16"/>
          <w:szCs w:val="16"/>
        </w:rPr>
        <w:t xml:space="preserve">  │ ЛОЯЛЬНІСНА       │         │         │ КОМУНІКАЦІЙНА    │</w:t>
      </w:r>
    </w:p>
    <w:p>
      <w:pPr>
        <w:spacing w:after="0" w:before="0" w:line="240"/>
      </w:pPr>
      <w:r>
        <w:rPr>
          <w:rFonts w:ascii="Courier New" w:cs="Courier New" w:eastAsia="Courier New" w:hAnsi="Courier New"/>
          <w:sz w:val="16"/>
          <w:szCs w:val="16"/>
        </w:rPr>
        <w:t xml:space="preserve">  │ спільнота, UGC,  ├─────────┼─────────┤ діалог, підтримка,│</w:t>
      </w:r>
    </w:p>
    <w:p>
      <w:pPr>
        <w:spacing w:after="0" w:before="0" w:line="240"/>
      </w:pPr>
      <w:r>
        <w:rPr>
          <w:rFonts w:ascii="Courier New" w:cs="Courier New" w:eastAsia="Courier New" w:hAnsi="Courier New"/>
          <w:sz w:val="16"/>
          <w:szCs w:val="16"/>
        </w:rPr>
        <w:t xml:space="preserve">  │ повторні покупки │      ┌──┴──┐      │ зворотний зв'язок│</w:t>
      </w:r>
    </w:p>
    <w:p>
      <w:pPr>
        <w:spacing w:after="0" w:before="0" w:line="240"/>
      </w:pPr>
      <w:r>
        <w:rPr>
          <w:rFonts w:ascii="Courier New" w:cs="Courier New" w:eastAsia="Courier New" w:hAnsi="Courier New"/>
          <w:sz w:val="16"/>
          <w:szCs w:val="16"/>
        </w:rPr>
        <w:t xml:space="preserve">  └──────────────────┘      │ SMM │      └──────────────────┘</w:t>
      </w:r>
    </w:p>
    <w:p>
      <w:pPr>
        <w:spacing w:after="0" w:before="0" w:line="240"/>
      </w:pPr>
      <w:r>
        <w:rPr>
          <w:rFonts w:ascii="Courier New" w:cs="Courier New" w:eastAsia="Courier New" w:hAnsi="Courier New"/>
          <w:sz w:val="16"/>
          <w:szCs w:val="16"/>
        </w:rPr>
        <w:t xml:space="preserve">  ┌──────────────────┐      └──┬──┘      ┌──────────────────┐</w:t>
      </w:r>
    </w:p>
    <w:p>
      <w:pPr>
        <w:spacing w:after="0" w:before="0" w:line="240"/>
      </w:pPr>
      <w:r>
        <w:rPr>
          <w:rFonts w:ascii="Courier New" w:cs="Courier New" w:eastAsia="Courier New" w:hAnsi="Courier New"/>
          <w:sz w:val="16"/>
          <w:szCs w:val="16"/>
        </w:rPr>
        <w:t xml:space="preserve">  │ АНАЛІТИЧНА       │         │         │ ІМІДЖЕВА         │</w:t>
      </w:r>
    </w:p>
    <w:p>
      <w:pPr>
        <w:spacing w:after="0" w:before="0" w:line="240"/>
      </w:pPr>
      <w:r>
        <w:rPr>
          <w:rFonts w:ascii="Courier New" w:cs="Courier New" w:eastAsia="Courier New" w:hAnsi="Courier New"/>
          <w:sz w:val="16"/>
          <w:szCs w:val="16"/>
        </w:rPr>
        <w:t xml:space="preserve">  │ дослідження ЦА,  ├─────────┼─────────┤ формування бренду│</w:t>
      </w:r>
    </w:p>
    <w:p>
      <w:pPr>
        <w:spacing w:after="0" w:before="0" w:line="240"/>
      </w:pPr>
      <w:r>
        <w:rPr>
          <w:rFonts w:ascii="Courier New" w:cs="Courier New" w:eastAsia="Courier New" w:hAnsi="Courier New"/>
          <w:sz w:val="16"/>
          <w:szCs w:val="16"/>
        </w:rPr>
        <w:t xml:space="preserve">  │ моніторинг       │         │         │ та репутації     │</w:t>
      </w:r>
    </w:p>
    <w:p>
      <w:pPr>
        <w:spacing w:after="0" w:before="0" w:line="240"/>
      </w:pPr>
      <w:r>
        <w:rPr>
          <w:rFonts w:ascii="Courier New" w:cs="Courier New" w:eastAsia="Courier New" w:hAnsi="Courier New"/>
          <w:sz w:val="16"/>
          <w:szCs w:val="16"/>
        </w:rPr>
        <w:t xml:space="preserve">  └──────────────────┘         │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ЗБУТОВА             │</w:t>
      </w:r>
    </w:p>
    <w:p>
      <w:pPr>
        <w:spacing w:after="0" w:before="0" w:line="240"/>
      </w:pPr>
      <w:r>
        <w:rPr>
          <w:rFonts w:ascii="Courier New" w:cs="Courier New" w:eastAsia="Courier New" w:hAnsi="Courier New"/>
          <w:sz w:val="16"/>
          <w:szCs w:val="16"/>
        </w:rPr>
        <w:t xml:space="preserve">                    │ лідогенерація,       │</w:t>
      </w:r>
    </w:p>
    <w:p>
      <w:pPr>
        <w:spacing w:after="0" w:before="0" w:line="240"/>
      </w:pPr>
      <w:r>
        <w:rPr>
          <w:rFonts w:ascii="Courier New" w:cs="Courier New" w:eastAsia="Courier New" w:hAnsi="Courier New"/>
          <w:sz w:val="16"/>
          <w:szCs w:val="16"/>
        </w:rPr>
        <w:t xml:space="preserve">                    │ продажі, ретаргетинг │</w:t>
      </w:r>
    </w:p>
    <w:p>
      <w:pPr>
        <w:spacing w:after="0" w:before="0" w:line="240"/>
      </w:pPr>
      <w:r>
        <w:rPr>
          <w:rFonts w:ascii="Courier New" w:cs="Courier New" w:eastAsia="Courier New" w:hAnsi="Courier New"/>
          <w:sz w:val="16"/>
          <w:szCs w:val="16"/>
        </w:rPr>
        <w:t xml:space="preserve">                    └──────────────────────┘</w:t>
      </w:r>
    </w:p>
    <w:p>
      <w:pPr>
        <w:spacing w:after="120" w:before="0" w:line="360"/>
        <w:ind w:firstLine="709"/>
      </w:pPr>
      <w:r>
        <w:rPr>
          <w:rFonts w:ascii="Times New Roman" w:cs="Times New Roman" w:eastAsia="Times New Roman" w:hAnsi="Times New Roman"/>
          <w:sz w:val="24"/>
          <w:szCs w:val="24"/>
        </w:rPr>
        <w:t xml:space="preserve">(розроблено автором на основі [23; 24; 25])</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Інформаційна функція</w:t>
      </w:r>
      <w:r>
        <w:rPr>
          <w:rFonts w:ascii="Times New Roman" w:cs="Times New Roman" w:eastAsia="Times New Roman" w:hAnsi="Times New Roman"/>
          <w:sz w:val="28"/>
          <w:szCs w:val="28"/>
        </w:rPr>
        <w:t xml:space="preserve"> полягає в донесенні до аудиторії відомостей про підприємство, його товари, ціни та спеціальні пропозиції.</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Комунікаційна функція</w:t>
      </w:r>
      <w:r>
        <w:rPr>
          <w:rFonts w:ascii="Times New Roman" w:cs="Times New Roman" w:eastAsia="Times New Roman" w:hAnsi="Times New Roman"/>
          <w:sz w:val="28"/>
          <w:szCs w:val="28"/>
        </w:rPr>
        <w:t xml:space="preserve"> забезпечує двосторонній діалог зі споживачами, оперативну відповідь на їхні запитання та обробку звернень.</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Іміджева функція</w:t>
      </w:r>
      <w:r>
        <w:rPr>
          <w:rFonts w:ascii="Times New Roman" w:cs="Times New Roman" w:eastAsia="Times New Roman" w:hAnsi="Times New Roman"/>
          <w:sz w:val="28"/>
          <w:szCs w:val="28"/>
        </w:rPr>
        <w:t xml:space="preserve"> пов'язана з формуванням впізнаваності бренду, його позиціонуванням та управлінням репутацією.</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Збутова функція</w:t>
      </w:r>
      <w:r>
        <w:rPr>
          <w:rFonts w:ascii="Times New Roman" w:cs="Times New Roman" w:eastAsia="Times New Roman" w:hAnsi="Times New Roman"/>
          <w:sz w:val="28"/>
          <w:szCs w:val="28"/>
        </w:rPr>
        <w:t xml:space="preserve"> реалізується через залучення потенційних клієнтів (лідогенерацію), ретаргетинг і безпосередні продажі в соціальних мережах.</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Аналітична функція</w:t>
      </w:r>
      <w:r>
        <w:rPr>
          <w:rFonts w:ascii="Times New Roman" w:cs="Times New Roman" w:eastAsia="Times New Roman" w:hAnsi="Times New Roman"/>
          <w:sz w:val="28"/>
          <w:szCs w:val="28"/>
        </w:rPr>
        <w:t xml:space="preserve"> полягає у використанні даних соціальних мереж для вивчення цільової аудиторії, моніторингу згадок бренду та оцінювання ефективності комунікацій.</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Лояльнісна функція</w:t>
      </w:r>
      <w:r>
        <w:rPr>
          <w:rFonts w:ascii="Times New Roman" w:cs="Times New Roman" w:eastAsia="Times New Roman" w:hAnsi="Times New Roman"/>
          <w:sz w:val="28"/>
          <w:szCs w:val="28"/>
        </w:rPr>
        <w:t xml:space="preserve"> спрямована на формування спільноти навколо бренду, стимулювання створення контенту користувачами та повторних покупок. Як показали Г. Дж. Шау, А. М. Муньїс та Е. Дж. Арнолд, практики бренд-спільнот створюють для споживачів цінність, яка виходить за межі цінності, що її пропонує сам виробник [26, p. __].</w:t>
      </w:r>
    </w:p>
    <w:p>
      <w:pPr>
        <w:spacing w:after="0" w:before="0" w:line="360"/>
        <w:ind w:firstLine="709"/>
        <w:jc w:val="both"/>
      </w:pPr>
      <w:r>
        <w:rPr>
          <w:rFonts w:ascii="Times New Roman" w:cs="Times New Roman" w:eastAsia="Times New Roman" w:hAnsi="Times New Roman"/>
          <w:sz w:val="28"/>
          <w:szCs w:val="28"/>
        </w:rPr>
        <w:t xml:space="preserve">Реалізація зазначених функцій відбувається послідовно відповідно до етапів взаємодії споживача з брендом у соціальних мережах:</w:t>
      </w:r>
    </w:p>
    <w:p>
      <w:pPr>
        <w:spacing w:after="0" w:before="0" w:line="360"/>
        <w:ind w:left="709" w:hanging="340"/>
        <w:jc w:val="both"/>
      </w:pPr>
      <w:r>
        <w:rPr>
          <w:rFonts w:ascii="Times New Roman" w:cs="Times New Roman" w:eastAsia="Times New Roman" w:hAnsi="Times New Roman"/>
          <w:sz w:val="28"/>
          <w:szCs w:val="28"/>
        </w:rPr>
        <w:t xml:space="preserve">1. </w:t>
      </w:r>
      <w:r>
        <w:rPr>
          <w:rFonts w:ascii="Times New Roman" w:cs="Times New Roman" w:eastAsia="Times New Roman" w:hAnsi="Times New Roman"/>
          <w:b/>
          <w:bCs/>
          <w:sz w:val="28"/>
          <w:szCs w:val="28"/>
        </w:rPr>
        <w:t xml:space="preserve">охоплення</w:t>
      </w:r>
      <w:r>
        <w:rPr>
          <w:rFonts w:ascii="Times New Roman" w:cs="Times New Roman" w:eastAsia="Times New Roman" w:hAnsi="Times New Roman"/>
          <w:sz w:val="28"/>
          <w:szCs w:val="28"/>
        </w:rPr>
        <w:t xml:space="preserve">: контакт аудиторії з повідомленням;</w:t>
      </w:r>
    </w:p>
    <w:p>
      <w:pPr>
        <w:spacing w:after="0" w:before="0" w:line="360"/>
        <w:ind w:left="709" w:hanging="340"/>
        <w:jc w:val="both"/>
      </w:pPr>
      <w:r>
        <w:rPr>
          <w:rFonts w:ascii="Times New Roman" w:cs="Times New Roman" w:eastAsia="Times New Roman" w:hAnsi="Times New Roman"/>
          <w:sz w:val="28"/>
          <w:szCs w:val="28"/>
        </w:rPr>
        <w:t xml:space="preserve">2. </w:t>
      </w:r>
      <w:r>
        <w:rPr>
          <w:rFonts w:ascii="Times New Roman" w:cs="Times New Roman" w:eastAsia="Times New Roman" w:hAnsi="Times New Roman"/>
          <w:b/>
          <w:bCs/>
          <w:sz w:val="28"/>
          <w:szCs w:val="28"/>
        </w:rPr>
        <w:t xml:space="preserve">залучення</w:t>
      </w:r>
      <w:r>
        <w:rPr>
          <w:rFonts w:ascii="Times New Roman" w:cs="Times New Roman" w:eastAsia="Times New Roman" w:hAnsi="Times New Roman"/>
          <w:sz w:val="28"/>
          <w:szCs w:val="28"/>
        </w:rPr>
        <w:t xml:space="preserve">: реакції, коментарі, поширення;</w:t>
      </w:r>
    </w:p>
    <w:p>
      <w:pPr>
        <w:spacing w:after="0" w:before="0" w:line="360"/>
        <w:ind w:left="709" w:hanging="340"/>
        <w:jc w:val="both"/>
      </w:pPr>
      <w:r>
        <w:rPr>
          <w:rFonts w:ascii="Times New Roman" w:cs="Times New Roman" w:eastAsia="Times New Roman" w:hAnsi="Times New Roman"/>
          <w:sz w:val="28"/>
          <w:szCs w:val="28"/>
        </w:rPr>
        <w:t xml:space="preserve">3. </w:t>
      </w:r>
      <w:r>
        <w:rPr>
          <w:rFonts w:ascii="Times New Roman" w:cs="Times New Roman" w:eastAsia="Times New Roman" w:hAnsi="Times New Roman"/>
          <w:b/>
          <w:bCs/>
          <w:sz w:val="28"/>
          <w:szCs w:val="28"/>
        </w:rPr>
        <w:t xml:space="preserve">конверсія</w:t>
      </w:r>
      <w:r>
        <w:rPr>
          <w:rFonts w:ascii="Times New Roman" w:cs="Times New Roman" w:eastAsia="Times New Roman" w:hAnsi="Times New Roman"/>
          <w:sz w:val="28"/>
          <w:szCs w:val="28"/>
        </w:rPr>
        <w:t xml:space="preserve">: перехід на сайт, заявка, покупка;</w:t>
      </w:r>
    </w:p>
    <w:p>
      <w:pPr>
        <w:spacing w:after="0" w:before="0" w:line="360"/>
        <w:ind w:left="709" w:hanging="340"/>
        <w:jc w:val="both"/>
      </w:pPr>
      <w:r>
        <w:rPr>
          <w:rFonts w:ascii="Times New Roman" w:cs="Times New Roman" w:eastAsia="Times New Roman" w:hAnsi="Times New Roman"/>
          <w:sz w:val="28"/>
          <w:szCs w:val="28"/>
        </w:rPr>
        <w:t xml:space="preserve">4. </w:t>
      </w:r>
      <w:r>
        <w:rPr>
          <w:rFonts w:ascii="Times New Roman" w:cs="Times New Roman" w:eastAsia="Times New Roman" w:hAnsi="Times New Roman"/>
          <w:b/>
          <w:bCs/>
          <w:sz w:val="28"/>
          <w:szCs w:val="28"/>
        </w:rPr>
        <w:t xml:space="preserve">лояльність та адвокація</w:t>
      </w:r>
      <w:r>
        <w:rPr>
          <w:rFonts w:ascii="Times New Roman" w:cs="Times New Roman" w:eastAsia="Times New Roman" w:hAnsi="Times New Roman"/>
          <w:sz w:val="28"/>
          <w:szCs w:val="28"/>
        </w:rPr>
        <w:t xml:space="preserve">: повторні покупки та рекомендації.</w:t>
      </w:r>
    </w:p>
    <w:p>
      <w:pPr>
        <w:spacing w:after="0" w:before="0" w:line="360"/>
        <w:ind w:firstLine="709"/>
        <w:jc w:val="both"/>
      </w:pPr>
      <w:r>
        <w:rPr>
          <w:rFonts w:ascii="Times New Roman" w:cs="Times New Roman" w:eastAsia="Times New Roman" w:hAnsi="Times New Roman"/>
          <w:sz w:val="28"/>
          <w:szCs w:val="28"/>
        </w:rPr>
        <w:t xml:space="preserve">На кожному етапі SMM виконує відмінні завдання, а отже, потребує власних показників оцінювання. Їхня систематизація буде здійснена в підрозділі 1.3.</w:t>
      </w:r>
    </w:p>
    <w:p>
      <w:pPr>
        <w:shd w:fill="FFF4CC" w:color="auto" w:val="clear"/>
        <w:spacing w:after="60" w:before="0" w:line="276"/>
        <w:ind w:left="170"/>
      </w:pPr>
      <w:r>
        <w:rPr>
          <w:rFonts w:ascii="Times New Roman" w:cs="Times New Roman" w:eastAsia="Times New Roman" w:hAnsi="Times New Roman"/>
          <w:i/>
          <w:iCs/>
          <w:color w:val="7A4B00"/>
          <w:sz w:val="22"/>
          <w:szCs w:val="22"/>
        </w:rPr>
        <w:t xml:space="preserve">[За бажанням тут можна додати </w:t>
      </w:r>
      <w:r>
        <w:rPr>
          <w:rFonts w:ascii="Times New Roman" w:cs="Times New Roman" w:eastAsia="Times New Roman" w:hAnsi="Times New Roman"/>
          <w:i/>
          <w:iCs/>
          <w:color w:val="7A4B00"/>
          <w:sz w:val="22"/>
          <w:szCs w:val="22"/>
        </w:rPr>
        <w:t xml:space="preserve">Рис. 1.3</w:t>
      </w:r>
      <w:r>
        <w:rPr>
          <w:rFonts w:ascii="Times New Roman" w:cs="Times New Roman" w:eastAsia="Times New Roman" w:hAnsi="Times New Roman"/>
          <w:i/>
          <w:iCs/>
          <w:color w:val="7A4B00"/>
          <w:sz w:val="22"/>
          <w:szCs w:val="22"/>
        </w:rPr>
        <w:t xml:space="preserve">: стовпчикову діаграму кількості користувачів основних платформ в Україні за даними звіту [2]. Вона покаже, які платформи найважливіші для українського бізнесу.]</w:t>
      </w:r>
    </w:p>
    <w:p>
      <w:pPr>
        <w:spacing w:after="0" w:before="0" w:line="360"/>
        <w:ind w:firstLine="709"/>
        <w:jc w:val="both"/>
      </w:pPr>
      <w:r>
        <w:rPr>
          <w:rFonts w:ascii="Times New Roman" w:cs="Times New Roman" w:eastAsia="Times New Roman" w:hAnsi="Times New Roman"/>
          <w:sz w:val="28"/>
          <w:szCs w:val="28"/>
        </w:rPr>
        <w:t xml:space="preserve">Отже, проведене дослідження дозволило уточнити сутність маркетингового просування як керованого процесу комунікаційного впливу, спрямованого одночасно на досягнення збутових цілей і на формування стійких відносин із цільовою аудиторією. Встановлено, що соціальні мережі посідають особливе місце в системі маркетингових комунікацій як «гібридний елемент» комплексу просування. Вони поєднують комунікацію «підприємство — споживач» із неконтрольованою безпосередньо комунікацією «споживач — споживач». Визначено специфіку SMM, що полягає в багатосторонньому характері комунікації, частковому контролі над змістом, високих можливостях таргетування та вимірюваності результатів. Також виокремлено шість функцій SMM у взаємодії з цільовою аудиторією. Сформульовано авторське визначення маркетингового просування підприємства в соціальних мережах, яке, на відміну від наявних, акцентує на його управлінському характері та вимірюваності результатів. Це зумовлює необхідність розгляду системи управління маркетинговим просуванням підприємства в соціальних мережах, що і буде предметом наступного підрозділу.</w:t>
      </w:r>
    </w:p>
    <w:p>
      <w:pPr>
        <w:pStyle w:val="Heading2"/>
        <w:spacing w:after="240" w:before="240" w:line="360"/>
        <w:ind w:firstLine="709"/>
      </w:pPr>
      <w:r>
        <w:rPr>
          <w:rFonts w:ascii="Times New Roman" w:cs="Times New Roman" w:eastAsia="Times New Roman" w:hAnsi="Times New Roman"/>
          <w:b/>
          <w:bCs/>
          <w:color w:val="000000"/>
          <w:sz w:val="28"/>
          <w:szCs w:val="28"/>
        </w:rPr>
        <w:t xml:space="preserve">СПИСОК ВИКОРИСТАНИХ ДЖЕРЕЛ (до підрозділу 1.1)</w:t>
      </w:r>
    </w:p>
    <w:p>
      <w:pPr>
        <w:shd w:fill="FFF4CC" w:color="auto" w:val="clear"/>
        <w:spacing w:after="60" w:before="0" w:line="276"/>
        <w:ind w:left="170"/>
      </w:pPr>
      <w:r>
        <w:rPr>
          <w:rFonts w:ascii="Times New Roman" w:cs="Times New Roman" w:eastAsia="Times New Roman" w:hAnsi="Times New Roman"/>
          <w:color w:val="7A4B00"/>
          <w:sz w:val="22"/>
          <w:szCs w:val="22"/>
        </w:rPr>
        <w:t xml:space="preserve">Нумерація — у порядку першого посилання в тексті. Коли писатимете всю роботу, список буде спільним для всіх розділів: джерела з наступних підрозділів продовжать нумерацію (27, 28, …).</w:t>
      </w:r>
    </w:p>
    <w:p>
      <w:pPr>
        <w:spacing w:after="0" w:before="0" w:line="360"/>
        <w:ind w:left="709" w:hanging="340"/>
        <w:jc w:val="both"/>
      </w:pPr>
      <w:r>
        <w:rPr>
          <w:rFonts w:ascii="Times New Roman" w:cs="Times New Roman" w:eastAsia="Times New Roman" w:hAnsi="Times New Roman"/>
          <w:sz w:val="28"/>
          <w:szCs w:val="28"/>
        </w:rPr>
        <w:t xml:space="preserve">1. Яцківська А. Соціальні мережі як ефективний засіб просування бізнесу у світі. Суспільство та безпека. 2024. URL: https://sas.ztu.edu.ua/article/view/301984</w:t>
      </w:r>
    </w:p>
    <w:p>
      <w:pPr>
        <w:spacing w:after="0" w:before="0" w:line="360"/>
        <w:ind w:left="709" w:hanging="340"/>
        <w:jc w:val="both"/>
      </w:pPr>
      <w:r>
        <w:rPr>
          <w:rFonts w:ascii="Times New Roman" w:cs="Times New Roman" w:eastAsia="Times New Roman" w:hAnsi="Times New Roman"/>
          <w:sz w:val="28"/>
          <w:szCs w:val="28"/>
        </w:rPr>
        <w:t xml:space="preserve">2. Digital 2026: Ukraine. DataReportal. 2025. URL: https://datareportal.com/reports/digital-2026-ukraine (дата звернення: дд.мм.рррр).</w:t>
      </w:r>
    </w:p>
    <w:p>
      <w:pPr>
        <w:spacing w:after="0" w:before="0" w:line="360"/>
        <w:ind w:left="709" w:hanging="340"/>
        <w:jc w:val="both"/>
      </w:pPr>
      <w:r>
        <w:rPr>
          <w:rFonts w:ascii="Times New Roman" w:cs="Times New Roman" w:eastAsia="Times New Roman" w:hAnsi="Times New Roman"/>
          <w:sz w:val="28"/>
          <w:szCs w:val="28"/>
        </w:rPr>
        <w:t xml:space="preserve">3. Kemp S. Digital 2025: Ukraine. DataReportal. 2025. URL: https://datareportal.com/reports/digital-2025-ukraine (дата звернення: дд.мм.рррр).</w:t>
      </w:r>
    </w:p>
    <w:p>
      <w:pPr>
        <w:spacing w:after="0" w:before="0" w:line="360"/>
        <w:ind w:left="709" w:hanging="340"/>
        <w:jc w:val="both"/>
      </w:pPr>
      <w:r>
        <w:rPr>
          <w:rFonts w:ascii="Times New Roman" w:cs="Times New Roman" w:eastAsia="Times New Roman" w:hAnsi="Times New Roman"/>
          <w:sz w:val="28"/>
          <w:szCs w:val="28"/>
        </w:rPr>
        <w:t xml:space="preserve">4. Сенишин О. С., Кривешко О. В. Маркетинг : навч. посіб. Львів : ЛНУ імені Івана Франка, 2020. URL: https://econom.lnu.edu.ua/wp-content/uploads/2016/10/MARKETING_NAVCH.POSIBNYK_SENYSHYN-KRYVESHKO_FINAL_ALL.pdf</w:t>
      </w:r>
    </w:p>
    <w:p>
      <w:pPr>
        <w:spacing w:after="0" w:before="0" w:line="360"/>
        <w:ind w:left="709" w:hanging="340"/>
        <w:jc w:val="both"/>
      </w:pPr>
      <w:r>
        <w:rPr>
          <w:rFonts w:ascii="Times New Roman" w:cs="Times New Roman" w:eastAsia="Times New Roman" w:hAnsi="Times New Roman"/>
          <w:sz w:val="28"/>
          <w:szCs w:val="28"/>
        </w:rPr>
        <w:t xml:space="preserve">5. Романчик Т. В. Просування в системі маркетингових комунікацій: методологічні підходи. Вісник Національного технічного університету «ХПІ». Серія: Економічні науки. 2017. № 45 (1266). URL: https://repository.kpi.kharkov.ua/handle/KhPI-Press/33912</w:t>
      </w:r>
    </w:p>
    <w:p>
      <w:pPr>
        <w:spacing w:after="0" w:before="0" w:line="360"/>
        <w:ind w:left="709" w:hanging="340"/>
        <w:jc w:val="both"/>
      </w:pPr>
      <w:r>
        <w:rPr>
          <w:rFonts w:ascii="Times New Roman" w:cs="Times New Roman" w:eastAsia="Times New Roman" w:hAnsi="Times New Roman"/>
          <w:sz w:val="28"/>
          <w:szCs w:val="28"/>
        </w:rPr>
        <w:t xml:space="preserve">6. Котлер Ф., Келлер К. Л. Маркетинговий менеджмент / пер. з англ. (місто, видавництво, рік і кількість сторінок уточнити за бібліотечним каталогом).</w:t>
      </w:r>
    </w:p>
    <w:p>
      <w:pPr>
        <w:spacing w:after="0" w:before="0" w:line="360"/>
        <w:ind w:left="709" w:hanging="340"/>
        <w:jc w:val="both"/>
      </w:pPr>
      <w:r>
        <w:rPr>
          <w:rFonts w:ascii="Times New Roman" w:cs="Times New Roman" w:eastAsia="Times New Roman" w:hAnsi="Times New Roman"/>
          <w:sz w:val="28"/>
          <w:szCs w:val="28"/>
        </w:rPr>
        <w:t xml:space="preserve">7. Окландер М. А., Окландер Т. О., Яшкіна О. І. та ін. Цифровий маркетинг – модель маркетингу ХХІ сторіччя : монографія. Одеса : Астропринт, 2017. 292 с. URL: https://dspace.opu.ua/jspui/handle/123456789/7012</w:t>
      </w:r>
    </w:p>
    <w:p>
      <w:pPr>
        <w:spacing w:after="0" w:before="0" w:line="360"/>
        <w:ind w:left="709" w:hanging="340"/>
        <w:jc w:val="both"/>
      </w:pPr>
      <w:r>
        <w:rPr>
          <w:rFonts w:ascii="Times New Roman" w:cs="Times New Roman" w:eastAsia="Times New Roman" w:hAnsi="Times New Roman"/>
          <w:sz w:val="28"/>
          <w:szCs w:val="28"/>
        </w:rPr>
        <w:t xml:space="preserve">8. Chaffey D., Ellis-Chadwick F. Digital Marketing: Strategy, Implementation and Practice. 8th ed. Harlow : Pearson, 2022.</w:t>
      </w:r>
    </w:p>
    <w:p>
      <w:pPr>
        <w:spacing w:after="0" w:before="0" w:line="360"/>
        <w:ind w:left="709" w:hanging="340"/>
        <w:jc w:val="both"/>
      </w:pPr>
      <w:r>
        <w:rPr>
          <w:rFonts w:ascii="Times New Roman" w:cs="Times New Roman" w:eastAsia="Times New Roman" w:hAnsi="Times New Roman"/>
          <w:sz w:val="28"/>
          <w:szCs w:val="28"/>
        </w:rPr>
        <w:t xml:space="preserve">9. Про рекламу : Закон України від 03.07.1996 № 270/96-ВР. URL: https://zakon.rada.gov.ua/laws/show/270/96-вр (дата звернення: дд.мм.рррр).</w:t>
      </w:r>
    </w:p>
    <w:p>
      <w:pPr>
        <w:spacing w:after="0" w:before="0" w:line="360"/>
        <w:ind w:left="709" w:hanging="340"/>
        <w:jc w:val="both"/>
      </w:pPr>
      <w:r>
        <w:rPr>
          <w:rFonts w:ascii="Times New Roman" w:cs="Times New Roman" w:eastAsia="Times New Roman" w:hAnsi="Times New Roman"/>
          <w:sz w:val="28"/>
          <w:szCs w:val="28"/>
        </w:rPr>
        <w:t xml:space="preserve">10. Kaplan A. M., Haenlein M. Users of the world, unite! The challenges and opportunities of Social Media. Business Horizons. 2010. Vol. 53, No. 1. P. 59–68. DOI: https://doi.org/10.1016/j.bushor.2009.09.003</w:t>
      </w:r>
    </w:p>
    <w:p>
      <w:pPr>
        <w:spacing w:after="0" w:before="0" w:line="360"/>
        <w:ind w:left="709" w:hanging="340"/>
        <w:jc w:val="both"/>
      </w:pPr>
      <w:r>
        <w:rPr>
          <w:rFonts w:ascii="Times New Roman" w:cs="Times New Roman" w:eastAsia="Times New Roman" w:hAnsi="Times New Roman"/>
          <w:sz w:val="28"/>
          <w:szCs w:val="28"/>
        </w:rPr>
        <w:t xml:space="preserve">11. Kietzmann J. H., Hermkens K., McCarthy I. P., Silvestre B. S. Social media? Get serious! Understanding the functional building blocks of social media. Business Horizons. 2011. Vol. 54, No. 3. P. 241–251. DOI: https://doi.org/10.1016/j.bushor.2011.01.005</w:t>
      </w:r>
    </w:p>
    <w:p>
      <w:pPr>
        <w:spacing w:after="0" w:before="0" w:line="360"/>
        <w:ind w:left="709" w:hanging="340"/>
        <w:jc w:val="both"/>
      </w:pPr>
      <w:r>
        <w:rPr>
          <w:rFonts w:ascii="Times New Roman" w:cs="Times New Roman" w:eastAsia="Times New Roman" w:hAnsi="Times New Roman"/>
          <w:sz w:val="28"/>
          <w:szCs w:val="28"/>
        </w:rPr>
        <w:t xml:space="preserve">12. Mangold W. G., Faulds D. J. Social media: The new hybrid element of the promotion mix. Business Horizons. 2009. Vol. 52, No. 4. P. 357–365. DOI: https://doi.org/10.1016/j.bushor.2009.03.002</w:t>
      </w:r>
    </w:p>
    <w:p>
      <w:pPr>
        <w:spacing w:after="0" w:before="0" w:line="360"/>
        <w:ind w:left="709" w:hanging="340"/>
        <w:jc w:val="both"/>
      </w:pPr>
      <w:r>
        <w:rPr>
          <w:rFonts w:ascii="Times New Roman" w:cs="Times New Roman" w:eastAsia="Times New Roman" w:hAnsi="Times New Roman"/>
          <w:sz w:val="28"/>
          <w:szCs w:val="28"/>
        </w:rPr>
        <w:t xml:space="preserve">13. Hanna R., Rohm A., Crittenden V. L. We're all connected: The power of the social media ecosystem. Business Horizons. 2011. Vol. 54, No. 3. P. 265–273. DOI: https://doi.org/10.1016/j.bushor.2011.01.007</w:t>
      </w:r>
    </w:p>
    <w:p>
      <w:pPr>
        <w:spacing w:after="0" w:before="0" w:line="360"/>
        <w:ind w:left="709" w:hanging="340"/>
        <w:jc w:val="both"/>
      </w:pPr>
      <w:r>
        <w:rPr>
          <w:rFonts w:ascii="Times New Roman" w:cs="Times New Roman" w:eastAsia="Times New Roman" w:hAnsi="Times New Roman"/>
          <w:sz w:val="28"/>
          <w:szCs w:val="28"/>
        </w:rPr>
        <w:t xml:space="preserve">14. Головко О. А. Інтеграція вебсайту та соціальних мереж як стратегія сучасної комунікації. Обрії друкарства. 2024. URL: https://horizons.vpi.kpi.ua/article/view/319343</w:t>
      </w:r>
    </w:p>
    <w:p>
      <w:pPr>
        <w:spacing w:after="0" w:before="0" w:line="360"/>
        <w:ind w:left="709" w:hanging="340"/>
        <w:jc w:val="both"/>
      </w:pPr>
      <w:r>
        <w:rPr>
          <w:rFonts w:ascii="Times New Roman" w:cs="Times New Roman" w:eastAsia="Times New Roman" w:hAnsi="Times New Roman"/>
          <w:sz w:val="28"/>
          <w:szCs w:val="28"/>
        </w:rPr>
        <w:t xml:space="preserve">15. Tuten T. L. Social Media Marketing. 5th ed. London : SAGE Publications, 2023.</w:t>
      </w:r>
    </w:p>
    <w:p>
      <w:pPr>
        <w:spacing w:after="0" w:before="0" w:line="360"/>
        <w:ind w:left="709" w:hanging="340"/>
        <w:jc w:val="both"/>
      </w:pPr>
      <w:r>
        <w:rPr>
          <w:rFonts w:ascii="Times New Roman" w:cs="Times New Roman" w:eastAsia="Times New Roman" w:hAnsi="Times New Roman"/>
          <w:sz w:val="28"/>
          <w:szCs w:val="28"/>
        </w:rPr>
        <w:t xml:space="preserve">16. Li F., Larimo J., Leonidou L. C. Social media marketing strategy: definition, conceptualization, taxonomy, validation, and future agenda. Journal of the Academy of Marketing Science. 2021. Vol. 49, No. 1. P. 51–70. DOI: https://doi.org/10.1007/s11747-020-00733-3</w:t>
      </w:r>
    </w:p>
    <w:p>
      <w:pPr>
        <w:spacing w:after="0" w:before="0" w:line="360"/>
        <w:ind w:left="709" w:hanging="340"/>
        <w:jc w:val="both"/>
      </w:pPr>
      <w:r>
        <w:rPr>
          <w:rFonts w:ascii="Times New Roman" w:cs="Times New Roman" w:eastAsia="Times New Roman" w:hAnsi="Times New Roman"/>
          <w:sz w:val="28"/>
          <w:szCs w:val="28"/>
        </w:rPr>
        <w:t xml:space="preserve">17. Ярмолюк О., Фісун Ю., Шаповалова А. Соціальні мережі як сучасний інструмент просування. Підприємництво та інновації. 2020. Вип. 11-2. С. 62–65. URL: https://ei-journal.in.ua/index.php/journal/article/view/287</w:t>
      </w:r>
    </w:p>
    <w:p>
      <w:pPr>
        <w:spacing w:after="0" w:before="0" w:line="360"/>
        <w:ind w:left="709" w:hanging="340"/>
        <w:jc w:val="both"/>
      </w:pPr>
      <w:r>
        <w:rPr>
          <w:rFonts w:ascii="Times New Roman" w:cs="Times New Roman" w:eastAsia="Times New Roman" w:hAnsi="Times New Roman"/>
          <w:sz w:val="28"/>
          <w:szCs w:val="28"/>
        </w:rPr>
        <w:t xml:space="preserve">18. Гірна О., Гайворонська І., Власенко Д., Бродюк І., Вербицька А. До питання вдосконалення українських підприємницьких стратегій: digital-маркетинг як сучасний інструмент просування товарів та послуг у соціальних мережах. Фінансово-кредитна діяльність: проблеми теорії та практики. 2022. Т. 2, № 43. С. 349–356. DOI: https://doi.org/10.55643/fcaptp.2.43.2022.3752</w:t>
      </w:r>
    </w:p>
    <w:p>
      <w:pPr>
        <w:spacing w:after="0" w:before="0" w:line="360"/>
        <w:ind w:left="709" w:hanging="340"/>
        <w:jc w:val="both"/>
      </w:pPr>
      <w:r>
        <w:rPr>
          <w:rFonts w:ascii="Times New Roman" w:cs="Times New Roman" w:eastAsia="Times New Roman" w:hAnsi="Times New Roman"/>
          <w:sz w:val="28"/>
          <w:szCs w:val="28"/>
        </w:rPr>
        <w:t xml:space="preserve">19. Шиковець К., Мельник М. Маркетинг соціальних мереж як важливий інструмент комунікацій. Економіка та суспільство. 2024. № 66. DOI: https://doi.org/10.32782/2524-0072/2024-66-113</w:t>
      </w:r>
    </w:p>
    <w:p>
      <w:pPr>
        <w:spacing w:after="0" w:before="0" w:line="360"/>
        <w:ind w:left="709" w:hanging="340"/>
        <w:jc w:val="both"/>
      </w:pPr>
      <w:r>
        <w:rPr>
          <w:rFonts w:ascii="Times New Roman" w:cs="Times New Roman" w:eastAsia="Times New Roman" w:hAnsi="Times New Roman"/>
          <w:sz w:val="28"/>
          <w:szCs w:val="28"/>
        </w:rPr>
        <w:t xml:space="preserve">20. Пімоненко Т., Люльов О., Здойма А., Пімоненко С. Маркетингова стратегія в соціальних мережах: теоретико-прикладний базис. Вісник Сумського державного університету. Серія «Економіка». 2023. № 1. С. 17–26. URL: https://visnyk.fem.sumdu.edu.ua/uk/1-2023-2</w:t>
      </w:r>
    </w:p>
    <w:p>
      <w:pPr>
        <w:spacing w:after="0" w:before="0" w:line="360"/>
        <w:ind w:left="709" w:hanging="340"/>
        <w:jc w:val="both"/>
      </w:pPr>
      <w:r>
        <w:rPr>
          <w:rFonts w:ascii="Times New Roman" w:cs="Times New Roman" w:eastAsia="Times New Roman" w:hAnsi="Times New Roman"/>
          <w:sz w:val="28"/>
          <w:szCs w:val="28"/>
        </w:rPr>
        <w:t xml:space="preserve">21. Trusov M., Bucklin R. E., Pauwels K. Effects of word-of-mouth versus traditional marketing: Findings from an internet social networking site. Journal of Marketing. 2009. Vol. 73, No. 5. P. 90–102. DOI: https://doi.org/10.1509/jmkg.73.5.90</w:t>
      </w:r>
    </w:p>
    <w:p>
      <w:pPr>
        <w:spacing w:after="0" w:before="0" w:line="360"/>
        <w:ind w:left="709" w:hanging="340"/>
        <w:jc w:val="both"/>
      </w:pPr>
      <w:r>
        <w:rPr>
          <w:rFonts w:ascii="Times New Roman" w:cs="Times New Roman" w:eastAsia="Times New Roman" w:hAnsi="Times New Roman"/>
          <w:sz w:val="28"/>
          <w:szCs w:val="28"/>
        </w:rPr>
        <w:t xml:space="preserve">22. Hoffman D. L., Fodor M. Can You Measure the ROI of Your Social Media Marketing? MIT Sloan Management Review. 2010. Vol. 52, No. 1. P. 41–49.</w:t>
      </w:r>
    </w:p>
    <w:p>
      <w:pPr>
        <w:spacing w:after="0" w:before="0" w:line="360"/>
        <w:ind w:left="709" w:hanging="340"/>
        <w:jc w:val="both"/>
      </w:pPr>
      <w:r>
        <w:rPr>
          <w:rFonts w:ascii="Times New Roman" w:cs="Times New Roman" w:eastAsia="Times New Roman" w:hAnsi="Times New Roman"/>
          <w:sz w:val="28"/>
          <w:szCs w:val="28"/>
        </w:rPr>
        <w:t xml:space="preserve">23. Lamberton C., Stephen A. T. A thematic exploration of digital, social media, and mobile marketing: Research evolution from 2000 to 2015 and an agenda for future inquiry. Journal of Marketing. 2016. Vol. 80, No. 6. P. 146–172.</w:t>
      </w:r>
    </w:p>
    <w:p>
      <w:pPr>
        <w:spacing w:after="0" w:before="0" w:line="360"/>
        <w:ind w:left="709" w:hanging="340"/>
        <w:jc w:val="both"/>
      </w:pPr>
      <w:r>
        <w:rPr>
          <w:rFonts w:ascii="Times New Roman" w:cs="Times New Roman" w:eastAsia="Times New Roman" w:hAnsi="Times New Roman"/>
          <w:sz w:val="28"/>
          <w:szCs w:val="28"/>
        </w:rPr>
        <w:t xml:space="preserve">24. Капінус Л. В. Вплив соціальних мереж на маркетингову поведінку підприємства на онлайн-ринку. Таврійський науковий вісник. Серія: Економіка. 2023. Вип. 18. С. 86–93. URL: https://tnv-econom.ksauniv.ks.ua/index.php/journal/article/view/439</w:t>
      </w:r>
    </w:p>
    <w:p>
      <w:pPr>
        <w:spacing w:after="0" w:before="0" w:line="360"/>
        <w:ind w:left="709" w:hanging="340"/>
        <w:jc w:val="both"/>
      </w:pPr>
      <w:r>
        <w:rPr>
          <w:rFonts w:ascii="Times New Roman" w:cs="Times New Roman" w:eastAsia="Times New Roman" w:hAnsi="Times New Roman"/>
          <w:sz w:val="28"/>
          <w:szCs w:val="28"/>
        </w:rPr>
        <w:t xml:space="preserve">25. Решетнікова О. В., Боровик Т., Сенько І. Маркетинг в соціальних мережах як інструмент просування бренду та підвищення обсягів збуту. Економіка та суспільство. 2024. № 65. DOI: https://doi.org/10.32782/2524-0072/2024-65-128</w:t>
      </w:r>
    </w:p>
    <w:p>
      <w:pPr>
        <w:spacing w:after="0" w:before="0" w:line="360"/>
        <w:ind w:left="709" w:hanging="340"/>
        <w:jc w:val="both"/>
      </w:pPr>
      <w:r>
        <w:rPr>
          <w:rFonts w:ascii="Times New Roman" w:cs="Times New Roman" w:eastAsia="Times New Roman" w:hAnsi="Times New Roman"/>
          <w:sz w:val="28"/>
          <w:szCs w:val="28"/>
        </w:rPr>
        <w:t xml:space="preserve">26. Schau H. J., Muñiz A. M., Arnould E. J. How brand community practices create value. Journal of Marketing. 2009. Vol. 73, No. 5. P. 30–51.</w:t>
      </w:r>
    </w:p>
    <w:p>
      <w:pPr>
        <w:pStyle w:val="Heading2"/>
        <w:spacing w:after="240" w:before="240" w:line="360"/>
        <w:ind w:firstLine="709"/>
      </w:pPr>
      <w:r>
        <w:rPr>
          <w:rFonts w:ascii="Times New Roman" w:cs="Times New Roman" w:eastAsia="Times New Roman" w:hAnsi="Times New Roman"/>
          <w:b/>
          <w:bCs/>
          <w:color w:val="000000"/>
          <w:sz w:val="28"/>
          <w:szCs w:val="28"/>
        </w:rPr>
        <w:t xml:space="preserve">Що зробити з цим текстом (чек-лист)</w:t>
      </w:r>
    </w:p>
    <w:p>
      <w:pPr>
        <w:spacing w:after="0" w:before="0" w:line="360"/>
        <w:ind w:left="709"/>
      </w:pPr>
      <w:r>
        <w:rPr>
          <w:rFonts w:ascii="Times New Roman" w:cs="Times New Roman" w:eastAsia="Times New Roman" w:hAnsi="Times New Roman"/>
          <w:sz w:val="28"/>
          <w:szCs w:val="28"/>
        </w:rPr>
        <w:t xml:space="preserve">☐ Заповнити </w:t>
      </w:r>
      <w:r>
        <w:rPr>
          <w:rFonts w:ascii="Times New Roman" w:cs="Times New Roman" w:eastAsia="Times New Roman" w:hAnsi="Times New Roman"/>
          <w:b/>
          <w:bCs/>
          <w:sz w:val="28"/>
          <w:szCs w:val="28"/>
        </w:rPr>
        <w:t xml:space="preserve">табл. 1.1 і 1.2</w:t>
      </w:r>
      <w:r>
        <w:rPr>
          <w:rFonts w:ascii="Times New Roman" w:cs="Times New Roman" w:eastAsia="Times New Roman" w:hAnsi="Times New Roman"/>
          <w:sz w:val="28"/>
          <w:szCs w:val="28"/>
        </w:rPr>
        <w:t xml:space="preserve"> дослівними цитатами з джерел (зі сторінками) і колонкою «акцент».</w:t>
      </w:r>
    </w:p>
    <w:p>
      <w:pPr>
        <w:spacing w:after="0" w:before="0" w:line="360"/>
        <w:ind w:left="709"/>
      </w:pPr>
      <w:r>
        <w:rPr>
          <w:rFonts w:ascii="Times New Roman" w:cs="Times New Roman" w:eastAsia="Times New Roman" w:hAnsi="Times New Roman"/>
          <w:sz w:val="28"/>
          <w:szCs w:val="28"/>
        </w:rPr>
        <w:t xml:space="preserve">☐ Скоригувати </w:t>
      </w:r>
      <w:r>
        <w:rPr>
          <w:rFonts w:ascii="Times New Roman" w:cs="Times New Roman" w:eastAsia="Times New Roman" w:hAnsi="Times New Roman"/>
          <w:b/>
          <w:bCs/>
          <w:sz w:val="28"/>
          <w:szCs w:val="28"/>
        </w:rPr>
        <w:t xml:space="preserve">абзаци аналізу</w:t>
      </w:r>
      <w:r>
        <w:rPr>
          <w:rFonts w:ascii="Times New Roman" w:cs="Times New Roman" w:eastAsia="Times New Roman" w:hAnsi="Times New Roman"/>
          <w:sz w:val="28"/>
          <w:szCs w:val="28"/>
        </w:rPr>
        <w:t xml:space="preserve"> після таблиць під реальні визначення.</w:t>
      </w:r>
    </w:p>
    <w:p>
      <w:pPr>
        <w:spacing w:after="0" w:before="0" w:line="360"/>
        <w:ind w:left="709"/>
      </w:pPr>
      <w:r>
        <w:rPr>
          <w:rFonts w:ascii="Times New Roman" w:cs="Times New Roman" w:eastAsia="Times New Roman" w:hAnsi="Times New Roman"/>
          <w:sz w:val="28"/>
          <w:szCs w:val="28"/>
        </w:rPr>
        <w:t xml:space="preserve">☐ Сформулювати </w:t>
      </w:r>
      <w:r>
        <w:rPr>
          <w:rFonts w:ascii="Times New Roman" w:cs="Times New Roman" w:eastAsia="Times New Roman" w:hAnsi="Times New Roman"/>
          <w:b/>
          <w:bCs/>
          <w:sz w:val="28"/>
          <w:szCs w:val="28"/>
        </w:rPr>
        <w:t xml:space="preserve">власне авторське визначення</w:t>
      </w:r>
      <w:r>
        <w:rPr>
          <w:rFonts w:ascii="Times New Roman" w:cs="Times New Roman" w:eastAsia="Times New Roman" w:hAnsi="Times New Roman"/>
          <w:sz w:val="28"/>
          <w:szCs w:val="28"/>
        </w:rPr>
        <w:t xml:space="preserve">.</w:t>
      </w:r>
    </w:p>
    <w:p>
      <w:pPr>
        <w:spacing w:after="0" w:before="0" w:line="360"/>
        <w:ind w:left="709"/>
      </w:pPr>
      <w:r>
        <w:rPr>
          <w:rFonts w:ascii="Times New Roman" w:cs="Times New Roman" w:eastAsia="Times New Roman" w:hAnsi="Times New Roman"/>
          <w:sz w:val="28"/>
          <w:szCs w:val="28"/>
        </w:rPr>
        <w:t xml:space="preserve">☐ Знайти сторінки для всіх </w:t>
      </w:r>
      <w:r>
        <w:rPr>
          <w:rFonts w:ascii="Times New Roman" w:cs="Times New Roman" w:eastAsia="Times New Roman" w:hAnsi="Times New Roman"/>
          <w:b/>
          <w:bCs/>
          <w:sz w:val="28"/>
          <w:szCs w:val="28"/>
        </w:rPr>
        <w:t xml:space="preserve">[N, с. __]</w:t>
      </w:r>
      <w:r>
        <w:rPr>
          <w:rFonts w:ascii="Times New Roman" w:cs="Times New Roman" w:eastAsia="Times New Roman" w:hAnsi="Times New Roman"/>
          <w:sz w:val="28"/>
          <w:szCs w:val="28"/>
        </w:rPr>
        <w:t xml:space="preserve">, а англомовні цитувати як </w:t>
      </w:r>
      <w:r>
        <w:rPr>
          <w:rFonts w:ascii="Times New Roman" w:cs="Times New Roman" w:eastAsia="Times New Roman" w:hAnsi="Times New Roman"/>
          <w:b/>
          <w:bCs/>
          <w:sz w:val="28"/>
          <w:szCs w:val="28"/>
        </w:rPr>
        <w:t xml:space="preserve">[N, p. X]</w:t>
      </w:r>
      <w:r>
        <w:rPr>
          <w:rFonts w:ascii="Times New Roman" w:cs="Times New Roman" w:eastAsia="Times New Roman" w:hAnsi="Times New Roman"/>
          <w:sz w:val="28"/>
          <w:szCs w:val="28"/>
        </w:rPr>
        <w:t xml:space="preserve">.</w:t>
      </w:r>
    </w:p>
    <w:p>
      <w:pPr>
        <w:spacing w:after="0" w:before="0" w:line="360"/>
        <w:ind w:left="709"/>
      </w:pPr>
      <w:r>
        <w:rPr>
          <w:rFonts w:ascii="Times New Roman" w:cs="Times New Roman" w:eastAsia="Times New Roman" w:hAnsi="Times New Roman"/>
          <w:sz w:val="28"/>
          <w:szCs w:val="28"/>
        </w:rPr>
        <w:t xml:space="preserve">☐ Перевірити твердження про </w:t>
      </w:r>
      <w:r>
        <w:rPr>
          <w:rFonts w:ascii="Times New Roman" w:cs="Times New Roman" w:eastAsia="Times New Roman" w:hAnsi="Times New Roman"/>
          <w:b/>
          <w:bCs/>
          <w:sz w:val="28"/>
          <w:szCs w:val="28"/>
        </w:rPr>
        <w:t xml:space="preserve">Трусова (20× і 30×)</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Менголда і Фолдса</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Каплана і Хенлайна (p. 61)</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Ламбертон і Стівена</w:t>
      </w:r>
      <w:r>
        <w:rPr>
          <w:rFonts w:ascii="Times New Roman" w:cs="Times New Roman" w:eastAsia="Times New Roman" w:hAnsi="Times New Roman"/>
          <w:sz w:val="28"/>
          <w:szCs w:val="28"/>
        </w:rPr>
        <w:t xml:space="preserve"> в оригіналах.</w:t>
      </w:r>
    </w:p>
    <w:p>
      <w:pPr>
        <w:spacing w:after="0" w:before="0" w:line="360"/>
        <w:ind w:left="709"/>
      </w:pPr>
      <w:r>
        <w:rPr>
          <w:rFonts w:ascii="Times New Roman" w:cs="Times New Roman" w:eastAsia="Times New Roman" w:hAnsi="Times New Roman"/>
          <w:sz w:val="28"/>
          <w:szCs w:val="28"/>
        </w:rPr>
        <w:t xml:space="preserve">☐ Перемалювати </w:t>
      </w:r>
      <w:r>
        <w:rPr>
          <w:rFonts w:ascii="Times New Roman" w:cs="Times New Roman" w:eastAsia="Times New Roman" w:hAnsi="Times New Roman"/>
          <w:b/>
          <w:bCs/>
          <w:sz w:val="28"/>
          <w:szCs w:val="28"/>
        </w:rPr>
        <w:t xml:space="preserve">рис. 1.1 і 1.2</w:t>
      </w:r>
      <w:r>
        <w:rPr>
          <w:rFonts w:ascii="Times New Roman" w:cs="Times New Roman" w:eastAsia="Times New Roman" w:hAnsi="Times New Roman"/>
          <w:sz w:val="28"/>
          <w:szCs w:val="28"/>
        </w:rPr>
        <w:t xml:space="preserve"> у Word.</w:t>
      </w:r>
    </w:p>
    <w:p>
      <w:pPr>
        <w:spacing w:after="0" w:before="0" w:line="360"/>
        <w:ind w:left="709"/>
      </w:pPr>
      <w:r>
        <w:rPr>
          <w:rFonts w:ascii="Times New Roman" w:cs="Times New Roman" w:eastAsia="Times New Roman" w:hAnsi="Times New Roman"/>
          <w:sz w:val="28"/>
          <w:szCs w:val="28"/>
        </w:rPr>
        <w:t xml:space="preserve">☐ Уточнити вихідні дані </w:t>
      </w:r>
      <w:r>
        <w:rPr>
          <w:rFonts w:ascii="Times New Roman" w:cs="Times New Roman" w:eastAsia="Times New Roman" w:hAnsi="Times New Roman"/>
          <w:b/>
          <w:bCs/>
          <w:sz w:val="28"/>
          <w:szCs w:val="28"/>
        </w:rPr>
        <w:t xml:space="preserve">Котлера і Келлера</w:t>
      </w:r>
      <w:r>
        <w:rPr>
          <w:rFonts w:ascii="Times New Roman" w:cs="Times New Roman" w:eastAsia="Times New Roman" w:hAnsi="Times New Roman"/>
          <w:sz w:val="28"/>
          <w:szCs w:val="28"/>
        </w:rPr>
        <w:t xml:space="preserve"> (джерело №6) за бібліотечним каталогом.</w:t>
      </w:r>
    </w:p>
    <w:p>
      <w:pPr>
        <w:spacing w:after="0" w:before="0" w:line="360"/>
        <w:ind w:left="709"/>
      </w:pPr>
      <w:r>
        <w:rPr>
          <w:rFonts w:ascii="Times New Roman" w:cs="Times New Roman" w:eastAsia="Times New Roman" w:hAnsi="Times New Roman"/>
          <w:sz w:val="28"/>
          <w:szCs w:val="28"/>
        </w:rPr>
        <w:t xml:space="preserve">☐ Перефразувати текст своїми словами.</w:t>
      </w:r>
    </w:p>
    <w:p>
      <w:pPr>
        <w:spacing w:after="0" w:before="0" w:line="360"/>
        <w:ind w:left="709"/>
      </w:pPr>
      <w:r>
        <w:rPr>
          <w:rFonts w:ascii="Times New Roman" w:cs="Times New Roman" w:eastAsia="Times New Roman" w:hAnsi="Times New Roman"/>
          <w:sz w:val="28"/>
          <w:szCs w:val="28"/>
        </w:rPr>
        <w:t xml:space="preserve">☐ Перевірити обсяг: має вийти ≈ 8 сторінок у Word (TNR 14, інтервал 1,5).</w:t>
      </w:r>
    </w:p>
    <w:sectPr>
      <w:pgSz w:w="11907" w:h="16840"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49" w:hanging="340"/>
      </w:pPr>
    </w:lvl>
    <w:lvl w:ilvl="1" w15:tentative="1">
      <w:start w:val="1"/>
      <w:numFmt w:val="bullet"/>
      <w:lvlText w:val="•"/>
      <w:lvlJc w:val="left"/>
      <w:pPr>
        <w:ind w:left="1474"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2026-10-05T20:51:35.215Z</dcterms:created>
  <dcterms:modified xsi:type="dcterms:W3CDTF">2026-10-05T20:51:35.222Z</dcterms:modified>
</cp:coreProperties>
</file>

<file path=docProps/custom.xml><?xml version="1.0" encoding="utf-8"?>
<Properties xmlns="http://schemas.openxmlformats.org/officeDocument/2006/custom-properties" xmlns:vt="http://schemas.openxmlformats.org/officeDocument/2006/docPropsVTypes"/>
</file>