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ПРИКЛАД ТЕКСТУ ПІДРОЗДІЛУ 1.1</w:t>
      </w:r>
    </w:p>
    <w:p>
      <w:pPr>
        <w:shd w:fill="FFF4CC" w:color="auto" w:val="clear"/>
        <w:spacing w:after="60" w:before="0" w:line="276"/>
        <w:ind w:left="170"/>
      </w:pPr>
      <w:r>
        <w:rPr>
          <w:rFonts w:ascii="Times New Roman" w:cs="Times New Roman" w:eastAsia="Times New Roman" w:hAnsi="Times New Roman"/>
          <w:b/>
          <w:bCs/>
          <w:color w:val="7A4B00"/>
          <w:sz w:val="22"/>
          <w:szCs w:val="22"/>
        </w:rPr>
        <w:t xml:space="preserve">Перш ніж використовувати, прочитайте це:</w:t>
      </w:r>
    </w:p>
    <w:p>
      <w:pPr>
        <w:shd w:fill="FFF4CC" w:color="auto" w:val="clear"/>
        <w:spacing w:after="60" w:before="0" w:line="276"/>
        <w:ind w:left="170"/>
      </w:pPr>
      <w:r>
        <w:rPr>
          <w:rFonts w:ascii="Times New Roman" w:cs="Times New Roman" w:eastAsia="Times New Roman" w:hAnsi="Times New Roman"/>
          <w:color w:val="7A4B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7A4B00"/>
          <w:sz w:val="22"/>
          <w:szCs w:val="22"/>
        </w:rPr>
        <w:t xml:space="preserve">Це зразок, а не готовий текст для здачі.</w:t>
      </w:r>
      <w:r>
        <w:rPr>
          <w:rFonts w:ascii="Times New Roman" w:cs="Times New Roman" w:eastAsia="Times New Roman" w:hAnsi="Times New Roman"/>
          <w:color w:val="7A4B00"/>
          <w:sz w:val="22"/>
          <w:szCs w:val="22"/>
        </w:rPr>
        <w:t xml:space="preserve"> Перепишіть його своїми словами, змініть порядок і доповніть власними думками. Тоді текст буде вашим і однорідним за стилем з рештою роботи.</w:t>
      </w:r>
    </w:p>
    <w:p>
      <w:pPr>
        <w:shd w:fill="FFF4CC" w:color="auto" w:val="clear"/>
        <w:spacing w:after="60" w:before="0" w:line="276"/>
        <w:ind w:left="170"/>
      </w:pPr>
      <w:r>
        <w:rPr>
          <w:rFonts w:ascii="Times New Roman" w:cs="Times New Roman" w:eastAsia="Times New Roman" w:hAnsi="Times New Roman"/>
          <w:color w:val="7A4B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7A4B00"/>
          <w:sz w:val="22"/>
          <w:szCs w:val="22"/>
        </w:rPr>
        <w:t xml:space="preserve">Квадратні дужки:</w:t>
      </w:r>
    </w:p>
    <w:p>
      <w:pPr>
        <w:shd w:fill="FFF4CC" w:color="auto" w:val="clear"/>
        <w:spacing w:after="60" w:before="0" w:line="276"/>
        <w:ind w:left="170"/>
      </w:pPr>
      <w:r>
        <w:rPr>
          <w:rFonts w:ascii="Times New Roman" w:cs="Times New Roman" w:eastAsia="Times New Roman" w:hAnsi="Times New Roman"/>
          <w:color w:val="7A4B00"/>
          <w:sz w:val="22"/>
          <w:szCs w:val="22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color w:val="7A4B00"/>
          <w:sz w:val="22"/>
          <w:szCs w:val="22"/>
        </w:rPr>
        <w:t xml:space="preserve">[N, с. __]</w:t>
      </w:r>
      <w:r>
        <w:rPr>
          <w:rFonts w:ascii="Times New Roman" w:cs="Times New Roman" w:eastAsia="Times New Roman" w:hAnsi="Times New Roman"/>
          <w:color w:val="7A4B00"/>
          <w:sz w:val="22"/>
          <w:szCs w:val="22"/>
        </w:rPr>
        <w:t xml:space="preserve">: номер джерела з </w:t>
      </w:r>
      <w:r>
        <w:rPr>
          <w:rFonts w:ascii="Times New Roman" w:cs="Times New Roman" w:eastAsia="Times New Roman" w:hAnsi="Times New Roman"/>
          <w:color w:val="7A4B00"/>
          <w:sz w:val="22"/>
          <w:szCs w:val="22"/>
        </w:rPr>
        <w:t xml:space="preserve">smm-thesis-sources.md</w:t>
      </w:r>
      <w:r>
        <w:rPr>
          <w:rFonts w:ascii="Times New Roman" w:cs="Times New Roman" w:eastAsia="Times New Roman" w:hAnsi="Times New Roman"/>
          <w:color w:val="7A4B00"/>
          <w:sz w:val="22"/>
          <w:szCs w:val="22"/>
        </w:rPr>
        <w:t xml:space="preserve"> і місце для сторінки, яку треба знайти в оригіналі;</w:t>
      </w:r>
    </w:p>
    <w:p>
      <w:pPr>
        <w:shd w:fill="FFF4CC" w:color="auto" w:val="clear"/>
        <w:spacing w:after="60" w:before="0" w:line="276"/>
        <w:ind w:left="170"/>
      </w:pPr>
      <w:r>
        <w:rPr>
          <w:rFonts w:ascii="Times New Roman" w:cs="Times New Roman" w:eastAsia="Times New Roman" w:hAnsi="Times New Roman"/>
          <w:color w:val="7A4B00"/>
          <w:sz w:val="22"/>
          <w:szCs w:val="22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color w:val="7A4B00"/>
          <w:sz w:val="22"/>
          <w:szCs w:val="22"/>
        </w:rPr>
        <w:t xml:space="preserve">«…»</w:t>
      </w:r>
      <w:r>
        <w:rPr>
          <w:rFonts w:ascii="Times New Roman" w:cs="Times New Roman" w:eastAsia="Times New Roman" w:hAnsi="Times New Roman"/>
          <w:color w:val="7A4B00"/>
          <w:sz w:val="22"/>
          <w:szCs w:val="22"/>
        </w:rPr>
        <w:t xml:space="preserve">: місце для дослівної цитати, яку ви скопіюєте з джерела. Цитат, яких я не можу перевірити, я </w:t>
      </w:r>
      <w:r>
        <w:rPr>
          <w:rFonts w:ascii="Times New Roman" w:cs="Times New Roman" w:eastAsia="Times New Roman" w:hAnsi="Times New Roman"/>
          <w:b/>
          <w:bCs/>
          <w:color w:val="7A4B00"/>
          <w:sz w:val="22"/>
          <w:szCs w:val="22"/>
        </w:rPr>
        <w:t xml:space="preserve">не вигадував</w:t>
      </w:r>
      <w:r>
        <w:rPr>
          <w:rFonts w:ascii="Times New Roman" w:cs="Times New Roman" w:eastAsia="Times New Roman" w:hAnsi="Times New Roman"/>
          <w:color w:val="7A4B00"/>
          <w:sz w:val="22"/>
          <w:szCs w:val="22"/>
        </w:rPr>
        <w:t xml:space="preserve">.</w:t>
      </w:r>
    </w:p>
    <w:p>
      <w:pPr>
        <w:shd w:fill="FFF4CC" w:color="auto" w:val="clear"/>
        <w:spacing w:after="60" w:before="0" w:line="276"/>
        <w:ind w:left="170"/>
      </w:pPr>
      <w:r>
        <w:rPr>
          <w:rFonts w:ascii="Times New Roman" w:cs="Times New Roman" w:eastAsia="Times New Roman" w:hAnsi="Times New Roman"/>
          <w:color w:val="7A4B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7A4B00"/>
          <w:sz w:val="22"/>
          <w:szCs w:val="22"/>
        </w:rPr>
        <w:t xml:space="preserve">Перевірте зміст.</w:t>
      </w:r>
      <w:r>
        <w:rPr>
          <w:rFonts w:ascii="Times New Roman" w:cs="Times New Roman" w:eastAsia="Times New Roman" w:hAnsi="Times New Roman"/>
          <w:color w:val="7A4B00"/>
          <w:sz w:val="22"/>
          <w:szCs w:val="22"/>
        </w:rPr>
        <w:t xml:space="preserve"> Твердження, які я приписую авторам, відповідають загальновідомому змісту цих праць. Перед здачею звірте кожне з оригіналом.</w:t>
      </w:r>
    </w:p>
    <w:p>
      <w:pPr>
        <w:shd w:fill="FFF4CC" w:color="auto" w:val="clear"/>
        <w:spacing w:after="60" w:before="0" w:line="276"/>
        <w:ind w:left="170"/>
      </w:pPr>
      <w:r>
        <w:rPr>
          <w:rFonts w:ascii="Times New Roman" w:cs="Times New Roman" w:eastAsia="Times New Roman" w:hAnsi="Times New Roman"/>
          <w:color w:val="7A4B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7A4B00"/>
          <w:sz w:val="22"/>
          <w:szCs w:val="22"/>
        </w:rPr>
        <w:t xml:space="preserve">Політика КПІ щодо ШІ.</w:t>
      </w:r>
      <w:r>
        <w:rPr>
          <w:rFonts w:ascii="Times New Roman" w:cs="Times New Roman" w:eastAsia="Times New Roman" w:hAnsi="Times New Roman"/>
          <w:color w:val="7A4B00"/>
          <w:sz w:val="22"/>
          <w:szCs w:val="22"/>
        </w:rPr>
        <w:t xml:space="preserve"> Ознайомтеся з нею (https://osvita.kpi.ua/node/1225) і за потреби вкажіть використання ШІ як допоміжного інструменту.</w:t>
      </w:r>
    </w:p>
    <w:p>
      <w:pPr>
        <w:pStyle w:val="Heading2"/>
        <w:spacing w:after="24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Сутність та роль маркетингового просування підприємства в соціальних мережах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Сучасний етап розвитку економіки характеризується стрімкою цифровізацією всіх сфер суспільного життя, що докорінно змінює моделі поведінки споживачів і способи їхньої взаємодії з підприємствами. Соціальні мережі перетворилися з платформ міжособистісного спілкування на повноцінне середовище пошуку інформації, формування купівельних рішень та обміну досвідом споживання [7, с. __]. Для українського ринку ця тенденція є особливо виразною: станом на жовтень 2025 р. в Україні налічувалося 23,0 млн активних користувачів соціальних мереж, що становить 58,5 % населення країни, причому лише впродовж 2025 р. їхня кількість зросла на 1,4 млн осіб [39; 40]. За таких умов маркетингове просування в соціальних мережах набуває для підприємств не допоміжного, а стратегічного значення. Водночас його ефективне використання потребує уточнення сутності поняття маркетингового просування, визначення місця соціальних мереж у системі маркетингових комунікацій, розкриття специфіки SMM та його ролі у взаємодії підприємства з цільовою аудиторією.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Категорія «просування» посідає одне з центральних місць у концепції комплексу маркетингу «4P», запропонованій Е. Дж. Маккарті, та традиційно розглядається як його четвертий елемент — Promotion, поряд із товаром (Product), ціною (Price) та розподілом (Place) [42, с. __]. Водночас в українській науковій літературі англомовний термін «promotion» перекладається неоднозначно: як «просування», «маркетингові комунікації», «комунікаційна політика» або «система стимулювання збуту». Чіткого розмежування цих понять немає, що зумовлює потребу в уточненні їхнього змісту [41, с. __].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Аналіз наукових праць вітчизняних і зарубіжних дослідників засвідчив відсутність єдиного підходу до трактування поняття «маркетингове просування» (табл. 1.1).</w:t>
      </w:r>
    </w:p>
    <w:p>
      <w:pPr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1.1 – Наукові підходи до визначення поняття «маркетингове просування»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20"/>
      </w:tblGrid>
      <w:tr>
        <w:trPr>
          <w:tblHeader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Автор(и)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Визначення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Підхід / ключовий акцент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Котлер Ф., Келлер К. Л. [__, с. __]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«…» </w:t>
            </w: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(дослівна цитата з «Маркетингового менеджменту»)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комунікаційний: інформування, переконання, нагадування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Сенишин О. С., Кривешко О. В. [42, с. __]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«…»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(визначте після прочитання)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Романчик Т. В. [41, с. __]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«…»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(визначте після прочитання)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Окландер М. А. та ін. [1, с. __]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«…»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цифровий: просування в онлайн-середовищі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Chaffey D., Ellis-Chadwick F. [22, p. __]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«…» </w:t>
            </w: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(переклад автора)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цифровий / відносинний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Закон України «Про рекламу» [43]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«…» </w:t>
            </w: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(визначення «реклами», ст. 1)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нормативний: реклама як складова просування</w:t>
            </w:r>
          </w:p>
        </w:tc>
      </w:tr>
    </w:tbl>
    <w:p>
      <w:pPr>
        <w:spacing w:after="120" w:before="0" w:line="360"/>
        <w:ind w:firstLine="709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Систематизовано автором за [1; 22; 41; 42; 43]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Узагальнення наведених визначень дозволяє виокремити три основні підходи до розуміння сутності просування.</w:t>
      </w:r>
    </w:p>
    <w:p>
      <w:pPr>
        <w:pStyle w:val="ListParagraph"/>
        <w:numPr>
          <w:ilvl w:val="0"/>
          <w:numId w:val="2"/>
        </w:numPr>
        <w:spacing w:after="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Комунікаційний підхід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розглядає просування передусім як процес передавання інформації про товар і підприємство цільовій аудиторії з метою її інформування, переконання та нагадування.</w:t>
      </w:r>
    </w:p>
    <w:p>
      <w:pPr>
        <w:pStyle w:val="ListParagraph"/>
        <w:numPr>
          <w:ilvl w:val="0"/>
          <w:numId w:val="2"/>
        </w:numPr>
        <w:spacing w:after="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Збутовий підхід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акцентує увагу на стимулюванні попиту та збільшенні обсягів продажу, трактуючи просування як сукупність заходів впливу на купівельну поведінку.</w:t>
      </w:r>
    </w:p>
    <w:p>
      <w:pPr>
        <w:pStyle w:val="ListParagraph"/>
        <w:numPr>
          <w:ilvl w:val="0"/>
          <w:numId w:val="2"/>
        </w:numPr>
        <w:spacing w:after="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Відносинний підхід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що сформувався під впливом концепції маркетингу відносин, розглядає просування як інструмент формування довгострокової двосторонньої взаємодії з клієнтами.</w:t>
      </w:r>
    </w:p>
    <w:p>
      <w:pPr>
        <w:shd w:fill="FFF4CC" w:color="auto" w:val="clear"/>
        <w:spacing w:after="60" w:before="0" w:line="276"/>
        <w:ind w:left="170"/>
      </w:pPr>
      <w:r>
        <w:rPr>
          <w:rFonts w:ascii="Times New Roman" w:cs="Times New Roman" w:eastAsia="Times New Roman" w:hAnsi="Times New Roman"/>
          <w:i/>
          <w:iCs/>
          <w:color w:val="7A4B00"/>
          <w:sz w:val="22"/>
          <w:szCs w:val="22"/>
        </w:rPr>
        <w:t xml:space="preserve">[Примітка для вас: перевірте, що визначення з таблиці справді розподіляються за цими підходами. Якщо ні, скоригуйте абзац.]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нашу думку, жоден із підходів окремо не відображає повною мірою сутність просування в сучасних умовах. Інформування та стимулювання збуту залишаються його важливими завданнями. Однак розвиток цифрових технологій змістив акцент із односпрямованої трансляції повідомлень на двосторонню, а нерідко й багатосторонню взаємодію зі споживачами. Тому найбільш обґрунтованим вважаємо інтегрований підхід, за яким маркетингове просування є керованим процесом комунікаційного впливу, спрямованим одночасно на досягнення збутових цілей і на формування стійких відносин із цільовою аудиторією.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Традиційно комплекс просування (promotion mix) охоплює рекламу, стимулювання збуту, зв'язки з громадськістю, особистий продаж і прямий маркетинг [42, с. __]. Проте розвиток цифрових технологій суттєво трансформував цей комплекс. Поряд із традиційними інструментами дедалі вагомішого значення набувають цифрові канали [1, с. __; 22, p. __], серед яких особливе місце посідають соціальні мережі.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визначення місця соціальних мереж у системі маркетингових комунікацій доцільно насамперед розмежувати поняття «соціальні медіа» та «соціальні мережі», які в науковій і практичній літературі нерідко вживаються як синоніми. Одне з найбільш цитованих визначень соціальних медіа запропонували А. Каплан і М. Хенлайн. Вони розглядають їх як групу інтернет-застосунків, що ґрунтуються на ідеологічних і технологічних засадах Web 2.0 та дають змогу створювати контент, генерований користувачами (user-generated content, UGC), і обмінюватися ним [20, p. 61]. Автори класифікують соціальні медіа на шість груп: колективні проєкти, блоги, контент-спільноти, сайти соціальних мереж, віртуальні ігрові світи та віртуальні соціальні світи [20, p. __]. Отже, соціальні мережі (Facebook, Instagram, TikTok, LinkedIn тощо) є одним із видів соціальних медіа. Водночас саме вони сьогодні становлять основний канал маркетингової комунікації підприємств з аудиторією.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Функціональні можливості соціальних медіа розкриває модель Я. Кіцманна та співавторів, яка виокремлює сім функціональних блоків: ідентичність, розмови, обмін, присутність, стосунки, репутацію та групи [25, p. __]. Різні платформи по-різному поєднують ці блоки. Тому, на думку авторів, підприємство має формувати стратегію присутності в соціальних медіа з урахуванням функціональної специфіки кожної платформи [25, p. __]. Для практики це означає, що вибір соціальних мереж для просування має ґрунтуватися на відповідності їхніх функціональних можливостей цілям комунікації та характеристикам цільової аудиторії.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Ключову роль у розумінні місця соціальних мереж у системі маркетингових комунікацій відіграє концепція В. Г. Менголда та Д. Дж. Фолдса. Вони визначили соціальні медіа як «гібридний елемент» комплексу просування [24, p. __]. Гібридність полягає в тому, що соціальні медіа поєднують дві різні за природою форми комунікації. З одного боку, у традиційному сенсі вони дають змогу підприємству звертатися до споживачів. З іншого боку, у нетрадиційному сенсі вони дають змогу споживачам безпосередньо спілкуватися між собою [24, p. __]. Зміст, час і частота таких розмов між споживачами перебувають поза прямим контролем менеджменту. Через це завдання підприємства полягає вже не в повному контролі над повідомленнями, а у формуванні дискусій відповідно до власних цілей [24, p. __]. Місце соціальних мереж у системі маркетингових комунікацій підприємства відображено на рис. 1.1.</w:t>
      </w:r>
    </w:p>
    <w:p>
      <w:pPr>
        <w:spacing w:after="0" w:before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 – Місце соціальних мереж у системі маркетингових комунікацій підприємства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КОМПЛЕКС МАРКЕТИНГУ (4P)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Товар     Ціна     Розподіл     ПРОСУВАННЯ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│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┌───────────────────────────────────────┴──────────────┐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▼                                                      ▼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ТРАДИЦІЙНІ ІНСТРУМЕНТИ                          СОЦІАЛЬНІ МЕРЕЖІ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• реклама                                      («гібридний елемент»)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• стимулювання збуту                 ┌──────────────────┴──────────────┐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• зв'язки з громадськістю            ▼                                 ▼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• особистий продаж          Підприємство ↔ споживач       Споживач ↔ споживач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• прямий маркетинг          (контент, реклама,            (відгуки, eWOM, UGC,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діалог, підтримка)            рекомендації)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│                              │                                 │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└──────────────────────────────┴──────────┬──────────────────────┘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 ▼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ІНТЕГРАЦІЯ: сайт, e-mail, CRM, офлайн-канали</w:t>
      </w:r>
    </w:p>
    <w:p>
      <w:pPr>
        <w:spacing w:after="120" w:before="0" w:line="360"/>
        <w:ind w:firstLine="709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Складено автором на основі [24; 26]</w:t>
      </w:r>
    </w:p>
    <w:p>
      <w:pPr>
        <w:shd w:fill="FFF4CC" w:color="auto" w:val="clear"/>
        <w:spacing w:after="60" w:before="0" w:line="276"/>
        <w:ind w:left="170"/>
      </w:pPr>
      <w:r>
        <w:rPr>
          <w:rFonts w:ascii="Times New Roman" w:cs="Times New Roman" w:eastAsia="Times New Roman" w:hAnsi="Times New Roman"/>
          <w:i/>
          <w:iCs/>
          <w:color w:val="7A4B00"/>
          <w:sz w:val="22"/>
          <w:szCs w:val="22"/>
        </w:rPr>
        <w:t xml:space="preserve">[Примітка: у Word зробіть цю схему фігурами або SmartArt. Тут вона показана текстом.]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Важливо підкреслити, що соціальні мережі не функціонують у системі маркетингових комунікацій ізольовано. Р. Ханна, А. Ром і В. Кріттенден наголошують на необхідності розглядати соціальні медіа як частину ширшої екосистеми, у якій цифрові та традиційні канали взаємно підсилюють один одного [26, p. __]. Ефективність просування в соціальних мережах значною мірою залежить від їхньої інтеграції з вебсайтом підприємства, системами управління взаємовідносинами з клієнтами (CRM) та іншими каналами комунікації [38, с. __].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Розглянуті особливості соціальних мереж зумовлюють специфіку маркетингу в соціальних мережах (Social Media Marketing, SMM) як окремого напряму маркетингової діяльності. Попри поширеність цього терміна, у науковій літературі відсутнє його загальноприйняте визначення (табл. 1.2).</w:t>
      </w:r>
    </w:p>
    <w:p>
      <w:pPr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1.2 – Підходи до визначення сутності поняття «маркетинг у соціальних мережах (SMM)»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20"/>
      </w:tblGrid>
      <w:tr>
        <w:trPr>
          <w:tblHeader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Автор(и)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Визначення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Ключовий акцент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Tuten T. L. [23, p. __]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«…» </w:t>
            </w: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(переклад автора)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(визначте)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Li F., Larimo J., Leonidou L. C. [50, p. __]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«…» </w:t>
            </w: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(визначення SMM-стратегії, переклад автора)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стратегічний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Ярмолюк О., Фісун Ю., Шаповалова А. [2, с. __]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«…»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(визначте)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Гірна О. та ін. [3, с. __]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«…»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(визначте)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Шиковець К., Мельник М. [8, с. __]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«…»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комунікаційний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Пімоненко Т. та ін. [10, с. __]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«…»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(визначте)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Авторське визначення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(див. нижче)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управлінський</w:t>
            </w:r>
          </w:p>
        </w:tc>
      </w:tr>
    </w:tbl>
    <w:p>
      <w:pPr>
        <w:spacing w:after="120" w:before="0" w:line="360"/>
        <w:ind w:firstLine="709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Систематизовано автором за [2; 3; 8; 10; 23; 50]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Аналіз наведених визначень дозволяє виявити як спільні риси, так і відмінності в підходах дослідників.</w:t>
      </w:r>
    </w:p>
    <w:p>
      <w:pPr>
        <w:pStyle w:val="ListParagraph"/>
        <w:numPr>
          <w:ilvl w:val="0"/>
          <w:numId w:val="2"/>
        </w:numPr>
        <w:spacing w:after="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Спільне: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більшість авторів розглядає SMM як використання соціальних мереж для досягнення маркетингових цілей підприємства, зокрема для підвищення впізнаваності бренду, залучення аудиторії та стимулювання продажів.</w:t>
      </w:r>
    </w:p>
    <w:p>
      <w:pPr>
        <w:pStyle w:val="ListParagraph"/>
        <w:numPr>
          <w:ilvl w:val="0"/>
          <w:numId w:val="2"/>
        </w:numPr>
        <w:spacing w:after="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Відмінне: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частина дослідників акцентує увагу на інструментальному аспекті, тобто на сукупності інструментів і технологій просування. Інші наголошують на комунікаційному аспекті, тобто на взаємодії з аудиторією. Ф. Лі, Я. Ларімо та Л. Леонідоу розглядають SMM-стратегію з позицій стратегічного менеджменту. Вони виокремлюють чотири типи стратегій за рівнем зрілості: соціальну комерцію, соціальний контент, соціальний моніторинг і соціальну CRM [50, p. __].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Водночас, на нашу думку, більшість наведених визначень недостатньо враховує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управлінський аспект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SMM: планування, організацію, контроль та оцінювання ефективності просування на основі вимірюваних показників. Саме цей аспект є визначальним для підприємства, яке розглядає соціальні мережі не як разовий інструмент, а як системний канал маркетингових комунікацій.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огляду на це, під маркетинговим просуванням підприємства в соціальних мережах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запропоновано розуміти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керований процес планування, реалізації та контролю комунікаційної діяльності підприємства на платформах соціальних мереж, спрямований на формування обізнаності, залучення та конверсію цільової аудиторії і розвиток довгострокових відносин із нею, що ґрунтується на поєднанні контенту, платної реклами та взаємодії з користувачами і оцінюється за системою вимірюваних маркетингових та економічних показників.</w:t>
      </w:r>
    </w:p>
    <w:p>
      <w:pPr>
        <w:shd w:fill="FFF4CC" w:color="auto" w:val="clear"/>
        <w:spacing w:after="60" w:before="0" w:line="276"/>
        <w:ind w:left="170"/>
      </w:pPr>
      <w:r>
        <w:rPr>
          <w:rFonts w:ascii="Times New Roman" w:cs="Times New Roman" w:eastAsia="Times New Roman" w:hAnsi="Times New Roman"/>
          <w:i/>
          <w:iCs/>
          <w:color w:val="7A4B00"/>
          <w:sz w:val="22"/>
          <w:szCs w:val="22"/>
        </w:rPr>
        <w:t xml:space="preserve">[Примітка: це </w:t>
      </w:r>
      <w:r>
        <w:rPr>
          <w:rFonts w:ascii="Times New Roman" w:cs="Times New Roman" w:eastAsia="Times New Roman" w:hAnsi="Times New Roman"/>
          <w:i/>
          <w:iCs/>
          <w:color w:val="7A4B00"/>
          <w:sz w:val="22"/>
          <w:szCs w:val="22"/>
        </w:rPr>
        <w:t xml:space="preserve">зразок</w:t>
      </w:r>
      <w:r>
        <w:rPr>
          <w:rFonts w:ascii="Times New Roman" w:cs="Times New Roman" w:eastAsia="Times New Roman" w:hAnsi="Times New Roman"/>
          <w:i/>
          <w:iCs/>
          <w:color w:val="7A4B00"/>
          <w:sz w:val="22"/>
          <w:szCs w:val="22"/>
        </w:rPr>
        <w:t xml:space="preserve"> авторського визначення. Обов'язково сформулюйте своє, бо це елемент наукової новизни, і комісія може попросити його пояснити.]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Специфіку SMM найбільш наочно розкриває його порівняння з традиційними маркетинговими комунікаціями (табл. 1.3).</w:t>
      </w:r>
    </w:p>
    <w:p>
      <w:pPr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1.3 – Порівняльна характеристика традиційних маркетингових комунікацій та SMM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20"/>
      </w:tblGrid>
      <w:tr>
        <w:trPr>
          <w:tblHeader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Критерій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Традиційні маркетингові комунікації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Маркетинг у соціальних мережах (SMM)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Спрямованість комунікації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переважно односпрямована (підприємство → споживач)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двостороння та багатостороння (підприємство ↔ споживач, споживач ↔ споживач)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Контроль над змістом повідомлень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повний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частковий (коментарі, відгуки, UGC)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Можливості таргетування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широкі сегменти аудиторії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точне таргетування за демографічними, географічними, поведінковими ознаками та інтересами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Швидкість зворотного зв'язку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низька, відкладена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висока, у режимі реального часу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Вимірюваність результатів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обмежена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висока (охоплення, залученість, кліки, конверсії)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Вартість контакту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відносно висока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відносно низька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 споживача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пасивний отримувач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активний учасник і співтворець контенту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Чинник поширення</w:t>
            </w:r>
          </w:p>
        </w:tc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медіабюджет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медіабюджет + вірусне поширення + алгоритми платформ</w:t>
            </w:r>
          </w:p>
        </w:tc>
      </w:tr>
    </w:tbl>
    <w:p>
      <w:pPr>
        <w:spacing w:after="120" w:before="0" w:line="360"/>
        <w:ind w:firstLine="709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Складено автором на основі [22; 24; 51]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Як видно з табл. 1.3, принциповою відмінністю SMM є перехід від моделі трансляції повідомлень до моделі взаємодії. У ній споживач стає не лише адресатом, а й активним учасником комунікації. Особливого значення набуває електронна «сарафанна» комунікація (eWOM). Так, М. Трусов, Р. Баклін та К. Пауелс на прикладі соціальної мережі емпірично довели: рекомендації користувачів мають значно триваліший ефект і вищу еластичність відгуку, ніж традиційні маркетингові заходи. У довгостроковому періоді ефект таких рекомендацій виявився приблизно у 20 разів сильнішим за ефект подієвого маркетингу та у 30 разів — за ефект появ у медіа [51, p. __].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Водночас специфіка SMM створює і певні обмеження:</w:t>
      </w:r>
    </w:p>
    <w:p>
      <w:pPr>
        <w:pStyle w:val="ListParagraph"/>
        <w:numPr>
          <w:ilvl w:val="0"/>
          <w:numId w:val="2"/>
        </w:numPr>
        <w:spacing w:after="0" w:before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охоплення органічних публікацій залежить від алгоритмів платформ, на які підприємство не впливає;</w:t>
      </w:r>
    </w:p>
    <w:p>
      <w:pPr>
        <w:pStyle w:val="ListParagraph"/>
        <w:numPr>
          <w:ilvl w:val="0"/>
          <w:numId w:val="2"/>
        </w:numPr>
        <w:spacing w:after="0" w:before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відкритість комунікації підвищує ризик поширення негативних відгуків;</w:t>
      </w:r>
    </w:p>
    <w:p>
      <w:pPr>
        <w:pStyle w:val="ListParagraph"/>
        <w:numPr>
          <w:ilvl w:val="0"/>
          <w:numId w:val="2"/>
        </w:numPr>
        <w:spacing w:after="0" w:before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оцінювання фінансової віддачі від SMM ускладнене. Як зазначають Д. Хоффман і М. Фодор, традиційний підхід до розрахунку ROI не завжди придатний для соціальних медіа, тож оцінювання слід починати з мотивів споживачів та їхніх «інвестицій» у взаємодію з брендом [19, p. __].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Розкриття специфіки SMM дає змогу визначити його роль у взаємодії підприємства з цільовою аудиторією. К. Ламбертон та Е. Стівен, узагальнивши дослідження 2000–2015 рр., виокремили три ключові ролі цифрових і соціальних медіа в маркетингу [49, p. __]:</w:t>
      </w:r>
    </w:p>
    <w:p>
      <w:pPr>
        <w:spacing w:after="0" w:before="0" w:line="360"/>
        <w:ind w:left="709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засіб самовираження споживачів;</w:t>
      </w:r>
    </w:p>
    <w:p>
      <w:pPr>
        <w:spacing w:after="0" w:before="0" w:line="360"/>
        <w:ind w:left="709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інструмент підтримки прийняття їхніх рішень;</w:t>
      </w:r>
    </w:p>
    <w:p>
      <w:pPr>
        <w:spacing w:after="0" w:before="0" w:line="360"/>
        <w:ind w:left="709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джерело ринкової інформації для підприємств.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Розвиваючи цей підхід, вважаємо за доцільне виокремити такі функції SMM у взаємодії підприємства з цільовою аудиторією (рис. 1.2).</w:t>
      </w:r>
    </w:p>
    <w:p>
      <w:pPr>
        <w:spacing w:after="0" w:before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1.2 – Функції SMM у взаємодії підприємства з цільовою аудиторією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┌──────────────────────┐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ІНФОРМАЦІЙНА        │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інформування про     │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товари, акції, бренд │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└──────────┬───────────┘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┌──────────────────┐         │         ┌──────────────────┐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│ ЛОЯЛЬНІСНА       │         │         │ КОМУНІКАЦІЙНА    │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│ спільнота, UGC,  ├─────────┼─────────┤ діалог, підтримка,│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│ повторні покупки │      ┌──┴──┐      │ зворотний зв'язок│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└──────────────────┘      │ SMM │      └──────────────────┘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┌──────────────────┐      └──┬──┘      ┌──────────────────┐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│ АНАЛІТИЧНА       │         │         │ ІМІДЖЕВА         │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│ дослідження ЦА,  ├─────────┼─────────┤ формування бренду│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│ моніторинг       │         │         │ та репутації     │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└──────────────────┘         │         └──────────────────┘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┌──────────┴───────────┐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ЗБУТОВА             │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лідогенерація,       │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продажі, ретаргетинг │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└──────────────────────┘</w:t>
      </w:r>
    </w:p>
    <w:p>
      <w:pPr>
        <w:spacing w:after="120" w:before="0" w:line="360"/>
        <w:ind w:firstLine="709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(розроблено автором на основі [5; 6; 49])</w:t>
      </w:r>
    </w:p>
    <w:p>
      <w:pPr>
        <w:pStyle w:val="ListParagraph"/>
        <w:numPr>
          <w:ilvl w:val="0"/>
          <w:numId w:val="2"/>
        </w:numPr>
        <w:spacing w:after="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Інформаційна функція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полягає в донесенні до аудиторії відомостей про підприємство, його товари, ціни та спеціальні пропозиції.</w:t>
      </w:r>
    </w:p>
    <w:p>
      <w:pPr>
        <w:pStyle w:val="ListParagraph"/>
        <w:numPr>
          <w:ilvl w:val="0"/>
          <w:numId w:val="2"/>
        </w:numPr>
        <w:spacing w:after="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Комунікаційна функція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забезпечує двосторонній діалог зі споживачами, оперативну відповідь на їхні запитання та обробку звернень.</w:t>
      </w:r>
    </w:p>
    <w:p>
      <w:pPr>
        <w:pStyle w:val="ListParagraph"/>
        <w:numPr>
          <w:ilvl w:val="0"/>
          <w:numId w:val="2"/>
        </w:numPr>
        <w:spacing w:after="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Іміджева функція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пов'язана з формуванням впізнаваності бренду, його позиціонуванням та управлінням репутацією.</w:t>
      </w:r>
    </w:p>
    <w:p>
      <w:pPr>
        <w:pStyle w:val="ListParagraph"/>
        <w:numPr>
          <w:ilvl w:val="0"/>
          <w:numId w:val="2"/>
        </w:numPr>
        <w:spacing w:after="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Збутова функція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реалізується через залучення потенційних клієнтів (лідогенерацію), ретаргетинг і безпосередні продажі в соціальних мережах.</w:t>
      </w:r>
    </w:p>
    <w:p>
      <w:pPr>
        <w:pStyle w:val="ListParagraph"/>
        <w:numPr>
          <w:ilvl w:val="0"/>
          <w:numId w:val="2"/>
        </w:numPr>
        <w:spacing w:after="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Аналітична функція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полягає у використанні даних соціальних мереж для вивчення цільової аудиторії, моніторингу згадок бренду та оцінювання ефективності комунікацій.</w:t>
      </w:r>
    </w:p>
    <w:p>
      <w:pPr>
        <w:pStyle w:val="ListParagraph"/>
        <w:numPr>
          <w:ilvl w:val="0"/>
          <w:numId w:val="2"/>
        </w:numPr>
        <w:spacing w:after="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Лояльнісна функція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спрямована на формування спільноти навколо бренду, стимулювання створення контенту користувачами та повторних покупок. Як показали Г. Дж. Шау, А. М. Муньїс та Е. Дж. Арнолд, практики бренд-спільнот створюють для споживачів цінність, яка виходить за межі цінності, що її пропонує сам виробник [52, p. __].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Реалізація зазначених функцій відбувається послідовно відповідно до етапів взаємодії споживача з брендом у соціальних мережах:</w:t>
      </w:r>
    </w:p>
    <w:p>
      <w:pPr>
        <w:spacing w:after="0" w:before="0" w:line="360"/>
        <w:ind w:left="709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охоплення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контакт аудиторії з повідомленням;</w:t>
      </w:r>
    </w:p>
    <w:p>
      <w:pPr>
        <w:spacing w:after="0" w:before="0" w:line="360"/>
        <w:ind w:left="709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залучення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реакції, коментарі, поширення;</w:t>
      </w:r>
    </w:p>
    <w:p>
      <w:pPr>
        <w:spacing w:after="0" w:before="0" w:line="360"/>
        <w:ind w:left="709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конверсія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перехід на сайт, заявка, покупка;</w:t>
      </w:r>
    </w:p>
    <w:p>
      <w:pPr>
        <w:spacing w:after="0" w:before="0" w:line="360"/>
        <w:ind w:left="709" w:hanging="34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лояльність та адвокація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повторні покупки та рекомендації.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кожному етапі SMM виконує відмінні завдання, а отже, потребує власних показників оцінювання. Їхня систематизація буде здійснена в підрозділі 1.3.</w:t>
      </w:r>
    </w:p>
    <w:p>
      <w:pPr>
        <w:shd w:fill="FFF4CC" w:color="auto" w:val="clear"/>
        <w:spacing w:after="60" w:before="0" w:line="276"/>
        <w:ind w:left="170"/>
      </w:pPr>
      <w:r>
        <w:rPr>
          <w:rFonts w:ascii="Times New Roman" w:cs="Times New Roman" w:eastAsia="Times New Roman" w:hAnsi="Times New Roman"/>
          <w:i/>
          <w:iCs/>
          <w:color w:val="7A4B00"/>
          <w:sz w:val="22"/>
          <w:szCs w:val="22"/>
        </w:rPr>
        <w:t xml:space="preserve">[За бажанням тут можна додати </w:t>
      </w:r>
      <w:r>
        <w:rPr>
          <w:rFonts w:ascii="Times New Roman" w:cs="Times New Roman" w:eastAsia="Times New Roman" w:hAnsi="Times New Roman"/>
          <w:i/>
          <w:iCs/>
          <w:color w:val="7A4B00"/>
          <w:sz w:val="22"/>
          <w:szCs w:val="22"/>
        </w:rPr>
        <w:t xml:space="preserve">Рис. 1.3</w:t>
      </w:r>
      <w:r>
        <w:rPr>
          <w:rFonts w:ascii="Times New Roman" w:cs="Times New Roman" w:eastAsia="Times New Roman" w:hAnsi="Times New Roman"/>
          <w:i/>
          <w:iCs/>
          <w:color w:val="7A4B00"/>
          <w:sz w:val="22"/>
          <w:szCs w:val="22"/>
        </w:rPr>
        <w:t xml:space="preserve">: стовпчикову діаграму кількості користувачів основних платформ в Україні за даними звіту [39]. Вона покаже, які платформи найважливіші для українського бізнесу.]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Отже, проведене дослідження дозволило уточнити сутність маркетингового просування як керованого процесу комунікаційного впливу, спрямованого одночасно на досягнення збутових цілей і на формування стійких відносин із цільовою аудиторією. Встановлено, що соціальні мережі посідають особливе місце в системі маркетингових комунікацій як «гібридний елемент» комплексу просування. Вони поєднують комунікацію «підприємство — споживач» із неконтрольованою безпосередньо комунікацією «споживач — споживач». Визначено специфіку SMM, що полягає в багатосторонньому характері комунікації, частковому контролі над змістом, високих можливостях таргетування та вимірюваності результатів. Також виокремлено шість функцій SMM у взаємодії з цільовою аудиторією. Сформульовано авторське визначення маркетингового просування підприємства в соціальних мережах, яке, на відміну від наявних, акцентує на його управлінському характері та вимірюваності результатів. Це зумовлює необхідність розгляду системи управління маркетинговим просуванням підприємства в соціальних мережах, що і буде предметом наступного підрозділу.</w:t>
      </w:r>
    </w:p>
    <w:p>
      <w:pPr>
        <w:pStyle w:val="Heading2"/>
        <w:spacing w:after="24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Що зробити з цим текстом (чек-лист)</w:t>
      </w:r>
    </w:p>
    <w:p>
      <w:pPr>
        <w:spacing w:after="0" w:before="0" w:line="360"/>
        <w:ind w:left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☐ Заповнити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табл. 1.1 і 1.2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дослівними цитатами з джерел (зі сторінками) і колонкою «акцент».</w:t>
      </w:r>
    </w:p>
    <w:p>
      <w:pPr>
        <w:spacing w:after="0" w:before="0" w:line="360"/>
        <w:ind w:left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☐ Скоригувати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абзаци аналізу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після таблиць під реальні визначення.</w:t>
      </w:r>
    </w:p>
    <w:p>
      <w:pPr>
        <w:spacing w:after="0" w:before="0" w:line="360"/>
        <w:ind w:left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☐ Сформулювати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власне авторське визначення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before="0" w:line="360"/>
        <w:ind w:left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☐ Знайти сторінки для всіх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[N, с. __]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англомовні цитувати як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[N, p. X]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before="0" w:line="360"/>
        <w:ind w:left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☐ Перевірити твердження про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Трусова (20× і 30×)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Менголда і Фолдса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Каплана і Хенлайна (p. 61)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Ламбертон і Стівена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оригіналах.</w:t>
      </w:r>
    </w:p>
    <w:p>
      <w:pPr>
        <w:spacing w:after="0" w:before="0" w:line="360"/>
        <w:ind w:left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☐ Перемалювати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рис. 1.1 і 1.2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 Word.</w:t>
      </w:r>
    </w:p>
    <w:p>
      <w:pPr>
        <w:spacing w:after="0" w:before="0" w:line="360"/>
        <w:ind w:left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☐ Додати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Котлера і Келлера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до списку джерел із повними вихідними даними.</w:t>
      </w:r>
    </w:p>
    <w:p>
      <w:pPr>
        <w:spacing w:after="0" w:before="0" w:line="360"/>
        <w:ind w:left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☐ Перефразувати текст своїми словами.</w:t>
      </w:r>
    </w:p>
    <w:p>
      <w:pPr>
        <w:spacing w:after="0" w:before="0" w:line="360"/>
        <w:ind w:left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☐ Перевірити обсяг: має вийти ≈ 8 сторінок у Word (TNR 14, інтервал 1,5).</w:t>
      </w:r>
    </w:p>
    <w:sectPr>
      <w:pgSz w:w="11907" w:h="16840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49" w:hanging="340"/>
      </w:pPr>
    </w:lvl>
    <w:lvl w:ilvl="1" w15:tentative="1">
      <w:start w:val="1"/>
      <w:numFmt w:val="bullet"/>
      <w:lvlText w:val="•"/>
      <w:lvlJc w:val="left"/>
      <w:pPr>
        <w:ind w:left="1474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2026-10-05T17:01:52.494Z</dcterms:created>
  <dcterms:modified xsi:type="dcterms:W3CDTF">2026-10-05T17:01:52.501Z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