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jc w:val="center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>Esc. Superior N</w:t>
      </w:r>
      <w:r>
        <w:rPr>
          <w:rFonts w:ascii="Cantarell" w:hAnsi="Cantarell"/>
          <w:b/>
          <w:bCs/>
          <w:sz w:val="22"/>
          <w:szCs w:val="22"/>
          <w:lang w:val="es-AR"/>
        </w:rPr>
        <w:t>°</w:t>
      </w:r>
      <w:r>
        <w:rPr>
          <w:rFonts w:ascii="Cantarell" w:hAnsi="Cantarell"/>
          <w:b/>
          <w:bCs/>
          <w:sz w:val="22"/>
          <w:szCs w:val="22"/>
          <w:lang w:val="es-AR"/>
        </w:rPr>
        <w:t xml:space="preserve"> 49 "Cap. Gral. J. J. Urquiza"</w:t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 xml:space="preserve">Materia: 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Practica profesionalizante</w:t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 xml:space="preserve">Curso:  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3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°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 xml:space="preserve">1° </w:t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 xml:space="preserve">Año: 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20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2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1</w:t>
      </w:r>
    </w:p>
    <w:p>
      <w:pPr>
        <w:pStyle w:val="Normal"/>
        <w:spacing w:lineRule="auto" w:line="480"/>
        <w:rPr>
          <w:rFonts w:ascii="Cantarell" w:hAnsi="Cantarell"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 xml:space="preserve">Profesor:  </w:t>
      </w:r>
      <w:r>
        <w:rPr>
          <w:rFonts w:ascii="Cantarell" w:hAnsi="Cantarell"/>
          <w:sz w:val="22"/>
          <w:szCs w:val="22"/>
          <w:lang w:val="es-AR"/>
        </w:rPr>
        <w:t xml:space="preserve"> </w:t>
      </w:r>
      <w:r>
        <w:rPr>
          <w:rFonts w:ascii="Cantarell" w:hAnsi="Cantarell"/>
          <w:sz w:val="22"/>
          <w:szCs w:val="22"/>
          <w:lang w:val="es-AR"/>
        </w:rPr>
        <w:t>Jorge Mondelo</w:t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 xml:space="preserve">Alumno: 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 xml:space="preserve">Iván Tomasevich, 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Sabrina Jaime y Nicolás Agustín Días</w:t>
      </w:r>
    </w:p>
    <w:p>
      <w:pPr>
        <w:pStyle w:val="Normal"/>
        <w:spacing w:lineRule="auto" w:line="480"/>
        <w:rPr>
          <w:rFonts w:ascii="Cantarell" w:hAnsi="Cantarell"/>
          <w:b/>
          <w:b/>
          <w:bCs/>
          <w:sz w:val="22"/>
          <w:szCs w:val="22"/>
          <w:lang w:val="es-AR"/>
        </w:rPr>
      </w:pPr>
      <w:r>
        <w:rPr>
          <w:rFonts w:ascii="Cantarell" w:hAnsi="Cantarell"/>
          <w:b/>
          <w:bCs/>
          <w:sz w:val="22"/>
          <w:szCs w:val="22"/>
          <w:lang w:val="es-AR"/>
        </w:rPr>
        <w:t xml:space="preserve">Fecha de entrega: </w:t>
      </w:r>
      <w:r>
        <w:rPr>
          <w:rFonts w:ascii="Cantarell" w:hAnsi="Cantarell"/>
          <w:b w:val="false"/>
          <w:bCs w:val="false"/>
          <w:sz w:val="22"/>
          <w:szCs w:val="22"/>
          <w:lang w:val="es-AR"/>
        </w:rPr>
        <w:t>04/05/21</w:t>
      </w:r>
    </w:p>
    <w:p>
      <w:pPr>
        <w:pStyle w:val="Normal"/>
        <w:spacing w:lineRule="auto" w:line="480"/>
        <w:rPr>
          <w:rFonts w:ascii="Cantarell" w:hAnsi="Cantarell"/>
          <w:b w:val="false"/>
          <w:b w:val="false"/>
          <w:bCs w:val="false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 w:val="false"/>
          <w:b w:val="false"/>
          <w:bCs w:val="false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sz w:val="22"/>
          <w:szCs w:val="22"/>
          <w:lang w:val="es-AR"/>
        </w:rPr>
      </w:r>
    </w:p>
    <w:p>
      <w:pPr>
        <w:pStyle w:val="Normal"/>
        <w:spacing w:lineRule="auto" w:line="480"/>
        <w:rPr>
          <w:rFonts w:ascii="Cantarell" w:hAnsi="Cantarell"/>
          <w:b w:val="false"/>
          <w:b w:val="false"/>
          <w:bCs w:val="false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sz w:val="22"/>
          <w:szCs w:val="22"/>
          <w:lang w:val="es-AR"/>
        </w:rPr>
      </w:r>
    </w:p>
    <w:p>
      <w:pPr>
        <w:pStyle w:val="Normal"/>
        <w:spacing w:lineRule="auto" w:line="480"/>
        <w:jc w:val="center"/>
        <w:rPr>
          <w:rFonts w:ascii="Cantarell" w:hAnsi="Cantarell"/>
          <w:b/>
          <w:b/>
          <w:bCs/>
          <w:sz w:val="32"/>
          <w:szCs w:val="32"/>
          <w:lang w:val="es-AR"/>
        </w:rPr>
      </w:pPr>
      <w:r>
        <w:rPr>
          <w:rFonts w:ascii="Cantarell" w:hAnsi="Cantarell"/>
          <w:b/>
          <w:bCs/>
          <w:sz w:val="32"/>
          <w:szCs w:val="32"/>
          <w:lang w:val="es-AR"/>
        </w:rPr>
        <w:t>Anteproyecto</w:t>
      </w:r>
    </w:p>
    <w:p>
      <w:pPr>
        <w:pStyle w:val="Normal"/>
        <w:spacing w:lineRule="auto" w:line="480"/>
        <w:jc w:val="center"/>
        <w:rPr>
          <w:rFonts w:ascii="Cantarell" w:hAnsi="Cantarell"/>
          <w:b w:val="false"/>
          <w:b w:val="false"/>
          <w:bCs w:val="false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sz w:val="22"/>
          <w:szCs w:val="22"/>
          <w:lang w:val="es-AR"/>
        </w:rPr>
      </w:r>
    </w:p>
    <w:p>
      <w:pPr>
        <w:pStyle w:val="Normal"/>
        <w:spacing w:lineRule="auto" w:line="480"/>
        <w:jc w:val="both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r>
    </w:p>
    <w:p>
      <w:pPr>
        <w:pStyle w:val="Normal"/>
        <w:spacing w:lineRule="auto" w:line="480"/>
        <w:jc w:val="both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r>
    </w:p>
    <w:p>
      <w:pPr>
        <w:pStyle w:val="Normal"/>
        <w:spacing w:lineRule="auto" w:line="480"/>
        <w:jc w:val="both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r>
    </w:p>
    <w:p>
      <w:pPr>
        <w:pStyle w:val="Normal"/>
        <w:spacing w:lineRule="auto" w:line="480"/>
        <w:jc w:val="both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1"/>
            <w:rPr/>
          </w:pPr>
          <w:r>
            <w:rPr/>
            <w:t>Indice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238_3639636025">
            <w:r>
              <w:rPr>
                <w:rStyle w:val="Enlacedelndice"/>
              </w:rPr>
              <w:t>Denominación del Proyecto.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240_3639636025">
            <w:r>
              <w:rPr>
                <w:rStyle w:val="Enlacedelndice"/>
              </w:rPr>
              <w:t>Planteamiento del problema o necesidad.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242_3639636025">
            <w:r>
              <w:rPr>
                <w:rStyle w:val="Enlacedelndice"/>
              </w:rPr>
              <w:t>Descripción del Proyecto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244_3639636025">
            <w:r>
              <w:rPr>
                <w:rStyle w:val="Enlacedelndice"/>
              </w:rPr>
              <w:t>Antecedentes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635_3117296775">
            <w:r>
              <w:rPr>
                <w:rStyle w:val="Enlacedelndice"/>
              </w:rPr>
              <w:t>Justificación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248_3639636025">
            <w:r>
              <w:rPr>
                <w:rStyle w:val="Enlacedelndice"/>
              </w:rPr>
              <w:t>Objetivos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250_3639636025">
            <w:r>
              <w:rPr>
                <w:rStyle w:val="Enlacedelndice"/>
              </w:rPr>
              <w:t>Destinatarios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252_3639636025">
            <w:r>
              <w:rPr>
                <w:rStyle w:val="Enlacedelndice"/>
              </w:rPr>
              <w:t>Planificación (Diagrama de Gantt)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637_3117296775">
            <w:r>
              <w:rPr>
                <w:rStyle w:val="Enlacedelndice"/>
              </w:rPr>
              <w:t>Estimación (Diagrama PERT).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256_3639636025">
            <w:r>
              <w:rPr>
                <w:rStyle w:val="Enlacedelndice"/>
              </w:rPr>
              <w:t>Metodología.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1177_1014383176">
            <w:r>
              <w:rPr>
                <w:rStyle w:val="Enlacedelndice"/>
              </w:rPr>
              <w:t>Recursos necesarios (Equipo de trabajo, roles y responsabilidades)</w:t>
              <w:tab/>
              <w:t>6</w:t>
            </w:r>
          </w:hyperlink>
        </w:p>
        <w:p>
          <w:pPr>
            <w:pStyle w:val="Sumario1"/>
            <w:rPr/>
          </w:pPr>
          <w:hyperlink w:anchor="__RefHeading___Toc260_3639636025">
            <w:r>
              <w:rPr>
                <w:rStyle w:val="Enlacedelndice"/>
              </w:rPr>
              <w:t>Estudio de Factibilidad.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262_3639636025">
            <w:r>
              <w:rPr>
                <w:rStyle w:val="Enlacedelndice"/>
              </w:rPr>
              <w:t>Análisis FODA.</w:t>
              <w:tab/>
              <w:t>12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480"/>
        <w:jc w:val="both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1C1E27"/>
          <w:spacing w:val="0"/>
          <w:sz w:val="22"/>
          <w:szCs w:val="22"/>
          <w:lang w:val="es-AR"/>
        </w:rPr>
      </w:r>
      <w:r>
        <w:br w:type="page"/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0" w:name="__RefHeading___Toc238_3639636025"/>
      <w:bookmarkEnd w:id="0"/>
      <w:r>
        <w:rPr>
          <w:rFonts w:ascii="Cantarell" w:hAnsi="Cantarell"/>
          <w:sz w:val="22"/>
          <w:szCs w:val="22"/>
          <w:lang w:val="es-AR"/>
        </w:rPr>
        <w:t>Denominación del Proyecto.</w:t>
      </w:r>
    </w:p>
    <w:p>
      <w:pPr>
        <w:pStyle w:val="Normal"/>
        <w:spacing w:lineRule="auto" w:line="480"/>
        <w:ind w:left="0" w:right="0" w:hanging="0"/>
        <w:rPr>
          <w:rFonts w:ascii="Cantarell" w:hAnsi="Cantarell"/>
          <w:sz w:val="22"/>
          <w:szCs w:val="22"/>
          <w:lang w:val="es-AR"/>
        </w:rPr>
      </w:pPr>
      <w:bookmarkStart w:id="1" w:name="docs-internal-guid-fa784db2-7fff-402e-17"/>
      <w:bookmarkEnd w:id="1"/>
      <w:r>
        <w:rPr>
          <w:rFonts w:ascii="Cantarell" w:hAnsi="Cantarell"/>
          <w:sz w:val="22"/>
          <w:szCs w:val="22"/>
          <w:lang w:val="es-AR"/>
        </w:rPr>
        <w:t>Pasantía de la empresa Acción Point SA, proyecto “Facturando”.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2" w:name="__RefHeading___Toc240_3639636025"/>
      <w:bookmarkEnd w:id="2"/>
      <w:r>
        <w:rPr>
          <w:rFonts w:ascii="Cantarell" w:hAnsi="Cantarell"/>
          <w:sz w:val="22"/>
          <w:szCs w:val="22"/>
          <w:lang w:val="es-AR"/>
        </w:rPr>
        <w:t>Planteamiento del problema o necesidad.</w:t>
      </w:r>
    </w:p>
    <w:p>
      <w:pPr>
        <w:pStyle w:val="Normal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3" w:name="docs-internal-guid-02356972-7fff-961e-91"/>
      <w:bookmarkEnd w:id="3"/>
      <w:r>
        <w:rPr>
          <w:rFonts w:ascii="Cantarell" w:hAnsi="Cantarell"/>
          <w:sz w:val="22"/>
          <w:szCs w:val="22"/>
          <w:lang w:val="es-AR"/>
        </w:rPr>
        <w:t xml:space="preserve">Se solicita un sistema de flujo de solicitud de viáticos </w:t>
      </w:r>
      <w:r>
        <w:rPr>
          <w:rFonts w:ascii="Cantarell" w:hAnsi="Cantarell"/>
          <w:sz w:val="22"/>
          <w:szCs w:val="22"/>
          <w:lang w:val="es-AR"/>
        </w:rPr>
        <w:t>o gastos</w:t>
      </w:r>
      <w:r>
        <w:rPr>
          <w:rFonts w:ascii="Cantarell" w:hAnsi="Cantarell"/>
          <w:sz w:val="22"/>
          <w:szCs w:val="22"/>
          <w:lang w:val="es-AR"/>
        </w:rPr>
        <w:t xml:space="preserve">, con la intervención de las diferentes áreas involucradas y control dual, para que la información de facturación o desembolso llegue a administración y finanzas. 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4" w:name="__RefHeading___Toc242_3639636025"/>
      <w:bookmarkEnd w:id="4"/>
      <w:r>
        <w:rPr>
          <w:rFonts w:ascii="Cantarell" w:hAnsi="Cantarell"/>
          <w:sz w:val="22"/>
          <w:szCs w:val="22"/>
          <w:lang w:val="es-AR"/>
        </w:rPr>
        <w:t xml:space="preserve">Descripción del Proyecto 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5" w:name="docs-internal-guid-4623b27a-7fff-fc4b-b4"/>
      <w:bookmarkEnd w:id="5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Inicialmente se deberá desarrollar un sistema tal que se pueda llevar la administración de la facturación de viáticos y gastos correspondientes a proyectos, no proyectos y otros gastos.</w:t>
      </w:r>
    </w:p>
    <w:p>
      <w:pPr>
        <w:pStyle w:val="Cuerpodetexto"/>
        <w:numPr>
          <w:ilvl w:val="0"/>
          <w:numId w:val="2"/>
        </w:numPr>
        <w:pBdr/>
        <w:bidi w:val="0"/>
        <w:spacing w:lineRule="auto" w:line="480" w:before="24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Deberá desarrollarse un ABM de usuarios.</w:t>
      </w:r>
    </w:p>
    <w:p>
      <w:pPr>
        <w:pStyle w:val="Cuerpodetexto"/>
        <w:numPr>
          <w:ilvl w:val="0"/>
          <w:numId w:val="2"/>
        </w:numPr>
        <w:pBdr/>
        <w:bidi w:val="0"/>
        <w:spacing w:lineRule="auto" w:line="480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Deberá desarrollarse un ABM de tipos de viáticos o gastos.</w:t>
      </w:r>
    </w:p>
    <w:p>
      <w:pPr>
        <w:pStyle w:val="Cuerpodetexto"/>
        <w:numPr>
          <w:ilvl w:val="0"/>
          <w:numId w:val="2"/>
        </w:numPr>
        <w:pBdr/>
        <w:bidi w:val="0"/>
        <w:spacing w:lineRule="auto" w:line="480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Deberá desarrollarse un ABM de perfiles.</w:t>
      </w:r>
    </w:p>
    <w:p>
      <w:pPr>
        <w:pStyle w:val="Cuerpodetexto"/>
        <w:numPr>
          <w:ilvl w:val="0"/>
          <w:numId w:val="2"/>
        </w:numPr>
        <w:pBdr/>
        <w:bidi w:val="0"/>
        <w:spacing w:lineRule="auto" w:line="480" w:before="0" w:after="24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Deberá desarrollarse un ABM de ingreso de datos de la solicitud correspondiente. 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6" w:name="__RefHeading___Toc244_3639636025"/>
      <w:bookmarkEnd w:id="6"/>
      <w:r>
        <w:rPr>
          <w:rFonts w:ascii="Cantarell" w:hAnsi="Cantarell"/>
          <w:sz w:val="22"/>
          <w:szCs w:val="22"/>
          <w:lang w:val="es-AR"/>
        </w:rPr>
        <w:t xml:space="preserve">Antecedentes </w:t>
      </w:r>
    </w:p>
    <w:p>
      <w:pPr>
        <w:pStyle w:val="Normal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En el sistema actual, un recurso realiza una compra, esta debe ser informada a su superior inmediato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para ser aprobada, en el caso de que sea aprobada se enviá la factura o documento a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l área de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administración y finanzas donde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una persona ingresa los datos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de la factura o documento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manualmente a un sistema Tango.</w:t>
      </w:r>
    </w:p>
    <w:p>
      <w:pPr>
        <w:pStyle w:val="Normal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La aprobación de las facturas tienen tres niveles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establecidos por tope de monto.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En el caso de que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una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factura exceda al nivel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de su superior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debe ser denegada o ascendía al nivel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inmediato para repetir este proceso a fin de volver a revisión para autorización o denegación.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7" w:name="__RefHeading___Toc635_3117296775"/>
      <w:bookmarkEnd w:id="7"/>
      <w:r>
        <w:rPr>
          <w:rFonts w:ascii="Cantarell" w:hAnsi="Cantarell"/>
          <w:sz w:val="22"/>
          <w:szCs w:val="22"/>
          <w:lang w:val="es-AR"/>
        </w:rPr>
        <w:t xml:space="preserve">Justificación </w:t>
      </w:r>
    </w:p>
    <w:p>
      <w:pPr>
        <w:pStyle w:val="Cuerpodetexto"/>
        <w:bidi w:val="0"/>
        <w:spacing w:lineRule="auto" w:line="480" w:before="240" w:after="24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8" w:name="docs-internal-guid-1e921d73-7fff-00f4-72"/>
      <w:bookmarkEnd w:id="8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Actualmente Acción Point no cuenta con ningún sistema automatizado de gestión de facturas, por lo que la gestión financiera de la empresa resulta poco práctica e ineficiente. Se considera que es necesario proceder con el desarrollo de un programa que brinde claridad en los procesos de solicitudes de gastos y viáticos de las diferentes áreas, además de agilidad en la carga de facturas ya procesadas a un sistema externo de gestión, en este caso, TANGO.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9" w:name="__RefHeading___Toc248_3639636025"/>
      <w:bookmarkEnd w:id="9"/>
      <w:r>
        <w:rPr>
          <w:rFonts w:ascii="Cantarell" w:hAnsi="Cantarell"/>
          <w:sz w:val="22"/>
          <w:szCs w:val="22"/>
          <w:lang w:val="es-AR"/>
        </w:rPr>
        <w:t xml:space="preserve">Objetivos </w:t>
      </w:r>
    </w:p>
    <w:p>
      <w:pPr>
        <w:pStyle w:val="Cuerpodetexto"/>
        <w:numPr>
          <w:ilvl w:val="0"/>
          <w:numId w:val="3"/>
        </w:numPr>
        <w:spacing w:lineRule="auto" w:line="360"/>
        <w:jc w:val="left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10" w:name="docs-internal-guid-ee0afa0e-7fff-544f-c6"/>
      <w:bookmarkEnd w:id="10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Tener control de lo que se factura para que no se pierda documentación en el proceso.</w:t>
      </w:r>
    </w:p>
    <w:p>
      <w:pPr>
        <w:pStyle w:val="Cuerpodetexto"/>
        <w:numPr>
          <w:ilvl w:val="0"/>
          <w:numId w:val="3"/>
        </w:numPr>
        <w:pBdr/>
        <w:bidi w:val="0"/>
        <w:spacing w:lineRule="auto" w:line="360" w:before="0" w:after="240"/>
        <w:jc w:val="left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Que a administración y finanzas le llegue lo que debe facturar y desembolsar sin errores u omisiones.</w:t>
      </w:r>
    </w:p>
    <w:p>
      <w:pPr>
        <w:pStyle w:val="Cuerpodetexto"/>
        <w:numPr>
          <w:ilvl w:val="0"/>
          <w:numId w:val="3"/>
        </w:numPr>
        <w:pBdr/>
        <w:bidi w:val="0"/>
        <w:spacing w:lineRule="auto" w:line="360" w:before="0" w:after="240"/>
        <w:jc w:val="left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Automatizar la carga de facturas en un sistema externo (TANGO) para agilizar y evitar trabajos reiterativos.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11" w:name="__RefHeading___Toc250_3639636025"/>
      <w:bookmarkEnd w:id="11"/>
      <w:r>
        <w:rPr>
          <w:rFonts w:ascii="Cantarell" w:hAnsi="Cantarell"/>
          <w:sz w:val="22"/>
          <w:szCs w:val="22"/>
          <w:lang w:val="es-AR"/>
        </w:rPr>
        <w:t xml:space="preserve">Destinatarios </w:t>
      </w:r>
    </w:p>
    <w:p>
      <w:pPr>
        <w:pStyle w:val="Normal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12" w:name="docs-internal-guid-48df14f3-7fff-9a1d-75"/>
      <w:bookmarkEnd w:id="12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Los destinatarios principales de este proyecto serán todos los trabajadores de Acción Point de las distintas áreas (Administración, Finanzas, Operaciones, Ventas, etc...).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13" w:name="__RefHeading___Toc252_3639636025"/>
      <w:bookmarkEnd w:id="13"/>
      <w:r>
        <w:rPr>
          <w:rFonts w:ascii="Cantarell" w:hAnsi="Cantarell"/>
          <w:sz w:val="22"/>
          <w:szCs w:val="22"/>
          <w:lang w:val="es-AR"/>
        </w:rPr>
        <w:t xml:space="preserve">Planificación (Diagrama de Gantt) </w:t>
      </w:r>
    </w:p>
    <w:p>
      <w:pPr>
        <w:pStyle w:val="Normal"/>
        <w:spacing w:lineRule="auto" w:line="480"/>
        <w:ind w:left="0" w:right="0" w:hanging="0"/>
        <w:rPr>
          <w:rFonts w:ascii="Cantarell" w:hAnsi="Cantarell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14" w:name="docs-internal-guid-e1f8181e-7fff-c03c-8c"/>
      <w:bookmarkEnd w:id="14"/>
      <w:r>
        <w:rPr>
          <w:rFonts w:ascii="Cantarell" w:hAnsi="Cantarell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drawing>
          <wp:inline distT="0" distB="0" distL="0" distR="0">
            <wp:extent cx="6026150" cy="169164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15" w:name="__RefHeading___Toc637_3117296775"/>
      <w:bookmarkEnd w:id="15"/>
      <w:r>
        <w:rPr>
          <w:rFonts w:ascii="Cantarell" w:hAnsi="Cantarell"/>
          <w:sz w:val="22"/>
          <w:szCs w:val="22"/>
          <w:lang w:val="es-AR"/>
        </w:rPr>
        <w:t>Estimación (Diagrama PERT).</w:t>
      </w:r>
    </w:p>
    <w:p>
      <w:pPr>
        <w:pStyle w:val="Cuerpodetexto"/>
        <w:spacing w:lineRule="auto" w:line="480"/>
        <w:ind w:left="0" w:right="0" w:hanging="0"/>
        <w:rPr/>
      </w:pPr>
      <w:r>
        <w:rPr>
          <w:rFonts w:ascii="Cantarell" w:hAnsi="Cantarell"/>
          <w:sz w:val="22"/>
          <w:szCs w:val="22"/>
          <w:lang w:val="es-AR"/>
        </w:rPr>
        <w:t xml:space="preserve">Las unidades se encuentran en </w:t>
      </w:r>
      <w:r>
        <w:rPr>
          <w:rFonts w:ascii="Cantarell" w:hAnsi="Cantarell"/>
          <w:sz w:val="22"/>
          <w:szCs w:val="22"/>
          <w:lang w:val="es-AR"/>
        </w:rPr>
        <w:t>S</w:t>
      </w:r>
      <w:r>
        <w:rPr>
          <w:rFonts w:ascii="Cantarell" w:hAnsi="Cantarell"/>
          <w:sz w:val="22"/>
          <w:szCs w:val="22"/>
          <w:lang w:val="es-AR"/>
        </w:rPr>
        <w:t>print donde cada uno dura 10 días hábiles o 2 semanas.</w:t>
      </w:r>
    </w:p>
    <w:p>
      <w:pPr>
        <w:pStyle w:val="Normal"/>
        <w:spacing w:lineRule="auto" w:line="480"/>
        <w:ind w:left="0" w:right="0" w:hanging="0"/>
        <w:rPr>
          <w:rFonts w:ascii="Cantarell" w:hAnsi="Cantarell"/>
          <w:sz w:val="22"/>
          <w:szCs w:val="22"/>
          <w:lang w:val="es-AR"/>
        </w:rPr>
      </w:pPr>
      <w:r>
        <w:rPr>
          <w:rFonts w:ascii="Cantarell" w:hAnsi="Cantarell"/>
          <w:sz w:val="22"/>
          <w:szCs w:val="22"/>
          <w:lang w:val="es-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23933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24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_RefHeading___Toc254_3639636025"/>
      <w:bookmarkStart w:id="17" w:name="__RefHeading___Toc254_3639636025"/>
      <w:bookmarkEnd w:id="17"/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18" w:name="__RefHeading___Toc256_3639636025"/>
      <w:bookmarkEnd w:id="18"/>
      <w:r>
        <w:rPr>
          <w:rFonts w:ascii="Cantarell" w:hAnsi="Cantarell"/>
          <w:sz w:val="22"/>
          <w:szCs w:val="22"/>
          <w:lang w:val="es-AR"/>
        </w:rPr>
        <w:t>Metodología.</w:t>
      </w:r>
    </w:p>
    <w:p>
      <w:pPr>
        <w:pStyle w:val="Cuerpodetexto"/>
        <w:spacing w:lineRule="auto" w:line="480"/>
        <w:rPr>
          <w:rFonts w:ascii="Cantarell" w:hAnsi="Cantarell"/>
          <w:b w:val="false"/>
          <w:sz w:val="22"/>
          <w:szCs w:val="22"/>
          <w:lang w:val="es-AR"/>
        </w:rPr>
      </w:pPr>
      <w:bookmarkStart w:id="19" w:name="docs-internal-guid-afdf382c-7fff-2411-80"/>
      <w:bookmarkEnd w:id="19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En el proyecto, principalmente se aplicará la metodología ágil Scrum, que consiste en un conjunto de prácticas y roles que permiten el trabajo de entregas incrementales de un producto.</w:t>
        <w:br/>
        <w:t xml:space="preserve">Se utilizará como herramienta la aplicación Jira, donde se generarán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los Sprint,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Épicas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e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Incidencias para llevar a cabo el desarrollo del proyecto.</w:t>
      </w:r>
    </w:p>
    <w:p>
      <w:pPr>
        <w:pStyle w:val="Cuerpodetexto"/>
        <w:bidi w:val="0"/>
        <w:spacing w:lineRule="auto" w:line="480" w:before="240" w:after="240"/>
        <w:rPr>
          <w:rFonts w:ascii="Cantarell" w:hAnsi="Cantarell"/>
          <w:sz w:val="22"/>
          <w:szCs w:val="22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Se aprovechará el control de versiones integrado en GeneXus (GxServer) para agilizar y optimizar el trabajo en equipo, logrando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sincronismo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en el desarrollo del software. También se aprovecharán las distintas características de GeneXus, como la creación de “branches” de desarrollo para poder brindar distintas etapas de entregas y así aportar a la metodología Scrum.</w:t>
      </w:r>
    </w:p>
    <w:p>
      <w:pPr>
        <w:pStyle w:val="Ttulo1"/>
        <w:rPr/>
      </w:pPr>
      <w:bookmarkStart w:id="20" w:name="__RefHeading___Toc1177_1014383176"/>
      <w:bookmarkEnd w:id="20"/>
      <w:r>
        <w:rPr/>
        <w:t xml:space="preserve">Recursos necesarios 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21" w:name="docs-internal-guid-c56b721f-7fff-9cd5-97"/>
      <w:bookmarkEnd w:id="21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En este proyecto estará involucrada el área de Operaciones en el desarrollo del software, el área de I+D en las implementaciones de API y de RPA, además de las distintas áreas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a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dministrativas que aportarán el conocimiento y la información necesaria para la gestión de facturas. 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La distribución de roles y tareas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en las Épicas sera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establecida de la siguiente manera: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Nicolás Díaz: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Usuarios y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GAM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Sabrina Jaime: Usuarios, Facturación, Diseño UI/UX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Iván Tomasevich: Facturación y Geneal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 xml:space="preserve"> </w:t>
      </w:r>
    </w:p>
    <w:p>
      <w:pPr>
        <w:pStyle w:val="Cuerpodetexto"/>
        <w:spacing w:lineRule="auto" w:line="480"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ab/>
        <w:t xml:space="preserve">Las Épicas de implementación API e implementación RPA las realizaran  otros desarrolladores del área 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I+D+I</w:t>
      </w: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.</w:t>
      </w:r>
    </w:p>
    <w:p>
      <w:pPr>
        <w:pStyle w:val="Cuerpodetexto"/>
        <w:bidi w:val="0"/>
        <w:spacing w:lineRule="auto" w:line="480" w:before="240" w:after="240"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En cuanto a recursos tecnológicos:</w:t>
      </w:r>
    </w:p>
    <w:p>
      <w:pPr>
        <w:pStyle w:val="Cuerpodetexto"/>
        <w:numPr>
          <w:ilvl w:val="0"/>
          <w:numId w:val="4"/>
        </w:numPr>
        <w:pBdr/>
        <w:bidi w:val="0"/>
        <w:spacing w:lineRule="auto" w:line="480" w:before="24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Se utilizará Jira como herramienta para la metodología Scrum, además de Microsoft Teams y Discord para comunicarse entre el equipo de trabajo resolviendo problemas y dudas.</w:t>
      </w:r>
    </w:p>
    <w:p>
      <w:pPr>
        <w:pStyle w:val="Cuerpodetexto"/>
        <w:numPr>
          <w:ilvl w:val="0"/>
          <w:numId w:val="4"/>
        </w:numPr>
        <w:pBdr/>
        <w:bidi w:val="0"/>
        <w:spacing w:lineRule="auto" w:line="480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Se utilizará el programa GeneXus como base del desarrollo de la aplicación, y dentro de éste se aprovecharán las características que ofrece, como GxServer para control de versiones y Work With Plus para la generación de la interfaz gráfica y su modificación.</w:t>
      </w:r>
    </w:p>
    <w:p>
      <w:pPr>
        <w:pStyle w:val="Cuerpodetexto"/>
        <w:numPr>
          <w:ilvl w:val="0"/>
          <w:numId w:val="4"/>
        </w:numPr>
        <w:pBdr/>
        <w:bidi w:val="0"/>
        <w:spacing w:lineRule="auto" w:line="480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Se utilizará Docker para la instalación y la ejecución del motor de base de datos.</w:t>
      </w:r>
    </w:p>
    <w:p>
      <w:pPr>
        <w:pStyle w:val="Cuerpodetexto"/>
        <w:numPr>
          <w:ilvl w:val="0"/>
          <w:numId w:val="4"/>
        </w:numPr>
        <w:pBdr/>
        <w:bidi w:val="0"/>
        <w:spacing w:lineRule="auto" w:line="480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Se utilizará MySQL como motor de base de datos, corriendo en un contenedor Docker.</w:t>
      </w:r>
    </w:p>
    <w:p>
      <w:pPr>
        <w:pStyle w:val="Cuerpodetexto"/>
        <w:numPr>
          <w:ilvl w:val="0"/>
          <w:numId w:val="4"/>
        </w:numPr>
        <w:pBdr/>
        <w:bidi w:val="0"/>
        <w:spacing w:lineRule="auto" w:line="480" w:before="0" w:after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Como la aplicación será desarrollada en Java, se utilizará Apache Tomcat en su versión 9.0 para correr la aplicación.</w:t>
      </w:r>
    </w:p>
    <w:p>
      <w:pPr>
        <w:pStyle w:val="Cuerpodetexto"/>
        <w:numPr>
          <w:ilvl w:val="0"/>
          <w:numId w:val="4"/>
        </w:numPr>
        <w:pBdr/>
        <w:bidi w:val="0"/>
        <w:spacing w:lineRule="auto" w:line="480" w:before="0" w:after="24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Se utilizará UiPath para la automatización en RPA en la carga de facturas ya autorizadas en TANGO.</w:t>
      </w:r>
    </w:p>
    <w:p>
      <w:pPr>
        <w:pStyle w:val="Ttulo1"/>
        <w:spacing w:lineRule="auto" w:line="480"/>
        <w:rPr>
          <w:rFonts w:ascii="Cantarell" w:hAnsi="Cantarell"/>
          <w:sz w:val="22"/>
          <w:szCs w:val="22"/>
          <w:lang w:val="es-AR"/>
        </w:rPr>
      </w:pPr>
      <w:bookmarkStart w:id="22" w:name="__RefHeading___Toc260_3639636025"/>
      <w:bookmarkEnd w:id="22"/>
      <w:r>
        <w:rPr>
          <w:rFonts w:ascii="Cantarell" w:hAnsi="Cantarell"/>
          <w:sz w:val="22"/>
          <w:szCs w:val="22"/>
          <w:lang w:val="es-AR"/>
        </w:rPr>
        <w:t>Estudio de Factibilidad.</w:t>
      </w:r>
    </w:p>
    <w:p>
      <w:pPr>
        <w:pStyle w:val="Cuerpodetexto"/>
        <w:spacing w:lineRule="auto" w:line="48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23" w:name="docs-internal-guid-4ae5e24d-7fff-a151-8d"/>
      <w:bookmarkEnd w:id="23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En base a los riesgos identificados y analizados en cada una de las fases del proyecto, la tabla nos indicará en el nivel que se ubica cada uno. Los niveles son: raro, improbable, posible, probable, casi seguro.</w:t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Tabla 1</w:t>
      </w:r>
    </w:p>
    <w:p>
      <w:pPr>
        <w:pStyle w:val="Cuerpodetexto"/>
        <w:bidi w:val="0"/>
        <w:spacing w:lineRule="auto" w:line="480" w:before="0" w:after="0"/>
        <w:ind w:left="0" w:right="1060" w:hanging="0"/>
        <w:jc w:val="left"/>
        <w:rPr>
          <w:rFonts w:ascii="Cantarell" w:hAnsi="Cantarel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Niveles de probabilidad</w:t>
      </w:r>
    </w:p>
    <w:tbl>
      <w:tblPr>
        <w:tblW w:w="9348" w:type="dxa"/>
        <w:jc w:val="left"/>
        <w:tblInd w:w="-10" w:type="dxa"/>
        <w:tblLayout w:type="fixed"/>
        <w:tblCellMar>
          <w:top w:w="140" w:type="dxa"/>
          <w:left w:w="100" w:type="dxa"/>
          <w:bottom w:w="100" w:type="dxa"/>
          <w:right w:w="100" w:type="dxa"/>
        </w:tblCellMar>
      </w:tblPr>
      <w:tblGrid>
        <w:gridCol w:w="3026"/>
        <w:gridCol w:w="3116"/>
        <w:gridCol w:w="3206"/>
      </w:tblGrid>
      <w:tr>
        <w:trPr/>
        <w:tc>
          <w:tcPr>
            <w:tcW w:w="3026" w:type="dxa"/>
            <w:tcBorders>
              <w:top w:val="single" w:sz="8" w:space="0" w:color="35C5C5"/>
              <w:left w:val="single" w:sz="8" w:space="0" w:color="35C5C5"/>
              <w:bottom w:val="single" w:sz="8" w:space="0" w:color="35C5C5"/>
              <w:right w:val="single" w:sz="8" w:space="0" w:color="35C5C5"/>
            </w:tcBorders>
            <w:shd w:fill="35C5C5" w:val="clear"/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NIVEL</w:t>
            </w:r>
          </w:p>
        </w:tc>
        <w:tc>
          <w:tcPr>
            <w:tcW w:w="3116" w:type="dxa"/>
            <w:tcBorders>
              <w:top w:val="single" w:sz="8" w:space="0" w:color="35C5C5"/>
              <w:left w:val="single" w:sz="8" w:space="0" w:color="35C5C5"/>
              <w:bottom w:val="single" w:sz="8" w:space="0" w:color="35C5C5"/>
              <w:right w:val="single" w:sz="8" w:space="0" w:color="35C5C5"/>
            </w:tcBorders>
            <w:shd w:fill="35C5C5" w:val="clear"/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DESCRIPTOR</w:t>
            </w:r>
          </w:p>
        </w:tc>
        <w:tc>
          <w:tcPr>
            <w:tcW w:w="3206" w:type="dxa"/>
            <w:tcBorders>
              <w:top w:val="single" w:sz="8" w:space="0" w:color="35C5C5"/>
              <w:left w:val="single" w:sz="8" w:space="0" w:color="35C5C5"/>
              <w:bottom w:val="single" w:sz="8" w:space="0" w:color="35C5C5"/>
              <w:right w:val="single" w:sz="8" w:space="0" w:color="35C5C5"/>
            </w:tcBorders>
            <w:shd w:fill="35C5C5" w:val="clear"/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>
        <w:trPr>
          <w:trHeight w:val="1270" w:hRule="atLeast"/>
        </w:trPr>
        <w:tc>
          <w:tcPr>
            <w:tcW w:w="3026" w:type="dxa"/>
            <w:tcBorders>
              <w:top w:val="single" w:sz="8" w:space="0" w:color="35C5C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116" w:type="dxa"/>
            <w:tcBorders>
              <w:top w:val="single" w:sz="8" w:space="0" w:color="35C5C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Raro</w:t>
            </w:r>
          </w:p>
        </w:tc>
        <w:tc>
          <w:tcPr>
            <w:tcW w:w="3206" w:type="dxa"/>
            <w:tcBorders>
              <w:top w:val="single" w:sz="8" w:space="0" w:color="35C5C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El evento puede ocurrir sólo en circunstancias excepcionales</w:t>
            </w:r>
          </w:p>
        </w:tc>
      </w:tr>
      <w:tr>
        <w:trPr>
          <w:trHeight w:val="1270" w:hRule="atLeast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Improbable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El evento podría ocurrir en algún momento</w:t>
            </w:r>
          </w:p>
        </w:tc>
      </w:tr>
      <w:tr>
        <w:trPr>
          <w:trHeight w:val="1270" w:hRule="atLeast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Posible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El evento puede ocurrir en algún momento</w:t>
            </w:r>
          </w:p>
        </w:tc>
      </w:tr>
      <w:tr>
        <w:trPr>
          <w:trHeight w:val="1270" w:hRule="atLeast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Probable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El evento probablemente ocurrirá en la mayoría de las circunstancias</w:t>
            </w:r>
          </w:p>
        </w:tc>
      </w:tr>
      <w:tr>
        <w:trPr>
          <w:trHeight w:val="1270" w:hRule="atLeast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rPr>
                <w:lang w:val="es-AR"/>
              </w:rPr>
            </w:pPr>
            <w:r>
              <w:rPr>
                <w:lang w:val="es-AR"/>
              </w:rPr>
              <w:t>Casi seguro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uerpodetexto"/>
              <w:spacing w:before="0" w:after="1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Se espera que el evento ocurra en la mayoría de las circunstancias</w:t>
            </w:r>
          </w:p>
        </w:tc>
      </w:tr>
    </w:tbl>
    <w:p>
      <w:pPr>
        <w:pStyle w:val="Cuerpodetexto"/>
        <w:rPr>
          <w:lang w:val="es-AR"/>
        </w:rPr>
      </w:pPr>
      <w:r>
        <w:rPr>
          <w:lang w:val="es-AR"/>
        </w:rPr>
        <w:br/>
      </w:r>
    </w:p>
    <w:p>
      <w:pPr>
        <w:pStyle w:val="Normal"/>
        <w:rPr>
          <w:lang w:val="es-AR"/>
        </w:rPr>
      </w:pPr>
      <w:bookmarkStart w:id="24" w:name="docs-internal-guid-8cc5c43f-7fff-08a0-a2"/>
      <w:bookmarkEnd w:id="24"/>
      <w:r>
        <w:rPr>
          <w:lang w:val="es-AR"/>
        </w:rPr>
        <w:t>El nivel de impacto causado por los riesgos pueden afectar el objetivo del proyecto. Para medir el impacto se utiliza una tabla de impactos con los siguientes niveles: insignificante, menor, moderado, mayor, catastrófico.</w:t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Tabla 2</w:t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Niveles de impacto</w:t>
      </w:r>
    </w:p>
    <w:p>
      <w:pPr>
        <w:pStyle w:val="Cuerpodetexto"/>
        <w:spacing w:before="0" w:after="0"/>
        <w:rPr>
          <w:lang w:val="es-AR"/>
        </w:rPr>
      </w:pPr>
      <w:r>
        <w:rPr>
          <w:lang w:val="es-AR"/>
        </w:rPr>
      </w:r>
    </w:p>
    <w:tbl>
      <w:tblPr>
        <w:tblW w:w="9348" w:type="dxa"/>
        <w:jc w:val="left"/>
        <w:tblInd w:w="-10" w:type="dxa"/>
        <w:tblLayout w:type="fixed"/>
        <w:tblCellMar>
          <w:top w:w="140" w:type="dxa"/>
          <w:left w:w="100" w:type="dxa"/>
          <w:bottom w:w="100" w:type="dxa"/>
          <w:right w:w="60" w:type="dxa"/>
        </w:tblCellMar>
      </w:tblPr>
      <w:tblGrid>
        <w:gridCol w:w="3041"/>
        <w:gridCol w:w="3116"/>
        <w:gridCol w:w="3191"/>
      </w:tblGrid>
      <w:tr>
        <w:trPr/>
        <w:tc>
          <w:tcPr>
            <w:tcW w:w="3041" w:type="dxa"/>
            <w:tcBorders>
              <w:top w:val="single" w:sz="8" w:space="0" w:color="35C5C5"/>
              <w:left w:val="single" w:sz="8" w:space="0" w:color="35C5C5"/>
              <w:bottom w:val="single" w:sz="8" w:space="0" w:color="35C5C5"/>
              <w:right w:val="single" w:sz="8" w:space="0" w:color="35C5C5"/>
            </w:tcBorders>
            <w:shd w:fill="35C5C5" w:val="clear"/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NIVEL</w:t>
            </w:r>
          </w:p>
        </w:tc>
        <w:tc>
          <w:tcPr>
            <w:tcW w:w="3116" w:type="dxa"/>
            <w:tcBorders>
              <w:top w:val="single" w:sz="8" w:space="0" w:color="35C5C5"/>
              <w:left w:val="single" w:sz="8" w:space="0" w:color="35C5C5"/>
              <w:bottom w:val="single" w:sz="8" w:space="0" w:color="35C5C5"/>
              <w:right w:val="single" w:sz="8" w:space="0" w:color="35C5C5"/>
            </w:tcBorders>
            <w:shd w:fill="35C5C5" w:val="clear"/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DESCRIPTOR</w:t>
            </w:r>
          </w:p>
        </w:tc>
        <w:tc>
          <w:tcPr>
            <w:tcW w:w="3191" w:type="dxa"/>
            <w:tcBorders>
              <w:top w:val="single" w:sz="8" w:space="0" w:color="35C5C5"/>
              <w:left w:val="single" w:sz="8" w:space="0" w:color="35C5C5"/>
              <w:bottom w:val="single" w:sz="8" w:space="0" w:color="35C5C5"/>
              <w:right w:val="single" w:sz="8" w:space="0" w:color="35C5C5"/>
            </w:tcBorders>
            <w:shd w:fill="35C5C5" w:val="clear"/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</w:tr>
      <w:tr>
        <w:trPr/>
        <w:tc>
          <w:tcPr>
            <w:tcW w:w="3041" w:type="dxa"/>
            <w:tcBorders>
              <w:top w:val="single" w:sz="8" w:space="0" w:color="35C5C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116" w:type="dxa"/>
            <w:tcBorders>
              <w:top w:val="single" w:sz="8" w:space="0" w:color="35C5C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Insignificante</w:t>
            </w:r>
          </w:p>
        </w:tc>
        <w:tc>
          <w:tcPr>
            <w:tcW w:w="3191" w:type="dxa"/>
            <w:tcBorders>
              <w:top w:val="single" w:sz="8" w:space="0" w:color="35C5C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Si el hecho llegara a presentarse, tendría consecuencias o efectos</w:t>
            </w:r>
          </w:p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mínimos</w:t>
            </w:r>
          </w:p>
        </w:tc>
      </w:tr>
      <w:tr>
        <w:trPr/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Si el hecho llegara a presentarse, tendría bajo impacto</w:t>
            </w:r>
          </w:p>
        </w:tc>
      </w:tr>
      <w:tr>
        <w:trPr/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Moderado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Si el hecho llegara a presentarse, tendría mediano impacto</w:t>
            </w:r>
          </w:p>
        </w:tc>
      </w:tr>
      <w:tr>
        <w:trPr/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Mayor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Si el hecho llegara a presentarse, tendría alto impacto</w:t>
            </w:r>
          </w:p>
        </w:tc>
      </w:tr>
      <w:tr>
        <w:trPr/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Catastrófico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Si el hecho llegara a presentarse, tendría desastrosas consecuencias.</w:t>
            </w:r>
          </w:p>
        </w:tc>
      </w:tr>
    </w:tbl>
    <w:p>
      <w:pPr>
        <w:pStyle w:val="Cuerpodetexto"/>
        <w:rPr>
          <w:lang w:val="es-AR"/>
        </w:rPr>
      </w:pPr>
      <w:r>
        <w:rPr>
          <w:lang w:val="es-AR"/>
        </w:rPr>
        <w:br/>
      </w:r>
    </w:p>
    <w:p>
      <w:pPr>
        <w:pStyle w:val="Cuerpodetexto"/>
        <w:ind w:left="0" w:right="0" w:hanging="0"/>
        <w:rPr>
          <w:lang w:val="es-AR"/>
        </w:rPr>
      </w:pPr>
      <w:r>
        <w:rPr>
          <w:lang w:val="es-AR"/>
        </w:rPr>
        <w:t>Tabla 3</w:t>
      </w:r>
    </w:p>
    <w:p>
      <w:pPr>
        <w:pStyle w:val="Cuerpodetexto"/>
        <w:bidi w:val="0"/>
        <w:spacing w:lineRule="auto" w:line="331" w:before="240" w:after="240"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</w:pPr>
      <w:bookmarkStart w:id="25" w:name="docs-internal-guid-93144d70-7fff-e1a2-e2"/>
      <w:bookmarkEnd w:id="25"/>
      <w:r>
        <w:rPr>
          <w:rFonts w:ascii="Cantarell" w:hAnsi="Cantarel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  <w:lang w:val="es-AR"/>
        </w:rPr>
        <w:t>Tabla Probabilidad e impacto</w:t>
      </w:r>
    </w:p>
    <w:tbl>
      <w:tblPr>
        <w:tblW w:w="9235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1541"/>
        <w:gridCol w:w="1541"/>
        <w:gridCol w:w="1541"/>
        <w:gridCol w:w="1541"/>
        <w:gridCol w:w="1541"/>
      </w:tblGrid>
      <w:tr>
        <w:trPr>
          <w:trHeight w:val="570" w:hRule="atLeast"/>
        </w:trPr>
        <w:tc>
          <w:tcPr>
            <w:tcW w:w="92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jc w:val="center"/>
              <w:rPr>
                <w:lang w:val="es-AR"/>
              </w:rPr>
            </w:pPr>
            <w:r>
              <w:rPr>
                <w:lang w:val="es-AR"/>
              </w:rPr>
              <w:t>Impacto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Probabilidad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Insignificante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(1)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Menor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(2)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Moderado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(3)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Mayor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(4)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Catastrófico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(5)</w:t>
            </w:r>
          </w:p>
        </w:tc>
      </w:tr>
      <w:tr>
        <w:trPr>
          <w:trHeight w:val="842" w:hRule="atLeast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Raro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(1)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>
          <w:trHeight w:val="735" w:hRule="atLeast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Improbable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(2)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>
          <w:trHeight w:val="782" w:hRule="atLeast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Posible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(3)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44C1C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>
          <w:trHeight w:val="795" w:hRule="atLeast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Probable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(4)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44C1C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>
          <w:trHeight w:val="855" w:hRule="atLeast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 xml:space="preserve">Casi seguro </w:t>
            </w:r>
          </w:p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  <w:t>(5)</w:t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38135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44C1C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0000" w:val="clear"/>
            <w:vAlign w:val="center"/>
          </w:tcPr>
          <w:p>
            <w:pPr>
              <w:pStyle w:val="Normal"/>
              <w:spacing w:lineRule="auto" w:line="240"/>
              <w:ind w:left="0" w:right="0" w:hanging="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Escala numérica la cual permite clasificar el riesgo según el nivel.</w:t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Tabla 4</w:t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Tabla Nivel de Riesgo</w:t>
      </w:r>
    </w:p>
    <w:tbl>
      <w:tblPr>
        <w:tblW w:w="9262" w:type="dxa"/>
        <w:jc w:val="left"/>
        <w:tblInd w:w="-10" w:type="dxa"/>
        <w:tblLayout w:type="fixed"/>
        <w:tblCellMar>
          <w:top w:w="100" w:type="dxa"/>
          <w:left w:w="120" w:type="dxa"/>
          <w:bottom w:w="100" w:type="dxa"/>
          <w:right w:w="120" w:type="dxa"/>
        </w:tblCellMar>
      </w:tblPr>
      <w:tblGrid>
        <w:gridCol w:w="4436"/>
        <w:gridCol w:w="4826"/>
      </w:tblGrid>
      <w:tr>
        <w:trPr/>
        <w:tc>
          <w:tcPr>
            <w:tcW w:w="4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NIVEL DE RIESGO</w:t>
            </w:r>
          </w:p>
        </w:tc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PROBABILIDAD X IMPACTO</w:t>
            </w:r>
          </w:p>
        </w:tc>
      </w:tr>
      <w:tr>
        <w:trPr/>
        <w:tc>
          <w:tcPr>
            <w:tcW w:w="4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0000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Muy Alto</w:t>
            </w:r>
          </w:p>
        </w:tc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&gt;80</w:t>
            </w:r>
          </w:p>
        </w:tc>
      </w:tr>
      <w:tr>
        <w:trPr/>
        <w:tc>
          <w:tcPr>
            <w:tcW w:w="4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44C1C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Alto</w:t>
            </w:r>
          </w:p>
        </w:tc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51-80</w:t>
            </w:r>
          </w:p>
        </w:tc>
      </w:tr>
      <w:tr>
        <w:trPr/>
        <w:tc>
          <w:tcPr>
            <w:tcW w:w="4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D966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31-50</w:t>
            </w:r>
          </w:p>
        </w:tc>
      </w:tr>
      <w:tr>
        <w:trPr/>
        <w:tc>
          <w:tcPr>
            <w:tcW w:w="4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0AD47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Bajo</w:t>
            </w:r>
          </w:p>
        </w:tc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11-30</w:t>
            </w:r>
          </w:p>
        </w:tc>
      </w:tr>
      <w:tr>
        <w:trPr/>
        <w:tc>
          <w:tcPr>
            <w:tcW w:w="4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Muy bajo</w:t>
            </w:r>
          </w:p>
        </w:tc>
        <w:tc>
          <w:tcPr>
            <w:tcW w:w="4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&lt;10</w:t>
            </w:r>
          </w:p>
        </w:tc>
      </w:tr>
    </w:tbl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Tabla 5</w:t>
      </w:r>
    </w:p>
    <w:p>
      <w:pPr>
        <w:pStyle w:val="Normal"/>
        <w:ind w:left="0" w:right="0" w:hanging="0"/>
        <w:rPr>
          <w:lang w:val="es-AR"/>
        </w:rPr>
      </w:pPr>
      <w:r>
        <w:rPr>
          <w:lang w:val="es-AR"/>
        </w:rPr>
        <w:t>Matriz de Riesgo</w:t>
      </w:r>
    </w:p>
    <w:tbl>
      <w:tblPr>
        <w:tblW w:w="9357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67"/>
        <w:gridCol w:w="1700"/>
        <w:gridCol w:w="1483"/>
        <w:gridCol w:w="1017"/>
        <w:gridCol w:w="1466"/>
        <w:gridCol w:w="1562"/>
        <w:gridCol w:w="1562"/>
      </w:tblGrid>
      <w:tr>
        <w:trPr>
          <w:trHeight w:val="617" w:hRule="atLeast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ID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Riesgo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Probabilidad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Impacto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Ponderación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Acción preventiva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35C5C5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Acciones de contingencia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Requerimientos incompletos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Probable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E599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Revisar y dedicarle tiempo al análisis funcional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Rever los requerimientos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Incorporación de nuevos requerimientos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Posible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Mayor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E599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Comentarles a los usuarios todo lo que se va a desarrollar antes de comenzar para confirmar los requerimientos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Tratar de convencer al usuario que no es necesario la incorporación; de serlo, incorporarlo al proyecto de la forma que menos afecte al resto del desarrollo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Planificación demasiado optimista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Casi seguro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Mayor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0000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Muy alto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Calcular fecha de entrega final con margen a favor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Adecuar y consensuar con el cliente.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Que la aprobación del proyecto tarde más de lo esperado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Raro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Menor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Muy bajo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Realizar y entregar el anteproyecto lo ante posible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N/A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Que las correcciones durante el desarrollo sean lentas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Improbable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Moderado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0AD47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Bajo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Enviar recordatorios al tutor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N/A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saber cómo solucionar un problema en una funcionalidad que no permita continuar con el desarrollo del proyecto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Posible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Mayor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E599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Medio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Pensar cómo va a ser la estructura del desarrollo antes de empezar a codificar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Investigar y pedir ayuda a tutores y/o compañeros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Pérdida de backup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Raro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Catastrófico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0AD47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Bajo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Tener más de uno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N/A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Desvinculación con los tutores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Raro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Mayor</w:t>
            </w:r>
          </w:p>
        </w:tc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2D050" w:val="clear"/>
            <w:vAlign w:val="center"/>
          </w:tcPr>
          <w:p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Muy bajo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N/A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Contenidodelatabla"/>
              <w:jc w:val="left"/>
              <w:rPr>
                <w:lang w:val="es-AR"/>
              </w:rPr>
            </w:pPr>
            <w:r>
              <w:rPr>
                <w:lang w:val="es-AR"/>
              </w:rPr>
              <w:t>Buscar nuevos tutores o cambiar proyecto</w:t>
            </w:r>
          </w:p>
        </w:tc>
      </w:tr>
    </w:tbl>
    <w:p>
      <w:pPr>
        <w:pStyle w:val="Cuerpodetexto"/>
        <w:rPr>
          <w:lang w:val="es-AR"/>
        </w:rPr>
      </w:pPr>
      <w:r>
        <w:rPr>
          <w:lang w:val="es-AR"/>
        </w:rPr>
      </w:r>
    </w:p>
    <w:p>
      <w:pPr>
        <w:pStyle w:val="Ttulo1"/>
        <w:spacing w:lineRule="auto" w:line="480" w:before="354" w:after="234"/>
        <w:rPr>
          <w:rFonts w:ascii="Cantarell" w:hAnsi="Cantarell"/>
          <w:sz w:val="22"/>
          <w:szCs w:val="22"/>
          <w:lang w:val="es-AR"/>
        </w:rPr>
      </w:pPr>
      <w:bookmarkStart w:id="26" w:name="__RefHeading___Toc262_3639636025"/>
      <w:bookmarkEnd w:id="26"/>
      <w:r>
        <w:rPr>
          <w:rFonts w:ascii="Cantarell" w:hAnsi="Cantarell"/>
          <w:sz w:val="22"/>
          <w:szCs w:val="22"/>
          <w:lang w:val="es-AR"/>
        </w:rPr>
        <w:t>Análisis FODA.</w:t>
      </w:r>
    </w:p>
    <w:p>
      <w:pPr>
        <w:pStyle w:val="Cuerpodetexto"/>
        <w:spacing w:lineRule="auto" w:line="480"/>
        <w:ind w:left="0" w:right="0" w:hanging="0"/>
        <w:rPr>
          <w:rFonts w:ascii="Cantarell" w:hAnsi="Cantarell"/>
          <w:sz w:val="22"/>
          <w:szCs w:val="22"/>
          <w:lang w:val="es-AR"/>
        </w:rPr>
      </w:pPr>
      <w:r>
        <w:rPr>
          <w:rFonts w:ascii="Cantarell" w:hAnsi="Cantarell"/>
          <w:sz w:val="22"/>
          <w:szCs w:val="22"/>
          <w:lang w:val="es-AR"/>
        </w:rPr>
        <mc:AlternateContent>
          <mc:Choice Requires="wpg">
            <w:drawing>
              <wp:anchor behindDoc="0" distT="14605" distB="14605" distL="14605" distR="14605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32385</wp:posOffset>
                </wp:positionV>
                <wp:extent cx="5887720" cy="4975225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0" cy="4974480"/>
                          <a:chOff x="28080" y="32400"/>
                          <a:chExt cx="5887080" cy="4974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16120" cy="2073240"/>
                          </a:xfrm>
                          <a:prstGeom prst="rect">
                            <a:avLst/>
                          </a:prstGeom>
                          <a:solidFill>
                            <a:srgbClr val="bbe33d"/>
                          </a:solidFill>
                          <a:ln w="29160">
                            <a:solidFill>
                              <a:srgbClr val="5eb91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AMENAZAS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La pandemia por COVID-19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Falta de recursos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Falta de reglas de negocio claras en el país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inestabilidad política economica a corto mediano y largo palazo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2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n-US" w:eastAsia="zh-CN" w:bidi="hi-IN"/>
                                </w:rPr>
                              </w:r>
                            </w:p>
                          </w:txbxContent>
                        </wps:txbx>
                        <wps:bodyPr lIns="249480" rIns="249480" tIns="249480" bIns="24948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70960" y="0"/>
                            <a:ext cx="2616120" cy="2073240"/>
                          </a:xfrm>
                          <a:prstGeom prst="rect">
                            <a:avLst/>
                          </a:prstGeom>
                          <a:solidFill>
                            <a:srgbClr val="ff860d"/>
                          </a:solidFill>
                          <a:ln w="29160">
                            <a:solidFill>
                              <a:srgbClr val="ea75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FORTALEZAS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14" w:after="114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Capacidad de reacción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14" w:after="114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Socios estratégicos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14" w:after="114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Solida experiencia en el mercado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14" w:after="114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Equipo propio de I+D+I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14" w:after="114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Capacitación constante de los recursos</w:t>
                              </w:r>
                            </w:p>
                          </w:txbxContent>
                        </wps:txbx>
                        <wps:bodyPr lIns="249480" rIns="249480" tIns="249480" bIns="24948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901240"/>
                            <a:ext cx="2616120" cy="2073240"/>
                          </a:xfrm>
                          <a:prstGeom prst="rect">
                            <a:avLst/>
                          </a:prstGeom>
                          <a:solidFill>
                            <a:srgbClr val="ff5429"/>
                          </a:solidFill>
                          <a:ln w="29160">
                            <a:solidFill>
                              <a:srgbClr val="ed4c0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DEBILIDADES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No poseer productos propios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No encontrar recursos especializados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Tener que rechazar prospectos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auto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lIns="249480" rIns="249480" tIns="249480" bIns="24948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70960" y="2901240"/>
                            <a:ext cx="2616120" cy="2073240"/>
                          </a:xfrm>
                          <a:prstGeom prst="rect">
                            <a:avLst/>
                          </a:prstGeom>
                          <a:solidFill>
                            <a:srgbClr val="ffd428"/>
                          </a:solidFill>
                          <a:ln w="29160">
                            <a:solidFill>
                              <a:srgbClr val="e8a20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OPORTUNIDADES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 w:val="22"/>
                                  <w:w w:val="100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mallCaps w:val="false"/>
                                  <w:caps w:val="false"/>
                                  <w:rFonts w:eastAsia="Microsoft YaHei" w:cs="Mangal" w:ascii="Cantarell" w:hAnsi="Cantarell"/>
                                  <w:color w:val="FFFFFF"/>
                                  <w:lang w:val="es-AR" w:eastAsia="zh-CN" w:bidi="hi-IN"/>
                                </w:rPr>
                                <w:t>El trabajo remoto  expande la geografía de recursos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 w:val="22"/>
                                  <w:w w:val="100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mallCaps w:val="false"/>
                                  <w:caps w:val="false"/>
                                  <w:rFonts w:eastAsia="Microsoft YaHei" w:cs="Mangal" w:ascii="Cantarell" w:hAnsi="Cantarell"/>
                                  <w:color w:val="FFFFFF"/>
                                  <w:lang w:val="es-AR" w:eastAsia="zh-CN" w:bidi="hi-IN"/>
                                </w:rPr>
                                <w:t xml:space="preserve">Tiempo y recursos para desarrollar productos propios 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z w:val="22"/>
                                  <w:w w:val="100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mallCaps w:val="false"/>
                                  <w:caps w:val="false"/>
                                  <w:rFonts w:eastAsia="Microsoft YaHei" w:cs="Mangal" w:ascii="Cantarell" w:hAnsi="Cantarell"/>
                                  <w:color w:val="FFFFFF"/>
                                  <w:lang w:val="es-AR" w:eastAsia="zh-CN" w:bidi="hi-IN"/>
                                </w:rPr>
                                <w:t>Expandir el mercado internacional</w:t>
                              </w:r>
                            </w:p>
                            <w:p>
                              <w:pPr>
                                <w:kinsoku w:val="true"/>
                                <w:overflowPunct w:val="true"/>
                                <w:autoSpaceDE w:val="true"/>
                                <w:bidi w:val="0"/>
                                <w:spacing w:before="171" w:after="171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2"/>
                                  <w:spacing w:val="0"/>
                                  <w:szCs w:val="2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Cantarell" w:hAnsi="Cantarell" w:eastAsia="Microsoft YaHei" w:cs="Mangal"/>
                                  <w:color w:val="FFFFFF"/>
                                  <w:lang w:val="es-AR" w:eastAsia="zh-CN" w:bidi="hi-IN"/>
                                </w:rPr>
                                <w:t>Ventaja en el cambio de moneda</w:t>
                              </w:r>
                            </w:p>
                          </w:txbxContent>
                        </wps:txbx>
                        <wps:bodyPr lIns="249480" rIns="249480" tIns="249480" bIns="24948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2.2pt;margin-top:2.55pt;width:463.6pt;height:391.7pt" coordorigin="44,51" coordsize="9272,7834">
                <v:rect id="shape_0" path="m0,0l-2147483645,0l-2147483645,-2147483646l0,-2147483646xe" fillcolor="#bbe33d" stroked="t" style="position:absolute;left:44;top:51;width:4119;height:3264;mso-wrap-style:square;v-text-anchor:top;mso-position-horizontal:center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126" w:lineRule="auto" w:line="216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AMENAZAS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126" w:lineRule="auto" w:line="216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La pandemia por COVID-19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126" w:lineRule="auto" w:line="216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Falta de recursos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126" w:lineRule="auto" w:line="216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Falta de reglas de negocio claras en el país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126" w:lineRule="auto" w:line="216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inestabilidad política economica a corto mediano y largo palazo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126" w:lineRule="auto" w:line="216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2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n-US" w:eastAsia="zh-CN" w:bidi="hi-IN"/>
                          </w:rPr>
                        </w:r>
                      </w:p>
                    </w:txbxContent>
                  </v:textbox>
                  <v:fill o:detectmouseclick="t" type="solid" color2="#441cc2"/>
                  <v:stroke color="#5eb91e" weight="29160" joinstyle="round" endcap="flat"/>
                  <w10:wrap type="none"/>
                </v:rect>
                <v:rect id="shape_0" path="m0,0l-2147483645,0l-2147483645,-2147483646l0,-2147483646xe" fillcolor="#ff860d" stroked="t" style="position:absolute;left:5195;top:51;width:4119;height:3264;mso-wrap-style:square;v-text-anchor:top;mso-position-horizontal:center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FORTALEZAS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14" w:after="114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Capacidad de reacción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14" w:after="114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Socios estratégicos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14" w:after="114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Solida experiencia en el mercado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14" w:after="114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Equipo propio de I+D+I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14" w:after="114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Capacitación constante de los recursos</w:t>
                        </w:r>
                      </w:p>
                    </w:txbxContent>
                  </v:textbox>
                  <v:fill o:detectmouseclick="t" type="solid" color2="#0079f2"/>
                  <v:stroke color="#ea7500" weight="29160" joinstyle="round" endcap="flat"/>
                </v:rect>
                <v:rect id="shape_0" path="m0,0l-2147483645,0l-2147483645,-2147483646l0,-2147483646xe" fillcolor="#ff5429" stroked="t" style="position:absolute;left:44;top:4620;width:4119;height:3264;mso-wrap-style:square;v-text-anchor:top;mso-position-horizontal:center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DEBILIDADES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No poseer productos propios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No encontrar recursos especializados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Tener que rechazar prospectos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auto"/>
                            <w:lang w:val="en-US"/>
                          </w:rPr>
                        </w:r>
                      </w:p>
                    </w:txbxContent>
                  </v:textbox>
                  <v:fill o:detectmouseclick="t" type="solid" color2="#00abd6"/>
                  <v:stroke color="#ed4c05" weight="29160" joinstyle="round" endcap="flat"/>
                </v:rect>
                <v:rect id="shape_0" path="m0,0l-2147483645,0l-2147483645,-2147483646l0,-2147483646xe" fillcolor="#ffd428" stroked="t" style="position:absolute;left:5195;top:4620;width:4119;height:3264;mso-wrap-style:square;v-text-anchor:top;mso-position-horizontal:center">
                  <v:textbox>
                    <w:txbxContent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OPORTUNIDADES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b w:val="false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 w:val="22"/>
                            <w:w w:val="100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mallCaps w:val="false"/>
                            <w:caps w:val="false"/>
                            <w:rFonts w:eastAsia="Microsoft YaHei" w:cs="Mangal" w:ascii="Cantarell" w:hAnsi="Cantarell"/>
                            <w:color w:val="FFFFFF"/>
                            <w:lang w:val="es-AR" w:eastAsia="zh-CN" w:bidi="hi-IN"/>
                          </w:rPr>
                          <w:t>El trabajo remoto  expande la geografía de recursos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b w:val="false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 w:val="22"/>
                            <w:w w:val="100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mallCaps w:val="false"/>
                            <w:caps w:val="false"/>
                            <w:rFonts w:eastAsia="Microsoft YaHei" w:cs="Mangal" w:ascii="Cantarell" w:hAnsi="Cantarell"/>
                            <w:color w:val="FFFFFF"/>
                            <w:lang w:val="es-AR" w:eastAsia="zh-CN" w:bidi="hi-IN"/>
                          </w:rPr>
                          <w:t xml:space="preserve">Tiempo y recursos para desarrollar productos propios 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b w:val="false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z w:val="22"/>
                            <w:w w:val="100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mallCaps w:val="false"/>
                            <w:caps w:val="false"/>
                            <w:rFonts w:eastAsia="Microsoft YaHei" w:cs="Mangal" w:ascii="Cantarell" w:hAnsi="Cantarell"/>
                            <w:color w:val="FFFFFF"/>
                            <w:lang w:val="es-AR" w:eastAsia="zh-CN" w:bidi="hi-IN"/>
                          </w:rPr>
                          <w:t>Expandir el mercado internacional</w:t>
                        </w:r>
                      </w:p>
                      <w:p>
                        <w:pPr>
                          <w:kinsoku w:val="true"/>
                          <w:overflowPunct w:val="true"/>
                          <w:autoSpaceDE w:val="true"/>
                          <w:bidi w:val="0"/>
                          <w:spacing w:before="171" w:after="171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2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2"/>
                            <w:spacing w:val="0"/>
                            <w:szCs w:val="2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Cantarell" w:hAnsi="Cantarell" w:eastAsia="Microsoft YaHei" w:cs="Mangal"/>
                            <w:color w:val="FFFFFF"/>
                            <w:lang w:val="es-AR" w:eastAsia="zh-CN" w:bidi="hi-IN"/>
                          </w:rPr>
                          <w:t>Ventaja en el cambio de moneda</w:t>
                        </w:r>
                      </w:p>
                    </w:txbxContent>
                  </v:textbox>
                  <v:fill o:detectmouseclick="t" type="solid" color2="#002bd7"/>
                  <v:stroke color="#e8a202" weight="29160" joinstyle="round" endcap="flat"/>
                </v:rect>
              </v:group>
            </w:pict>
          </mc:Fallback>
        </mc:AlternateContent>
      </w:r>
    </w:p>
    <w:p>
      <w:pPr>
        <w:pStyle w:val="Cuerpodetexto"/>
        <w:spacing w:lineRule="auto" w:line="480" w:before="0" w:after="140"/>
        <w:rPr>
          <w:rFonts w:ascii="Cantarell" w:hAnsi="Cantarell"/>
          <w:sz w:val="22"/>
          <w:szCs w:val="22"/>
          <w:lang w:val="es-AR"/>
        </w:rPr>
      </w:pPr>
      <w:r>
        <w:rPr>
          <w:rFonts w:ascii="Cantarell" w:hAnsi="Cantarell"/>
          <w:sz w:val="22"/>
          <w:szCs w:val="22"/>
          <w:lang w:val="es-AR"/>
        </w:rPr>
      </w:r>
    </w:p>
    <w:sectPr>
      <w:headerReference w:type="default" r:id="rId6"/>
      <w:type w:val="nextPage"/>
      <w:pgSz w:w="12240" w:h="15840"/>
      <w:pgMar w:left="1440" w:right="1440" w:header="783" w:top="1350" w:footer="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ntarell">
    <w:charset w:val="00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lang w:val="es-AR"/>
      </w:rPr>
    </w:pPr>
    <w:r>
      <w:rPr>
        <w:lang w:val="es-AR"/>
      </w:rPr>
      <w:fldChar w:fldCharType="begin"/>
    </w:r>
    <w:r>
      <w:rPr>
        <w:lang w:val="es-AR"/>
      </w:rPr>
      <w:instrText> PAGE </w:instrText>
    </w:r>
    <w:r>
      <w:rPr>
        <w:lang w:val="es-AR"/>
      </w:rPr>
      <w:fldChar w:fldCharType="separate"/>
    </w:r>
    <w:r>
      <w:rPr>
        <w:lang w:val="es-AR"/>
      </w:rPr>
      <w:t>12</w:t>
    </w:r>
    <w:r>
      <w:rPr>
        <w:lang w:val="es-A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480"/>
      <w:ind w:left="0" w:right="0" w:firstLine="720"/>
    </w:pPr>
    <w:rPr>
      <w:rFonts w:ascii="Cantarell" w:hAnsi="Cantarell" w:eastAsia="NSimSun" w:cs="Arial"/>
      <w:color w:val="auto"/>
      <w:kern w:val="2"/>
      <w:sz w:val="22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Cantarell" w:hAnsi="Cantarell"/>
      <w:b w:val="false"/>
      <w:bCs/>
      <w:sz w:val="22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righ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20"/>
        <w:tab w:val="right" w:pos="9360" w:leader="dot"/>
      </w:tabs>
      <w:ind w:left="0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  <w:spacing w:lineRule="auto" w:line="240"/>
      <w:ind w:left="0" w:right="0" w:hanging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LibreOffice/7.1.4.2$Windows_X86_64 LibreOffice_project/a529a4fab45b75fefc5b6226684193eb000654f6</Application>
  <AppVersion>15.0000</AppVersion>
  <Pages>12</Pages>
  <Words>1316</Words>
  <Characters>7066</Characters>
  <CharactersWithSpaces>8186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2021-08-20T20:31:57Z</dcterms:modified>
  <cp:revision>23</cp:revision>
  <dc:subject/>
  <dc:title/>
</cp:coreProperties>
</file>