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pPr>
        <w:jc w:val="center"/>
      </w:pPr>
      <w:r>
        <w:rPr>
          <w:rFonts w:ascii="Times New Roman" w:hAnsi="Times New Roman"/>
          <w:b/>
          <w:sz w:val="24"/>
        </w:rPr>
        <w:t>Efectividad de Intervenciones Psicoeducativas en Ninos con Trastorno por Deficit de Atencion</w:t>
      </w:r>
    </w:p>
    <w:p/>
    <w:p>
      <w:pPr>
        <w:jc w:val="center"/>
      </w:pPr>
      <w:r>
        <w:rPr>
          <w:rFonts w:ascii="Times New Roman" w:hAnsi="Times New Roman"/>
          <w:sz w:val="24"/>
        </w:rPr>
        <w:t>Juan Perez Martinez</w:t>
      </w:r>
    </w:p>
    <w:p>
      <w:pPr>
        <w:jc w:val="center"/>
      </w:pPr>
      <w:r>
        <w:rPr>
          <w:rFonts w:ascii="Times New Roman" w:hAnsi="Times New Roman"/>
          <w:sz w:val="24"/>
        </w:rPr>
        <w:t>Universidad Nacional Autonoma</w:t>
      </w:r>
    </w:p>
    <w:p/>
    <w:p>
      <w:pPr>
        <w:jc w:val="center"/>
      </w:pPr>
      <w:r>
        <w:rPr>
          <w:rFonts w:ascii="Times New Roman" w:hAnsi="Times New Roman"/>
          <w:sz w:val="24"/>
        </w:rPr>
        <w:t>Psicologia Clinica 401</w:t>
      </w:r>
    </w:p>
    <w:p>
      <w:pPr>
        <w:jc w:val="center"/>
      </w:pPr>
      <w:r>
        <w:rPr>
          <w:rFonts w:ascii="Times New Roman" w:hAnsi="Times New Roman"/>
          <w:sz w:val="24"/>
        </w:rPr>
        <w:t>Dra. Maria Elena Gonzalez</w:t>
      </w:r>
    </w:p>
    <w:p/>
    <w:p/>
    <w:p/>
    <w:p>
      <w:pPr>
        <w:jc w:val="center"/>
      </w:pPr>
      <w:r>
        <w:rPr>
          <w:rFonts w:ascii="Times New Roman" w:hAnsi="Times New Roman"/>
          <w:sz w:val="24"/>
        </w:rPr>
        <w:t>Octubre 31, 2025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t>Este es un documento de ejemplo simple para probar el convertidor APA 7.</w:t>
      </w:r>
    </w:p>
    <w:p>
      <w:pPr>
        <w:pStyle w:val="Heading2"/>
      </w:pPr>
      <w:r>
        <w:t>Marco Teórico</w:t>
      </w:r>
    </w:p>
    <w:p>
      <w:r>
        <w:t>El trastorno por déficit de atención (TDA) es una condición que afecta a muchos niños en edad escolar.</w:t>
      </w:r>
    </w:p>
    <w:p>
      <w:pPr>
        <w:pStyle w:val="Heading3"/>
      </w:pPr>
      <w:r>
        <w:t>Definición de TDA</w:t>
      </w:r>
    </w:p>
    <w:p>
      <w:r>
        <w:t xml:space="preserve">Según </w:t>
      </w:r>
      <w:r>
        <w:rPr>
          <w:b/>
        </w:rPr>
        <w:t>American Psychiatric Association</w:t>
      </w:r>
      <w:r>
        <w:t xml:space="preserve"> (2013), el TDA se caracteriza por:</w:t>
      </w:r>
    </w:p>
    <w:p>
      <w:pPr>
        <w:pStyle w:val="ListBullet"/>
      </w:pPr>
      <w:r>
        <w:t>Dificultad para mantener la atención</w:t>
      </w:r>
    </w:p>
    <w:p>
      <w:pPr>
        <w:pStyle w:val="ListBullet"/>
      </w:pPr>
      <w:r>
        <w:t>Impulsividad</w:t>
      </w:r>
    </w:p>
    <w:p>
      <w:pPr>
        <w:pStyle w:val="ListBullet"/>
      </w:pPr>
      <w:r>
        <w:t>Hiperactividad (en algunos casos)</w:t>
      </w:r>
    </w:p>
    <w:p>
      <w:pPr>
        <w:pStyle w:val="Heading2"/>
      </w:pPr>
      <w:r>
        <w:t>Metodología</w:t>
      </w:r>
    </w:p>
    <w:p>
      <w:pPr>
        <w:pStyle w:val="Heading3"/>
      </w:pPr>
      <w:r>
        <w:t>Participantes</w:t>
      </w:r>
    </w:p>
    <w:p>
      <w:r>
        <w:t xml:space="preserve">Se trabajó con un niño de </w:t>
      </w:r>
      <w:r>
        <w:rPr>
          <w:i/>
        </w:rPr>
        <w:t>9 años</w:t>
      </w:r>
      <w:r>
        <w:t xml:space="preserve"> diagnosticado con TDA.</w:t>
      </w:r>
    </w:p>
    <w:p>
      <w:pPr>
        <w:pStyle w:val="Heading3"/>
      </w:pPr>
      <w:r>
        <w:t>Procedimiento</w:t>
      </w:r>
    </w:p>
    <w:p>
      <w:r>
        <w:t>El procedimiento incluyó las siguientes fases:</w:t>
      </w:r>
    </w:p>
    <w:p>
      <w:pPr>
        <w:pStyle w:val="ListNumber"/>
      </w:pPr>
      <w:r>
        <w:t>Evaluación inicial</w:t>
      </w:r>
    </w:p>
    <w:p>
      <w:pPr>
        <w:pStyle w:val="ListNumber"/>
      </w:pPr>
      <w:r>
        <w:t>Implementación de intervención</w:t>
      </w:r>
    </w:p>
    <w:p>
      <w:pPr>
        <w:pStyle w:val="ListNumber"/>
      </w:pPr>
      <w:r>
        <w:t>Evaluación final</w:t>
      </w:r>
    </w:p>
    <w:p>
      <w:pPr>
        <w:pStyle w:val="Heading2"/>
      </w:pPr>
      <w:r>
        <w:t>Resultados</w:t>
      </w:r>
    </w:p>
    <w:p>
      <w:r>
        <w:t>Los resultados muestran una mejora significativa en la atención sostenida.</w:t>
      </w:r>
    </w:p>
    <w:p>
      <w:pPr>
        <w:pStyle w:val="Heading2"/>
      </w:pPr>
      <w:r>
        <w:t>Conclusiones</w:t>
      </w:r>
    </w:p>
    <w:p>
      <w:r>
        <w:t>La intervención basada en reforzamiento positivo demostró ser efectiva.</w:t>
      </w:r>
    </w:p>
    <w:p>
      <w:pPr>
        <w:pStyle w:val="Heading2"/>
      </w:pPr>
      <w:r>
        <w:t>Referencias</w:t>
      </w:r>
    </w:p>
    <w:p>
      <w:pPr>
        <w:ind w:left="720" w:hanging="720"/>
      </w:pPr>
      <w:r>
        <w:t xml:space="preserve">American Psychiatric Association. (2013). </w:t>
      </w:r>
      <w:r>
        <w:rPr>
          <w:i/>
        </w:rPr>
        <w:t>Diagnostic and statistical manual of mental disorders</w:t>
      </w:r>
      <w:r>
        <w:t xml:space="preserve"> (5th ed.). American Psychiatric Publishing.</w:t>
      </w:r>
    </w:p>
    <w:p>
      <w:pPr>
        <w:ind w:left="720" w:hanging="720"/>
      </w:pPr>
      <w:r>
        <w:t xml:space="preserve">Barkley, R. A. (2015). </w:t>
      </w:r>
      <w:r>
        <w:rPr>
          <w:i/>
        </w:rPr>
        <w:t>Attention-deficit hyperactivity disorder: A handbook for diagnosis and treatment</w:t>
      </w:r>
      <w:r>
        <w:t xml:space="preserve"> (4th ed.). Guilford Press.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spacing w:line="480" w:lineRule="auto" w:before="0" w:after="0"/>
      <w:ind w:firstLine="720" w:left="0"/>
      <w:jc w:val="left"/>
    </w:pPr>
    <w:rPr>
      <w:rFonts w:ascii="Times New Roman" w:hAnsi="Times New Roman"/>
      <w:b w:val="0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480" w:lineRule="auto"/>
      <w:ind w:firstLine="0" w:left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i w:val="0"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0" w:after="0" w:line="480" w:lineRule="auto"/>
      <w:ind w:firstLine="0" w:left="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i w:val="0"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0" w:after="0" w:line="480" w:lineRule="auto"/>
      <w:ind w:firstLine="0" w:left="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0" w:after="0" w:line="480" w:lineRule="auto"/>
      <w:ind w:firstLine="0" w:left="720"/>
      <w:jc w:val="left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0" w:after="0" w:line="480" w:lineRule="auto"/>
      <w:ind w:firstLine="0" w:left="720"/>
      <w:jc w:val="left"/>
      <w:outlineLvl w:val="4"/>
    </w:pPr>
    <w:rPr>
      <w:rFonts w:asciiTheme="majorHAnsi" w:eastAsiaTheme="majorEastAsia" w:hAnsiTheme="majorHAnsi" w:cstheme="majorBidi" w:ascii="Times New Roman" w:hAnsi="Times New Roman"/>
      <w:b/>
      <w:i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keepNext w:val="0"/>
      <w:spacing w:line="480" w:lineRule="auto" w:before="0" w:after="0"/>
      <w:ind w:firstLine="0" w:left="720"/>
      <w:jc w:val="left"/>
    </w:pPr>
    <w:rPr>
      <w:rFonts w:ascii="Times New Roman" w:hAnsi="Times New Roman"/>
      <w:b w:val="0"/>
      <w:i w:val="0"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 w:val="0"/>
      <w:spacing w:line="480" w:lineRule="auto" w:before="0" w:after="0"/>
      <w:ind w:hanging="720" w:left="720"/>
      <w:jc w:val="left"/>
    </w:pPr>
    <w:rPr>
      <w:rFonts w:ascii="Times New Roman" w:hAnsi="Times New Roman"/>
      <w:b w:val="0"/>
      <w:i w:val="0"/>
      <w:sz w:val="24"/>
    </w:rPr>
  </w:style>
  <w:style w:type="paragraph" w:customStyle="1" w:styleId="Abstract">
    <w:name w:val="Abstract"/>
    <w:pPr>
      <w:keepNext w:val="0"/>
      <w:spacing w:line="480" w:lineRule="auto" w:before="0" w:after="0"/>
      <w:ind w:firstLine="0" w:left="0"/>
      <w:jc w:val="left"/>
    </w:pPr>
    <w:rPr>
      <w:rFonts w:ascii="Times New Roman" w:hAnsi="Times New Roman"/>
      <w:b w:val="0"/>
      <w:i w:val="0"/>
      <w:sz w:val="24"/>
    </w:rPr>
  </w:style>
  <w:style w:type="paragraph" w:customStyle="1" w:styleId="TableTitle">
    <w:name w:val="Table Title"/>
    <w:pPr>
      <w:keepNext w:val="0"/>
      <w:spacing w:line="480" w:lineRule="auto" w:before="0" w:after="0"/>
      <w:ind w:firstLine="0" w:left="0"/>
      <w:jc w:val="left"/>
    </w:pPr>
    <w:rPr>
      <w:rFonts w:ascii="Times New Roman" w:hAnsi="Times New Roman"/>
      <w:b w:val="0"/>
      <w:i/>
      <w:sz w:val="24"/>
    </w:rPr>
  </w:style>
  <w:style w:type="paragraph" w:customStyle="1" w:styleId="TableNumber">
    <w:name w:val="Table Number"/>
    <w:pPr>
      <w:keepNext/>
      <w:spacing w:line="480" w:lineRule="auto" w:before="0" w:after="0"/>
      <w:ind w:firstLine="0" w:left="0"/>
      <w:jc w:val="left"/>
    </w:pPr>
    <w:rPr>
      <w:rFonts w:ascii="Times New Roman" w:hAnsi="Times New Roman"/>
      <w:b/>
      <w:i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