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color w:val="FF0000"/>
          <w:sz w:val="40"/>
          <w:szCs w:val="40"/>
          <w:shd w:val="clear" w:color="FFFFFF" w:fill="D9D9D9"/>
          <w:lang w:val="en-US"/>
        </w:rPr>
        <w:t>Reti Wireless</w:t>
      </w:r>
    </w:p>
    <w:p>
      <w:pPr>
        <w:pStyle w:val="16"/>
        <w:tabs>
          <w:tab w:val="right" w:leader="dot" w:pos="9746"/>
        </w:tabs>
      </w:pP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TOC \o "1-3" \h \u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Fonts w:hint="default"/>
          <w:szCs w:val="32"/>
          <w:lang w:val="en-US"/>
        </w:rPr>
        <w:fldChar w:fldCharType="begin"/>
      </w:r>
      <w:r>
        <w:rPr>
          <w:rFonts w:hint="default"/>
          <w:szCs w:val="32"/>
          <w:lang w:val="en-US"/>
        </w:rPr>
        <w:instrText xml:space="preserve"> HYPERLINK \l _Toc853110701 </w:instrText>
      </w:r>
      <w:r>
        <w:rPr>
          <w:rFonts w:hint="default"/>
          <w:szCs w:val="32"/>
          <w:lang w:val="en-US"/>
        </w:rPr>
        <w:fldChar w:fldCharType="separate"/>
      </w:r>
      <w:r>
        <w:rPr>
          <w:rFonts w:hint="default"/>
          <w:color w:val="0000BF" w:themeColor="hyperlink" w:themeShade="BF"/>
          <w:szCs w:val="28"/>
          <w:lang w:val="en-US" w:eastAsia="zh-CN"/>
        </w:rPr>
        <w:t>1.1 Caratteristiche di sicurezza</w:t>
      </w:r>
      <w:r>
        <w:tab/>
      </w:r>
      <w:r>
        <w:fldChar w:fldCharType="begin"/>
      </w:r>
      <w:r>
        <w:instrText xml:space="preserve"> PAGEREF _Toc853110701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32"/>
          <w:lang w:val="en-US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hint="default"/>
          <w:szCs w:val="32"/>
          <w:lang w:val="en-US"/>
        </w:rPr>
        <w:fldChar w:fldCharType="begin"/>
      </w:r>
      <w:r>
        <w:rPr>
          <w:rFonts w:hint="default"/>
          <w:szCs w:val="32"/>
          <w:lang w:val="en-US"/>
        </w:rPr>
        <w:instrText xml:space="preserve"> HYPERLINK \l _Toc1134087558 </w:instrText>
      </w:r>
      <w:r>
        <w:rPr>
          <w:rFonts w:hint="default"/>
          <w:szCs w:val="32"/>
          <w:lang w:val="en-US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1.1.1 </w:t>
      </w:r>
      <w:r>
        <w:rPr>
          <w:rFonts w:hint="default"/>
          <w:lang w:val="en-US" w:eastAsia="zh-CN"/>
        </w:rPr>
        <w:t>Crittografia</w:t>
      </w:r>
      <w:r>
        <w:tab/>
      </w:r>
      <w:r>
        <w:fldChar w:fldCharType="begin"/>
      </w:r>
      <w:r>
        <w:instrText xml:space="preserve"> PAGEREF _Toc1134087558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32"/>
          <w:lang w:val="en-US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hint="default"/>
          <w:szCs w:val="32"/>
          <w:lang w:val="en-US"/>
        </w:rPr>
        <w:fldChar w:fldCharType="begin"/>
      </w:r>
      <w:r>
        <w:rPr>
          <w:rFonts w:hint="default"/>
          <w:szCs w:val="32"/>
          <w:lang w:val="en-US"/>
        </w:rPr>
        <w:instrText xml:space="preserve"> HYPERLINK \l _Toc322252742 </w:instrText>
      </w:r>
      <w:r>
        <w:rPr>
          <w:rFonts w:hint="default"/>
          <w:szCs w:val="32"/>
          <w:lang w:val="en-US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1.1.2 </w:t>
      </w:r>
      <w:r>
        <w:rPr>
          <w:rFonts w:hint="default"/>
          <w:lang w:val="en-US" w:eastAsia="zh-CN"/>
        </w:rPr>
        <w:t>Controllo di accesso</w:t>
      </w:r>
      <w:r>
        <w:tab/>
      </w:r>
      <w:r>
        <w:fldChar w:fldCharType="begin"/>
      </w:r>
      <w:r>
        <w:instrText xml:space="preserve"> PAGEREF _Toc322252742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32"/>
          <w:lang w:val="en-US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hint="default"/>
          <w:szCs w:val="32"/>
          <w:lang w:val="en-US"/>
        </w:rPr>
        <w:fldChar w:fldCharType="begin"/>
      </w:r>
      <w:r>
        <w:rPr>
          <w:rFonts w:hint="default"/>
          <w:szCs w:val="32"/>
          <w:lang w:val="en-US"/>
        </w:rPr>
        <w:instrText xml:space="preserve"> HYPERLINK \l _Toc409771842 </w:instrText>
      </w:r>
      <w:r>
        <w:rPr>
          <w:rFonts w:hint="default"/>
          <w:szCs w:val="32"/>
          <w:lang w:val="en-US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1.1.3 </w:t>
      </w:r>
      <w:r>
        <w:rPr>
          <w:rFonts w:hint="default"/>
          <w:lang w:val="en-US" w:eastAsia="zh-CN"/>
        </w:rPr>
        <w:t>Firewall</w:t>
      </w:r>
      <w:r>
        <w:tab/>
      </w:r>
      <w:r>
        <w:fldChar w:fldCharType="begin"/>
      </w:r>
      <w:r>
        <w:instrText xml:space="preserve"> PAGEREF _Toc409771842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32"/>
          <w:lang w:val="en-US"/>
        </w:rPr>
        <w:fldChar w:fldCharType="end"/>
      </w:r>
    </w:p>
    <w:p>
      <w:pPr>
        <w:pStyle w:val="16"/>
        <w:tabs>
          <w:tab w:val="right" w:leader="dot" w:pos="9746"/>
        </w:tabs>
      </w:pPr>
      <w:r>
        <w:rPr>
          <w:rFonts w:hint="default"/>
          <w:szCs w:val="32"/>
          <w:lang w:val="en-US"/>
        </w:rPr>
        <w:fldChar w:fldCharType="begin"/>
      </w:r>
      <w:r>
        <w:rPr>
          <w:rFonts w:hint="default"/>
          <w:szCs w:val="32"/>
          <w:lang w:val="en-US"/>
        </w:rPr>
        <w:instrText xml:space="preserve"> HYPERLINK \l _Toc2099420044 </w:instrText>
      </w:r>
      <w:r>
        <w:rPr>
          <w:rFonts w:hint="default"/>
          <w:szCs w:val="32"/>
          <w:lang w:val="en-US"/>
        </w:rPr>
        <w:fldChar w:fldCharType="separate"/>
      </w:r>
      <w:r>
        <w:rPr>
          <w:rFonts w:hint="default"/>
          <w:color w:val="0000BF" w:themeColor="hyperlink" w:themeShade="BF"/>
          <w:szCs w:val="28"/>
          <w:lang w:val="en-US" w:eastAsia="zh-CN"/>
        </w:rPr>
        <w:t>1.2 Protocolli di crittografia</w:t>
      </w:r>
      <w:r>
        <w:tab/>
      </w:r>
      <w:r>
        <w:fldChar w:fldCharType="begin"/>
      </w:r>
      <w:r>
        <w:instrText xml:space="preserve"> PAGEREF _Toc2099420044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32"/>
          <w:lang w:val="en-US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hint="default"/>
          <w:szCs w:val="32"/>
          <w:lang w:val="en-US"/>
        </w:rPr>
        <w:fldChar w:fldCharType="begin"/>
      </w:r>
      <w:r>
        <w:rPr>
          <w:rFonts w:hint="default"/>
          <w:szCs w:val="32"/>
          <w:lang w:val="en-US"/>
        </w:rPr>
        <w:instrText xml:space="preserve"> HYPERLINK \l _Toc41108024 </w:instrText>
      </w:r>
      <w:r>
        <w:rPr>
          <w:rFonts w:hint="default"/>
          <w:szCs w:val="32"/>
          <w:lang w:val="en-US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1.2.1 </w:t>
      </w:r>
      <w:r>
        <w:rPr>
          <w:rFonts w:hint="default"/>
          <w:lang w:val="en-US" w:eastAsia="zh-CN"/>
        </w:rPr>
        <w:t>WEP</w:t>
      </w:r>
      <w:r>
        <w:tab/>
      </w:r>
      <w:r>
        <w:fldChar w:fldCharType="begin"/>
      </w:r>
      <w:r>
        <w:instrText xml:space="preserve"> PAGEREF _Toc41108024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32"/>
          <w:lang w:val="en-US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hint="default"/>
          <w:szCs w:val="32"/>
          <w:lang w:val="en-US"/>
        </w:rPr>
        <w:fldChar w:fldCharType="begin"/>
      </w:r>
      <w:r>
        <w:rPr>
          <w:rFonts w:hint="default"/>
          <w:szCs w:val="32"/>
          <w:lang w:val="en-US"/>
        </w:rPr>
        <w:instrText xml:space="preserve"> HYPERLINK \l _Toc1629808049 </w:instrText>
      </w:r>
      <w:r>
        <w:rPr>
          <w:rFonts w:hint="default"/>
          <w:szCs w:val="32"/>
          <w:lang w:val="en-US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1.2.2 </w:t>
      </w:r>
      <w:r>
        <w:rPr>
          <w:rFonts w:hint="default"/>
          <w:lang w:val="en-US" w:eastAsia="zh-CN"/>
        </w:rPr>
        <w:t>WPA</w:t>
      </w:r>
      <w:r>
        <w:tab/>
      </w:r>
      <w:r>
        <w:fldChar w:fldCharType="begin"/>
      </w:r>
      <w:r>
        <w:instrText xml:space="preserve"> PAGEREF _Toc1629808049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szCs w:val="32"/>
          <w:lang w:val="en-US"/>
        </w:rPr>
        <w:fldChar w:fldCharType="end"/>
      </w:r>
    </w:p>
    <w:p>
      <w:pPr>
        <w:pStyle w:val="16"/>
        <w:tabs>
          <w:tab w:val="right" w:leader="dot" w:pos="9746"/>
        </w:tabs>
      </w:pPr>
      <w:r>
        <w:rPr>
          <w:rFonts w:hint="default"/>
          <w:szCs w:val="32"/>
          <w:lang w:val="en-US"/>
        </w:rPr>
        <w:fldChar w:fldCharType="begin"/>
      </w:r>
      <w:r>
        <w:rPr>
          <w:rFonts w:hint="default"/>
          <w:szCs w:val="32"/>
          <w:lang w:val="en-US"/>
        </w:rPr>
        <w:instrText xml:space="preserve"> HYPERLINK \l _Toc1140249310 </w:instrText>
      </w:r>
      <w:r>
        <w:rPr>
          <w:rFonts w:hint="default"/>
          <w:szCs w:val="32"/>
          <w:lang w:val="en-US"/>
        </w:rPr>
        <w:fldChar w:fldCharType="separate"/>
      </w:r>
      <w:r>
        <w:rPr>
          <w:rFonts w:hint="default"/>
          <w:color w:val="0000BF" w:themeColor="hyperlink" w:themeShade="BF"/>
          <w:szCs w:val="28"/>
          <w:lang w:val="en-US" w:eastAsia="zh-CN"/>
        </w:rPr>
        <w:t>1.3 Protocolli di crittografia</w:t>
      </w:r>
      <w:r>
        <w:tab/>
      </w:r>
      <w:r>
        <w:fldChar w:fldCharType="begin"/>
      </w:r>
      <w:r>
        <w:instrText xml:space="preserve"> PAGEREF _Toc1140249310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szCs w:val="32"/>
          <w:lang w:val="en-US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hint="default"/>
          <w:szCs w:val="32"/>
          <w:lang w:val="en-US"/>
        </w:rPr>
        <w:fldChar w:fldCharType="begin"/>
      </w:r>
      <w:r>
        <w:rPr>
          <w:rFonts w:hint="default"/>
          <w:szCs w:val="32"/>
          <w:lang w:val="en-US"/>
        </w:rPr>
        <w:instrText xml:space="preserve"> HYPERLINK \l _Toc1734403374 </w:instrText>
      </w:r>
      <w:r>
        <w:rPr>
          <w:rFonts w:hint="default"/>
          <w:szCs w:val="32"/>
          <w:lang w:val="en-US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1.3.1 </w:t>
      </w:r>
      <w:r>
        <w:rPr>
          <w:rFonts w:hint="default"/>
          <w:lang w:val="en-US" w:eastAsia="zh-CN"/>
        </w:rPr>
        <w:t>TACACS+</w:t>
      </w:r>
      <w:r>
        <w:tab/>
      </w:r>
      <w:r>
        <w:fldChar w:fldCharType="begin"/>
      </w:r>
      <w:r>
        <w:instrText xml:space="preserve"> PAGEREF _Toc1734403374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szCs w:val="32"/>
          <w:lang w:val="en-US"/>
        </w:rPr>
        <w:fldChar w:fldCharType="end"/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Cs w:val="32"/>
          <w:lang w:val="en-US"/>
        </w:rPr>
      </w:pPr>
      <w:r>
        <w:rPr>
          <w:rFonts w:hint="default"/>
          <w:szCs w:val="32"/>
          <w:lang w:val="en-US"/>
        </w:rPr>
        <w:fldChar w:fldCharType="end"/>
      </w:r>
    </w:p>
    <w:p>
      <w:pP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/>
          <w:szCs w:val="32"/>
          <w:lang w:val="en-US"/>
        </w:rPr>
        <w:br w:type="page"/>
      </w:r>
      <w:bookmarkStart w:id="9" w:name="_GoBack"/>
      <w:bookmarkEnd w:id="9"/>
    </w:p>
    <w:p>
      <w:p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  <w:t xml:space="preserve">Le reti wireless utilizzano la tecnologia a radiofrequenza ( RF) per trasmettere i dati tra i dispositivi. Ogni dispositivo su una rete wireless dispone di un adattatore wireless che converte i dati in segnali RF e li invia via etere. </w:t>
      </w:r>
    </w:p>
    <w:p>
      <w:p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  <w:t>Una volta connessi, i dispositivi possono comunicare tra loro e con Internet, consentendo agli utenti di accedere alle risorse online e scambiare dati.</w:t>
      </w:r>
    </w:p>
    <w:p>
      <w:p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  <w:t>Quando un dispositivo, come un laptop, desidera inviare dati sulla rete, comunica prima con il punto di accesso wireless ( WAP) per richiedere l'autorizzazione alla trasmissione. Il WAP è un dispositivo centrale, come un router, che collega la rete wireless a una rete cablata e controlla l'accesso alla rete. Una volta che il WAP concede l'autorizzazione, il dispositivo di trasmissione invia i dati come segnali RF, che vengono ricevuti dagli adattatori wireless di altri dispositivi sulla rete. I dati vengono quindi riconvertiti in un formato utilizzabile e trasmessi all'applicazione o al sistema appropriato.</w:t>
      </w:r>
    </w:p>
    <w:p>
      <w:p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  <w:t>Il dispositivo deve inoltre essere configurato con le impostazioni di rete corrette, come il nome della rete/ 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  <w:instrText xml:space="preserve"> HYPERLINK "https://www.geeksforgeeks.org/service-set-identifier-ssid-in-computer-network/" \t "/nfs/homes/iragusa/Documents\\x/_blank" </w:instrTex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  <w:t>Service Set Identifier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  <w:fldChar w:fldCharType="end"/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  <w:t> ( SSID) e password.</w:t>
      </w:r>
    </w:p>
    <w:p>
      <w:p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  <w:t>La richiesta al WAPè nota come connection request frame o association request e viene inviata utilizzando il protocollo IEEE 802.11</w:t>
      </w:r>
    </w:p>
    <w:p>
      <w:p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  <w:t>Il frame di richiesta di connessione contiene vari campi di informazioni, inclusi i seguenti ma non limitati a:</w:t>
      </w:r>
    </w:p>
    <w:tbl>
      <w:tblPr>
        <w:tblStyle w:val="7"/>
        <w:tblW w:w="134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41D2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25"/>
        <w:gridCol w:w="103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1A2332" w:sz="6" w:space="0"/>
            </w:tcBorders>
            <w:shd w:val="clear" w:color="auto" w:fill="141D2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sans-serif" w:hAnsi="sans-serif" w:eastAsia="sans-serif" w:cs="sans-serif"/>
                <w:i w:val="0"/>
                <w:iCs w:val="0"/>
                <w:caps w:val="0"/>
                <w:color w:val="A4B1CD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9FEF00"/>
                <w:spacing w:val="0"/>
                <w:kern w:val="0"/>
                <w:sz w:val="21"/>
                <w:szCs w:val="21"/>
                <w:lang w:val="en-US" w:eastAsia="zh-CN" w:bidi="ar"/>
              </w:rPr>
              <w:t>MAC address</w:t>
            </w:r>
          </w:p>
        </w:tc>
        <w:tc>
          <w:tcPr>
            <w:tcW w:w="0" w:type="auto"/>
            <w:tcBorders>
              <w:top w:val="single" w:color="1A2332" w:sz="6" w:space="0"/>
            </w:tcBorders>
            <w:shd w:val="clear" w:color="auto" w:fill="141D2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A4B1CD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A4B1CD"/>
                <w:spacing w:val="0"/>
                <w:kern w:val="0"/>
                <w:sz w:val="19"/>
                <w:szCs w:val="19"/>
                <w:lang w:val="en-US" w:eastAsia="zh-CN" w:bidi="ar"/>
              </w:rPr>
              <w:t>Un identificatore univoco per l'adattatore wireless del dispositivo.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1A2332" w:sz="6" w:space="0"/>
            </w:tcBorders>
            <w:shd w:val="clear" w:color="auto" w:fill="141D2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A4B1CD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9FEF00"/>
                <w:spacing w:val="0"/>
                <w:kern w:val="0"/>
                <w:sz w:val="21"/>
                <w:szCs w:val="21"/>
                <w:lang w:val="en-US" w:eastAsia="zh-CN" w:bidi="ar"/>
              </w:rPr>
              <w:t>SSID</w:t>
            </w:r>
          </w:p>
        </w:tc>
        <w:tc>
          <w:tcPr>
            <w:tcW w:w="0" w:type="auto"/>
            <w:tcBorders>
              <w:top w:val="single" w:color="1A2332" w:sz="6" w:space="0"/>
            </w:tcBorders>
            <w:shd w:val="clear" w:color="auto" w:fill="141D2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A4B1CD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A4B1CD"/>
                <w:spacing w:val="0"/>
                <w:kern w:val="0"/>
                <w:sz w:val="19"/>
                <w:szCs w:val="19"/>
                <w:lang w:val="en-US" w:eastAsia="zh-CN" w:bidi="ar"/>
              </w:rPr>
              <w:t>Il nome della rete, noto anche come nome </w:t>
            </w: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9FEF00"/>
                <w:spacing w:val="0"/>
                <w:kern w:val="0"/>
                <w:sz w:val="21"/>
                <w:szCs w:val="21"/>
                <w:lang w:val="en-US" w:eastAsia="zh-CN" w:bidi="ar"/>
              </w:rPr>
              <w:t>Service Set Identifier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A4B1CD"/>
                <w:spacing w:val="0"/>
                <w:kern w:val="0"/>
                <w:sz w:val="19"/>
                <w:szCs w:val="19"/>
                <w:lang w:val="en-US" w:eastAsia="zh-CN" w:bidi="ar"/>
              </w:rPr>
              <w:t>della rete Wi-Fi.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D2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1A2332" w:sz="6" w:space="0"/>
            </w:tcBorders>
            <w:shd w:val="clear" w:color="auto" w:fill="141D2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A4B1CD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9FEF00"/>
                <w:spacing w:val="0"/>
                <w:kern w:val="0"/>
                <w:sz w:val="21"/>
                <w:szCs w:val="21"/>
                <w:lang w:val="en-US" w:eastAsia="zh-CN" w:bidi="ar"/>
              </w:rPr>
              <w:t>Supported data rates</w:t>
            </w:r>
          </w:p>
        </w:tc>
        <w:tc>
          <w:tcPr>
            <w:tcW w:w="0" w:type="auto"/>
            <w:tcBorders>
              <w:top w:val="single" w:color="1A2332" w:sz="6" w:space="0"/>
            </w:tcBorders>
            <w:shd w:val="clear" w:color="auto" w:fill="141D2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A4B1CD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A4B1CD"/>
                <w:spacing w:val="0"/>
                <w:kern w:val="0"/>
                <w:sz w:val="19"/>
                <w:szCs w:val="19"/>
                <w:lang w:val="en-US" w:eastAsia="zh-CN" w:bidi="ar"/>
              </w:rPr>
              <w:t>Un elenco delle velocità dati che il dispositivo può comunicare.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1A2332" w:sz="6" w:space="0"/>
            </w:tcBorders>
            <w:shd w:val="clear" w:color="auto" w:fill="141D2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A4B1CD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9FEF00"/>
                <w:spacing w:val="0"/>
                <w:kern w:val="0"/>
                <w:sz w:val="21"/>
                <w:szCs w:val="21"/>
                <w:lang w:val="en-US" w:eastAsia="zh-CN" w:bidi="ar"/>
              </w:rPr>
              <w:t>Supported channels</w:t>
            </w:r>
          </w:p>
        </w:tc>
        <w:tc>
          <w:tcPr>
            <w:tcW w:w="0" w:type="auto"/>
            <w:tcBorders>
              <w:top w:val="single" w:color="1A2332" w:sz="6" w:space="0"/>
            </w:tcBorders>
            <w:shd w:val="clear" w:color="auto" w:fill="141D2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A4B1CD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A4B1CD"/>
                <w:spacing w:val="0"/>
                <w:kern w:val="0"/>
                <w:sz w:val="19"/>
                <w:szCs w:val="19"/>
                <w:lang w:val="en-US" w:eastAsia="zh-CN" w:bidi="ar"/>
              </w:rPr>
              <w:t>Un elenco delle </w:t>
            </w: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9FEF00"/>
                <w:spacing w:val="0"/>
                <w:kern w:val="0"/>
                <w:sz w:val="21"/>
                <w:szCs w:val="21"/>
                <w:lang w:val="en-US" w:eastAsia="zh-CN" w:bidi="ar"/>
              </w:rPr>
              <w:t>channels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A4B1CD"/>
                <w:spacing w:val="0"/>
                <w:kern w:val="0"/>
                <w:sz w:val="19"/>
                <w:szCs w:val="19"/>
                <w:lang w:val="en-US" w:eastAsia="zh-CN" w:bidi="ar"/>
              </w:rPr>
              <w:t>(frequenze) su cui il dispositivo può comunicare.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1A2332" w:sz="6" w:space="0"/>
            </w:tcBorders>
            <w:shd w:val="clear" w:color="auto" w:fill="141D2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A4B1CD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9FEF00"/>
                <w:spacing w:val="0"/>
                <w:kern w:val="0"/>
                <w:sz w:val="21"/>
                <w:szCs w:val="21"/>
                <w:lang w:val="en-US" w:eastAsia="zh-CN" w:bidi="ar"/>
              </w:rPr>
              <w:t>Supported security protocols</w:t>
            </w:r>
          </w:p>
        </w:tc>
        <w:tc>
          <w:tcPr>
            <w:tcW w:w="0" w:type="auto"/>
            <w:tcBorders>
              <w:top w:val="single" w:color="1A2332" w:sz="6" w:space="0"/>
            </w:tcBorders>
            <w:shd w:val="clear" w:color="auto" w:fill="141D2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A4B1CD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A4B1CD"/>
                <w:spacing w:val="0"/>
                <w:kern w:val="0"/>
                <w:sz w:val="19"/>
                <w:szCs w:val="19"/>
                <w:lang w:val="en-US" w:eastAsia="zh-CN" w:bidi="ar"/>
              </w:rPr>
              <w:t>Un elenco dei protocolli di sicurezza che il dispositivo è in grado di utilizzare, ad esempio </w:t>
            </w: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9FEF00"/>
                <w:spacing w:val="0"/>
                <w:kern w:val="0"/>
                <w:sz w:val="21"/>
                <w:szCs w:val="21"/>
                <w:lang w:val="en-US" w:eastAsia="zh-CN" w:bidi="ar"/>
              </w:rPr>
              <w:t>WPA2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A4B1CD"/>
                <w:spacing w:val="0"/>
                <w:kern w:val="0"/>
                <w:sz w:val="19"/>
                <w:szCs w:val="19"/>
                <w:lang w:val="en-US" w:eastAsia="zh-CN" w:bidi="ar"/>
              </w:rPr>
              <w:t>/ </w:t>
            </w: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9FEF00"/>
                <w:spacing w:val="0"/>
                <w:kern w:val="0"/>
                <w:sz w:val="21"/>
                <w:szCs w:val="21"/>
                <w:lang w:val="en-US" w:eastAsia="zh-CN" w:bidi="ar"/>
              </w:rPr>
              <w:t>WPA3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A4B1CD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outlineLvl w:val="1"/>
        <w:rPr>
          <w:rFonts w:hint="default"/>
          <w:color w:val="E46C0A" w:themeColor="accent6" w:themeShade="BF"/>
          <w:sz w:val="28"/>
          <w:szCs w:val="28"/>
          <w:lang w:val="en-US" w:eastAsia="zh-CN"/>
        </w:rPr>
      </w:pPr>
      <w:bookmarkStart w:id="0" w:name="_Toc853110701"/>
      <w:r>
        <w:rPr>
          <w:rFonts w:hint="default"/>
          <w:color w:val="E46C0A" w:themeColor="accent6" w:themeShade="BF"/>
          <w:sz w:val="28"/>
          <w:szCs w:val="28"/>
          <w:lang w:val="en-US" w:eastAsia="zh-CN"/>
        </w:rPr>
        <w:t>Caratteristiche di sicurezza</w:t>
      </w:r>
      <w:bookmarkEnd w:id="0"/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  <w:t>Le reti WiFi hanno diverse funzioni di sicurezza per proteggere da accessi non autorizzati e garantire la privacy e l'integrità dei dati trasmessi sulla rete. Alcune delle principali funzionalità di sicurezza includono, a titolo esemplificativo ma non esaustivo: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  <w:t>Crittografia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  <w:t>Controllo di accesso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  <w:t xml:space="preserve">Firewall 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default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134087558"/>
      <w:r>
        <w:rPr>
          <w:rFonts w:hint="default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  <w:t>Crittografia</w:t>
      </w:r>
      <w:bookmarkEnd w:id="1"/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  <w:t>Possiamo utilizzare vari algoritmi di crittografia per proteggere la riservatezza dei dati trasmessi su reti wireless. Gli algoritmi di crittografia più comuni nelle reti WiFi sono Wired Equivalent Privacy ( WEP), WiFi Protected Access 2 ( WPA2) e WiFi Protected Access 3 ( WPA3).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default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322252742"/>
      <w:r>
        <w:rPr>
          <w:rFonts w:hint="default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  <w:t>Controllo di accesso</w:t>
      </w:r>
      <w:bookmarkEnd w:id="2"/>
    </w:p>
    <w:p>
      <w:pPr>
        <w:bidi w:val="0"/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  <w:t>Le reti WiFi sono configurate per impostazione predefinita per consentire ai dispositivi autorizzati di accedere alla rete utilizzando metodi di autenticazione specifici. Tuttavia, questi metodi possono essere modificati richiedendo una password o un identificatore univoco (come un indirizzo MAC) per identificare i dispositivi autorizzati.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default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</w:pPr>
      <w:bookmarkStart w:id="3" w:name="_Toc409771842"/>
      <w:r>
        <w:rPr>
          <w:rFonts w:hint="default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  <w:t>Firewall</w:t>
      </w:r>
      <w:bookmarkEnd w:id="3"/>
    </w:p>
    <w:p>
      <w:pPr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  <w:t>Un firewall è un sistema di sicurezza che controlla il traffico di rete in entrata e in uscita in base a regole di sicurezza predeterminate. Ad esempio, i router WiFi spesso dispongono di firewall integrati in grado di bloccare il traffico in entrata da Internet e proteggere da vari tipi di minacce informatiche.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outlineLvl w:val="1"/>
        <w:rPr>
          <w:rFonts w:hint="default"/>
          <w:color w:val="E46C0A" w:themeColor="accent6" w:themeShade="BF"/>
          <w:sz w:val="28"/>
          <w:szCs w:val="28"/>
          <w:lang w:val="en-US" w:eastAsia="zh-CN"/>
        </w:rPr>
      </w:pPr>
      <w:bookmarkStart w:id="4" w:name="_Toc2099420044"/>
      <w:r>
        <w:rPr>
          <w:rFonts w:hint="default"/>
          <w:color w:val="E46C0A" w:themeColor="accent6" w:themeShade="BF"/>
          <w:sz w:val="28"/>
          <w:szCs w:val="28"/>
          <w:lang w:val="en-US" w:eastAsia="zh-CN"/>
        </w:rPr>
        <w:t>Protocolli di crittografia</w:t>
      </w:r>
      <w:bookmarkEnd w:id="4"/>
    </w:p>
    <w:p>
      <w:pPr>
        <w:jc w:val="both"/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instrText xml:space="preserve"> HYPERLINK "https://en.wikipedia.org/wiki/Wired_Equivalent_Privacy" \t "/nfs/homes/iragusa/Documents\\x/_blank" </w:instrText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t>Wired Equivalent Privacy</w:t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fldChar w:fldCharType="end"/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t> (WEP) e </w:t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instrText xml:space="preserve"> HYPERLINK "https://en.wikipedia.org/wiki/Wi-Fi_Protected_Access" \t "/nfs/homes/iragusa/Documents\\x/_blank" </w:instrText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t>WiFi Protected Access</w:t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fldChar w:fldCharType="end"/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t> (WPA) sono protocolli di crittografia che proteggono i dati trasmessi su una rete WiFi. WPA può utilizzare diversi algoritmi di crittografia, incluso </w:t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instrText xml:space="preserve"> HYPERLINK "https://en.wikipedia.org/wiki/Advanced_Encryption_Standard" \t "/nfs/homes/iragusa/Documents\\x/_blank" </w:instrText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t>Advanced Encryption Standard</w:t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fldChar w:fldCharType="end"/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t> (AES).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default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41108024"/>
      <w:r>
        <w:rPr>
          <w:rFonts w:hint="default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  <w:t>WEP</w:t>
      </w:r>
      <w:bookmarkEnd w:id="5"/>
    </w:p>
    <w:p>
      <w:pPr>
        <w:jc w:val="both"/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  <w:t>WEP utilizza una chiave A 40-bit o a 104-bitper crittografare i dati, mentre WPA usando AES, ne utilizza una a 128-bit (più robusta e più resistenti agli attacchi).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  <w:t>Inoltre, WEP non è compatibile con i dispositivi e i sistemi operativi più recenti e generalmente non è più considerato sicuro. Infine, WEP utilizza l'RC4 cipher algoritmo di crittografia, che lo rende vulnerabile agli attacchi.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  <w:t>WEP utilizza a shared keyper l'autenticazione, il che significa che la stessa chiave viene utilizzata per la crittografia e l'autenticazione. 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1F497D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  <w:t>Esistono due versioni del protocollo WEP che garantiscono chiavi univoche: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t>WEP-40/WEP-64 (chiave a 40 bit)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t>WEP-104 (chiave a 104 bit)</w:t>
      </w:r>
    </w:p>
    <w:p>
      <w:pP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</w:pP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default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</w:pPr>
      <w:bookmarkStart w:id="6" w:name="_Toc1629808049"/>
      <w:r>
        <w:rPr>
          <w:rFonts w:hint="default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  <w:t>WPA</w:t>
      </w:r>
      <w:bookmarkEnd w:id="6"/>
    </w:p>
    <w:p>
      <w:pPr>
        <w:jc w:val="both"/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t>WPA fornisce il massimo livello di sicurezza e non è suscettibile agli stessi tipi di attacchi di WEP. Inoltre, WPA utilizza metodi di autenticazione più sicuri, come una </w:t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instrText xml:space="preserve"> HYPERLINK "https://en.wikipedia.org/wiki/Pre-shared_key" \t "/nfs/homes/iragusa/Documents\\x/_blank" </w:instrText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t>chiave precondivisa</w:t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fldChar w:fldCharType="end"/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t> (PSK) o un server di autenticazione 802.1X, che forniscono una maggiore protezione contro l'accesso non autorizzato.  Tutte le reti wireless, specialmente nelle infrastrutture critiche come gli uffici, dovrebbero generalmente implementare almeno a WPA2 o addirittura a WPA3 la crittografia.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outlineLvl w:val="1"/>
        <w:rPr>
          <w:rFonts w:hint="default"/>
          <w:color w:val="E46C0A" w:themeColor="accent6" w:themeShade="BF"/>
          <w:sz w:val="28"/>
          <w:szCs w:val="28"/>
          <w:lang w:val="en-US" w:eastAsia="zh-CN"/>
        </w:rPr>
      </w:pPr>
      <w:bookmarkStart w:id="7" w:name="_Toc1140249310"/>
      <w:r>
        <w:rPr>
          <w:rFonts w:hint="default"/>
          <w:color w:val="E46C0A" w:themeColor="accent6" w:themeShade="BF"/>
          <w:sz w:val="28"/>
          <w:szCs w:val="28"/>
          <w:lang w:val="en-US" w:eastAsia="zh-CN"/>
        </w:rPr>
        <w:t>Protocolli di crittografia</w:t>
      </w:r>
      <w:bookmarkEnd w:id="7"/>
    </w:p>
    <w:p>
      <w:pPr>
        <w:jc w:val="both"/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instrText xml:space="preserve"> HYPERLINK "https://en.wikipedia.org/wiki/Lightweight_Extensible_Authentication_Protocol" \t "/nfs/homes/iragusa/Documents\\x/_blank" </w:instrText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t>Lightweight Extensible Authentication Protocol</w:t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fldChar w:fldCharType="end"/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t> (LEAP) e </w:t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instrText xml:space="preserve"> HYPERLINK "https://en.wikipedia.org/wiki/Protected_Extensible_Authentication_Protocol" \t "/nfs/homes/iragusa/Documents\\x/_blank" </w:instrText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t>Protected Extensible Authentication Protocol</w:t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fldChar w:fldCharType="end"/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t> (PEAP) sono protocolli di autenticazione utilizzati per proteggere le reti wireless e per fornire un metodo sicuro per l'autenticazione dei dispositivi su una rete wireless, sono spesso utilizzati insieme a WEP o WPA per fornire un ulteriore livello di sicurezza.</w:t>
      </w:r>
    </w:p>
    <w:p>
      <w:pPr>
        <w:jc w:val="both"/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t>Una differenza fondamentale tra LEAP e PEAP è il modo in cui proteggono il processo di autenticazione.</w:t>
      </w:r>
    </w:p>
    <w:p>
      <w:pPr>
        <w:jc w:val="both"/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t>LEAP utilizza a shared keyper l'autenticazione, il che significa che una stessa chiave viene utilizzata per crittografia e autenticazione (meno sicura) mentre PEAP utilizza un metodo di autenticazione più sicuro chiamato </w:t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instrText xml:space="preserve"> HYPERLINK "https://en.wikipedia.org/wiki/Transport_Layer_Security" \t "/nfs/homes/iragusa/Documents\\x/_blank" </w:instrText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t>Transport Layer Security</w:t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fldChar w:fldCharType="end"/>
      </w: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t> ( TLS). Questo metodo stabilisce una connessione sicura tra il dispositivo e il WAP utilizzando un certificato digitale e un tunnel crittografato protegge il processo di autenticazione. Ciò fornisce una protezione più solida contro l'accesso non autorizzato ed è più resistente agli attacchi.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default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</w:pPr>
      <w:bookmarkStart w:id="8" w:name="_Toc1734403374"/>
      <w:r>
        <w:rPr>
          <w:rFonts w:hint="default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  <w:t>TACACS+</w:t>
      </w:r>
      <w:bookmarkEnd w:id="8"/>
    </w:p>
    <w:p>
      <w:pPr>
        <w:jc w:val="both"/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t>TACACS+ è un protocollo utilizzato per autenticare e autorizzare gli utenti che accedono ai dispositivi di rete, come router e switch. Quando un WAP invia una richiesta di autenticazione a un TACACS+ server, la richiesta in genere include le credenziali dell'utente e altre informazioni sulla sessione.</w:t>
      </w:r>
    </w:p>
    <w:p>
      <w:pP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  <w:t>Diversi metodi di crittografia possono essere utilizzati per crittografare la richiesta di autenticazione, ad esempio SSL/ TLSo IPSec. Il metodo di crittografia specifico utilizzato può dipendere dalla configurazione del TACACS+server e dalle capacità del WAP.</w:t>
      </w:r>
    </w:p>
    <w:p>
      <w:pPr>
        <w:rPr>
          <w:rFonts w:hint="default" w:asciiTheme="minorEastAsia" w:hAnsiTheme="minorEastAsia" w:eastAsiaTheme="minorEastAsia" w:cstheme="minorEastAsia"/>
          <w:color w:val="1F497D" w:themeColor="text2"/>
          <w:kern w:val="0"/>
          <w:sz w:val="24"/>
          <w:szCs w:val="24"/>
          <w:vertAlign w:val="baseline"/>
          <w:lang w:val="en-US" w:eastAsia="zh-CN" w:bidi="ar"/>
          <w14:textFill>
            <w14:solidFill>
              <w14:schemeClr w14:val="tx2"/>
            </w14:solidFill>
          </w14:textFill>
        </w:rPr>
      </w:pPr>
    </w:p>
    <w:sectPr>
      <w:pgSz w:w="11906" w:h="16838"/>
      <w:pgMar w:top="1440" w:right="1080" w:bottom="1440" w:left="108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EFEC14"/>
    <w:multiLevelType w:val="multilevel"/>
    <w:tmpl w:val="9EEFEC1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  <w:sz w:val="24"/>
        <w:szCs w:val="24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EB35DED"/>
    <w:multiLevelType w:val="singleLevel"/>
    <w:tmpl w:val="EEB35D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FBDEBDE"/>
    <w:multiLevelType w:val="singleLevel"/>
    <w:tmpl w:val="6FBDEB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83B"/>
    <w:rsid w:val="00080988"/>
    <w:rsid w:val="00095C11"/>
    <w:rsid w:val="000A0C46"/>
    <w:rsid w:val="002344F1"/>
    <w:rsid w:val="00283D4C"/>
    <w:rsid w:val="002D331B"/>
    <w:rsid w:val="003108D7"/>
    <w:rsid w:val="004A5FB7"/>
    <w:rsid w:val="004F60FA"/>
    <w:rsid w:val="0057325C"/>
    <w:rsid w:val="005E1571"/>
    <w:rsid w:val="006268FF"/>
    <w:rsid w:val="008148C5"/>
    <w:rsid w:val="00852EB6"/>
    <w:rsid w:val="008B583B"/>
    <w:rsid w:val="009165AC"/>
    <w:rsid w:val="00A50799"/>
    <w:rsid w:val="00A87A42"/>
    <w:rsid w:val="00AD309C"/>
    <w:rsid w:val="00CA03C3"/>
    <w:rsid w:val="00CA202A"/>
    <w:rsid w:val="00DD621A"/>
    <w:rsid w:val="00E96C48"/>
    <w:rsid w:val="3FBF3589"/>
    <w:rsid w:val="5FBB511A"/>
    <w:rsid w:val="737FA9E4"/>
    <w:rsid w:val="73DC54E9"/>
    <w:rsid w:val="7FD5AA65"/>
    <w:rsid w:val="7FD938AE"/>
    <w:rsid w:val="7FF53F0C"/>
    <w:rsid w:val="7FFF208F"/>
    <w:rsid w:val="8FFF69F2"/>
    <w:rsid w:val="BF7FE9B5"/>
    <w:rsid w:val="DBFBC55A"/>
    <w:rsid w:val="EDEB8DB7"/>
    <w:rsid w:val="EFDCD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paragraph" w:styleId="2">
    <w:name w:val="heading 1"/>
    <w:basedOn w:val="1"/>
    <w:next w:val="1"/>
    <w:link w:val="18"/>
    <w:qFormat/>
    <w:uiPriority w:val="1"/>
    <w:pPr>
      <w:widowControl w:val="0"/>
      <w:autoSpaceDE w:val="0"/>
      <w:autoSpaceDN w:val="0"/>
      <w:spacing w:before="34" w:after="0" w:line="240" w:lineRule="auto"/>
      <w:ind w:left="973" w:hanging="361"/>
      <w:outlineLvl w:val="0"/>
    </w:pPr>
    <w:rPr>
      <w:rFonts w:ascii="Calibri Light" w:hAnsi="Calibri Light" w:eastAsia="Calibri Light" w:cs="Calibri Light"/>
      <w:smallCaps/>
      <w:color w:val="4F6228" w:themeColor="accent3" w:themeShade="80"/>
      <w:sz w:val="32"/>
      <w:szCs w:val="32"/>
      <w:lang w:eastAsia="it-IT" w:bidi="it-IT"/>
    </w:rPr>
  </w:style>
  <w:style w:type="paragraph" w:styleId="3">
    <w:name w:val="heading 2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TML Code"/>
    <w:basedOn w:val="6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HTML Preformatted"/>
    <w:basedOn w:val="1"/>
    <w:link w:val="2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it-IT"/>
    </w:rPr>
  </w:style>
  <w:style w:type="character" w:styleId="11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22"/>
    <w:rPr>
      <w:b/>
      <w:bCs/>
    </w:rPr>
  </w:style>
  <w:style w:type="table" w:styleId="14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oc 1"/>
    <w:basedOn w:val="1"/>
    <w:next w:val="1"/>
    <w:semiHidden/>
    <w:unhideWhenUsed/>
    <w:qFormat/>
    <w:uiPriority w:val="39"/>
  </w:style>
  <w:style w:type="paragraph" w:styleId="16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7">
    <w:name w:val="toc 3"/>
    <w:basedOn w:val="1"/>
    <w:next w:val="1"/>
    <w:semiHidden/>
    <w:unhideWhenUsed/>
    <w:qFormat/>
    <w:uiPriority w:val="39"/>
    <w:pPr>
      <w:ind w:left="840" w:leftChars="400"/>
    </w:pPr>
  </w:style>
  <w:style w:type="character" w:customStyle="1" w:styleId="18">
    <w:name w:val="Titolo 1 Carattere"/>
    <w:basedOn w:val="6"/>
    <w:link w:val="2"/>
    <w:qFormat/>
    <w:uiPriority w:val="1"/>
    <w:rPr>
      <w:rFonts w:ascii="Calibri Light" w:hAnsi="Calibri Light" w:eastAsia="Calibri Light" w:cs="Calibri Light"/>
      <w:smallCaps/>
      <w:color w:val="4F6228" w:themeColor="accent3" w:themeShade="80"/>
      <w:sz w:val="32"/>
      <w:szCs w:val="32"/>
      <w:lang w:val="it-IT" w:eastAsia="it-IT" w:bidi="it-IT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Preformattato HTML Carattere"/>
    <w:basedOn w:val="6"/>
    <w:link w:val="10"/>
    <w:semiHidden/>
    <w:qFormat/>
    <w:uiPriority w:val="99"/>
    <w:rPr>
      <w:rFonts w:ascii="Courier New" w:hAnsi="Courier New" w:eastAsia="Times New Roman" w:cs="Courier New"/>
      <w:sz w:val="20"/>
      <w:szCs w:val="20"/>
      <w:lang w:eastAsia="it-IT"/>
    </w:rPr>
  </w:style>
  <w:style w:type="character" w:customStyle="1" w:styleId="21">
    <w:name w:val="pl-k"/>
    <w:basedOn w:val="6"/>
    <w:qFormat/>
    <w:uiPriority w:val="0"/>
  </w:style>
  <w:style w:type="character" w:customStyle="1" w:styleId="22">
    <w:name w:val="pl-s"/>
    <w:basedOn w:val="6"/>
    <w:qFormat/>
    <w:uiPriority w:val="0"/>
  </w:style>
  <w:style w:type="character" w:customStyle="1" w:styleId="23">
    <w:name w:val="pl-pds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3427</Words>
  <Characters>18925</Characters>
  <Lines>55</Lines>
  <Paragraphs>15</Paragraphs>
  <TotalTime>0</TotalTime>
  <ScaleCrop>false</ScaleCrop>
  <LinksUpToDate>false</LinksUpToDate>
  <CharactersWithSpaces>22463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2022-10-28T21:02:00Z</dcterms:created>
  <dc:creator>Ivana Ragusa</dc:creator>
  <cp:lastModifiedBy>iragusa</cp:lastModifiedBy>
  <dcterms:modified xsi:type="dcterms:W3CDTF">2023-03-21T19:22:19Z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