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77" w:type="dxa"/>
        <w:jc w:val="center"/>
        <w:tblLayout w:type="fixed"/>
        <w:tblCellMar>
          <w:left w:w="0" w:type="dxa"/>
          <w:bottom w:w="57" w:type="dxa"/>
          <w:right w:w="0" w:type="dxa"/>
        </w:tblCellMar>
        <w:tblLook w:val="04A0" w:firstRow="1" w:lastRow="0" w:firstColumn="1" w:lastColumn="0" w:noHBand="0" w:noVBand="1"/>
      </w:tblPr>
      <w:tblGrid>
        <w:gridCol w:w="1474"/>
        <w:gridCol w:w="5329"/>
        <w:gridCol w:w="1474"/>
      </w:tblGrid>
      <w:tr w14:paraId="6F488939" w14:textId="77777777">
        <w:trPr>
          <w:cantSplit/>
          <w:jc w:val="center"/>
        </w:trPr>
        <w:tc>
          <w:tcPr>
            <w:tcW w:w="1474" w:type="dxa"/>
            <w:vAlign w:val="center"/>
          </w:tcPr>
          <w:p w14:paraId="24DBF4CB" w14:textId="77777777">
            <w:pPr>
              <w:pStyle w:val="Naslovnacentrirano"/>
              <w:jc w:val="left"/>
            </w:pPr>
            <w:r>
              <w:rPr>
                <w:noProof/>
              </w:rPr>
              <w:drawing>
                <wp:inline distT="0" distB="0" distL="0" distR="0" wp14:anchorId="4C9F7078" wp14:editId="1BAA8789">
                  <wp:extent cx="756000" cy="763200"/>
                  <wp:effectExtent l="0" t="0" r="0" b="0"/>
                  <wp:docPr id="101" name="УНС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УНС лого"/>
                          <pic:cNvPicPr/>
                        </pic:nvPicPr>
                        <pic:blipFill>
                          <a:blip r:embed="rId7"/>
                          <a:stretch>
                            <a:fillRect/>
                          </a:stretch>
                        </pic:blipFill>
                        <pic:spPr>
                          <a:xfrm>
                            <a:off x="0" y="0"/>
                            <a:ext cx="756000" cy="763200"/>
                          </a:xfrm>
                          <a:prstGeom prst="rect">
                            <a:avLst/>
                          </a:prstGeom>
                        </pic:spPr>
                      </pic:pic>
                    </a:graphicData>
                  </a:graphic>
                </wp:inline>
              </w:drawing>
            </w:r>
          </w:p>
        </w:tc>
        <w:tc>
          <w:tcPr>
            <w:tcW w:w="5329" w:type="dxa"/>
            <w:vAlign w:val="center"/>
          </w:tcPr>
          <w:p w14:paraId="254AD116" w14:textId="77777777">
            <w:pPr>
              <w:pStyle w:val="Naslovnacentrirano"/>
            </w:pPr>
            <w:r>
              <w:rPr>
                <w:sz w:val="28"/>
                <w:szCs w:val="28"/>
              </w:rPr>
              <w:t>УНИВЕРЗИТЕТ У НОВОМ САДУ</w:t>
            </w:r>
          </w:p>
          <w:p w14:paraId="4243FB74" w14:textId="77777777">
            <w:pPr>
              <w:pStyle w:val="Naslovnacentrirano"/>
            </w:pPr>
            <w:r>
              <w:rPr>
                <w:b/>
                <w:bCs/>
                <w:sz w:val="28"/>
                <w:szCs w:val="28"/>
              </w:rPr>
              <w:t>ФАКУЛТЕТ ТЕХНИЧКИХ НАУКА</w:t>
              <w:br/>
              <w:t>У НОВОМ САДУ</w:t>
            </w:r>
          </w:p>
        </w:tc>
        <w:tc>
          <w:tcPr>
            <w:tcW w:w="1474" w:type="dxa"/>
            <w:vAlign w:val="center"/>
          </w:tcPr>
          <w:p w14:paraId="45126F67" w14:textId="77777777">
            <w:pPr>
              <w:pStyle w:val="Naslovnacentrirano"/>
              <w:jc w:val="right"/>
            </w:pPr>
            <w:r>
              <w:rPr>
                <w:noProof/>
              </w:rPr>
              <w:drawing>
                <wp:inline distT="0" distB="0" distL="0" distR="0" wp14:anchorId="781E415F" wp14:editId="3BBED8F7">
                  <wp:extent cx="738000" cy="810000"/>
                  <wp:effectExtent l="0" t="0" r="0" b="0"/>
                  <wp:docPr id="102"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ФТН лого"/>
                          <pic:cNvPicPr/>
                        </pic:nvPicPr>
                        <pic:blipFill>
                          <a:blip r:embed="rId8"/>
                          <a:stretch>
                            <a:fillRect/>
                          </a:stretch>
                        </pic:blipFill>
                        <pic:spPr>
                          <a:xfrm>
                            <a:off x="0" y="0"/>
                            <a:ext cx="738000" cy="810000"/>
                          </a:xfrm>
                          <a:prstGeom prst="rect">
                            <a:avLst/>
                          </a:prstGeom>
                        </pic:spPr>
                      </pic:pic>
                    </a:graphicData>
                  </a:graphic>
                </wp:inline>
              </w:drawing>
            </w:r>
          </w:p>
        </w:tc>
      </w:tr>
    </w:tbl>
    <w:p w14:paraId="4CC5427F" w14:textId="77777777">
      <w:pPr>
        <w:pBdr>
          <w:bottom w:val="single" w:sz="8" w:space="2" w:color="auto"/>
        </w:pBdr>
        <w:spacing w:after="0" w:line="20" w:lineRule="exact"/>
      </w:pPr>
    </w:p>
    <w:p w14:paraId="4694E677" w14:textId="77777777">
      <w:pPr>
        <w:spacing w:after="1814" w:line="20" w:lineRule="exact"/>
      </w:pPr>
    </w:p>
    <w:p w14:paraId="595A4563" w14:textId="77777777">
      <w:pPr>
        <w:pStyle w:val="Naslovnacentrirano"/>
      </w:pPr>
      <w:r>
        <w:rPr>
          <w:sz w:val="40"/>
          <w:szCs w:val="40"/>
        </w:rPr>
        <w:t>[Име и презиме]</w:t>
      </w:r>
    </w:p>
    <w:p w14:paraId="7724BEDA" w14:textId="77777777">
      <w:pPr>
        <w:spacing w:after="680" w:line="20" w:lineRule="exact"/>
      </w:pPr>
    </w:p>
    <w:p w14:paraId="57BAB3DE" w14:textId="77777777">
      <w:pPr>
        <w:pStyle w:val="Naslovnacentrirano"/>
      </w:pPr>
      <w:r>
        <w:rPr>
          <w:b/>
          <w:bCs/>
          <w:sz w:val="48"/>
          <w:szCs w:val="48"/>
        </w:rPr>
        <w:t>Информациони систем за паметно праћење личних трошкова и оптимизацију групних дуговања са симулацијом дигиталних плаћања</w:t>
      </w:r>
    </w:p>
    <w:p w14:paraId="30934376" w14:textId="77777777">
      <w:pPr>
        <w:spacing w:after="680" w:line="20" w:lineRule="exact"/>
      </w:pPr>
    </w:p>
    <w:p w14:paraId="1C8FCA5B" w14:textId="77777777">
      <w:pPr>
        <w:pStyle w:val="Naslovnacentrirano"/>
      </w:pPr>
      <w:r>
        <w:rPr>
          <w:sz w:val="40"/>
          <w:szCs w:val="40"/>
        </w:rPr>
        <w:t>ЗАВРШНИ РАД</w:t>
      </w:r>
    </w:p>
    <w:p w14:paraId="5352B948" w14:textId="77777777">
      <w:pPr>
        <w:pStyle w:val="Naslovnacentrirano"/>
      </w:pPr>
      <w:r>
        <w:rPr>
          <w:sz w:val="40"/>
          <w:szCs w:val="40"/>
        </w:rPr>
        <w:t>Основне академске студије</w:t>
      </w:r>
    </w:p>
    <w:p w14:paraId="279AF026" w14:textId="77777777">
      <w:pPr>
        <w:spacing w:after="3742" w:line="20" w:lineRule="exact"/>
      </w:pPr>
    </w:p>
    <w:p w14:paraId="7DFBB858" w14:textId="77777777">
      <w:pPr>
        <w:pStyle w:val="Naslovnacentrirano"/>
        <w:rPr>
          <w:sz w:val="36"/>
          <w:szCs w:val="36"/>
        </w:rPr>
      </w:pPr>
      <w:r>
        <w:rPr>
          <w:sz w:val="36"/>
          <w:szCs w:val="36"/>
        </w:rPr>
        <w:t>Нови Сад, [година].</w:t>
      </w:r>
    </w:p>
    <w:p w14:paraId="3CDC004E" w14:textId="77777777">
      <w:pPr>
        <w:spacing w:after="0" w:line="20" w:lineRule="exact"/>
        <w:rPr>
          <w:sz w:val="2"/>
        </w:rPr>
        <w:sectPr>
          <w:headerReference w:type="even" r:id="rId9"/>
          <w:headerReference w:type="default" r:id="rId10"/>
          <w:footerReference w:type="even" r:id="rId11"/>
          <w:footerReference w:type="default" r:id="rId12"/>
          <w:headerReference w:type="first" r:id="rId13"/>
          <w:footerReference w:type="first" r:id="rId14"/>
          <w:pgSz w:w="9978" w:h="14173"/>
          <w:pgMar w:top="1134" w:right="850" w:bottom="1134" w:left="850" w:header="567" w:footer="992" w:gutter="0"/>
          <w:cols w:space="708"/>
          <w:docGrid w:linePitch="360"/>
        </w:sectPr>
      </w:pP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34"/>
        <w:gridCol w:w="5726"/>
        <w:gridCol w:w="1417"/>
      </w:tblGrid>
      <w:tr w14:paraId="6048134D" w14:textId="77777777">
        <w:trPr>
          <w:cantSplit/>
          <w:trHeight w:val="340"/>
          <w:jc w:val="center"/>
        </w:trPr>
        <w:tc>
          <w:tcPr>
            <w:tcW w:w="1134" w:type="dxa"/>
            <w:vMerge w:val="restart"/>
            <w:tcBorders>
              <w:right w:val="single" w:sz="6" w:space="0" w:color="000000"/>
            </w:tcBorders>
            <w:vAlign w:val="center"/>
          </w:tcPr>
          <w:p w14:paraId="5F047F62" w14:textId="77777777">
            <w:pPr>
              <w:pStyle w:val="Formular"/>
              <w:jc w:val="center"/>
            </w:pPr>
            <w:r>
              <w:rPr>
                <w:noProof/>
              </w:rPr>
              <w:lastRenderedPageBreak/>
              <w:drawing>
                <wp:inline distT="0" distB="0" distL="0" distR="0" wp14:anchorId="23965486" wp14:editId="59355585">
                  <wp:extent cx="540000" cy="590400"/>
                  <wp:effectExtent l="0" t="0" r="0" b="0"/>
                  <wp:docPr id="103"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ФТН лого"/>
                          <pic:cNvPicPr/>
                        </pic:nvPicPr>
                        <pic:blipFill>
                          <a:blip r:embed="rId15"/>
                          <a:stretch>
                            <a:fillRect/>
                          </a:stretch>
                        </pic:blipFill>
                        <pic:spPr>
                          <a:xfrm>
                            <a:off x="0" y="0"/>
                            <a:ext cx="540000" cy="590400"/>
                          </a:xfrm>
                          <a:prstGeom prst="rect">
                            <a:avLst/>
                          </a:prstGeom>
                        </pic:spPr>
                      </pic:pic>
                    </a:graphicData>
                  </a:graphic>
                </wp:inline>
              </w:drawing>
            </w:r>
          </w:p>
        </w:tc>
        <w:tc>
          <w:tcPr>
            <w:tcW w:w="5726" w:type="dxa"/>
            <w:vMerge w:val="restart"/>
            <w:tcBorders>
              <w:bottom w:val="single" w:sz="6" w:space="0" w:color="000000"/>
            </w:tcBorders>
            <w:vAlign w:val="center"/>
          </w:tcPr>
          <w:p w14:paraId="4A97C4A4" w14:textId="77777777">
            <w:pPr>
              <w:pStyle w:val="Formular"/>
              <w:jc w:val="center"/>
            </w:pPr>
            <w:r>
              <w:rPr>
                <w:sz w:val="15"/>
                <w:szCs w:val="15"/>
              </w:rPr>
              <w:t xml:space="preserve">УНИВЕРЗИТЕТ У НОВОМ САДУ  ●  </w:t>
            </w:r>
            <w:r>
              <w:rPr>
                <w:b/>
                <w:bCs/>
                <w:sz w:val="15"/>
                <w:szCs w:val="15"/>
              </w:rPr>
              <w:t>ФАКУЛТЕТ ТЕХНИЧКИХ НАУКА</w:t>
            </w:r>
          </w:p>
          <w:p w14:paraId="3B5FB2F3" w14:textId="77777777">
            <w:pPr>
              <w:pStyle w:val="Formular"/>
              <w:jc w:val="center"/>
            </w:pPr>
            <w:r>
              <w:rPr>
                <w:spacing w:val="12"/>
                <w:sz w:val="14"/>
                <w:szCs w:val="14"/>
              </w:rPr>
              <w:t>21000 НОВИ САД, Трг Доситеја Обрадовића 6</w:t>
            </w:r>
          </w:p>
        </w:tc>
        <w:tc>
          <w:tcPr>
            <w:tcW w:w="1417" w:type="dxa"/>
            <w:tcBorders>
              <w:left w:val="single" w:sz="6" w:space="0" w:color="000000"/>
              <w:bottom w:val="single" w:sz="6" w:space="0" w:color="000000"/>
            </w:tcBorders>
            <w:vAlign w:val="center"/>
          </w:tcPr>
          <w:p w14:paraId="6160F947" w14:textId="77777777">
            <w:pPr>
              <w:pStyle w:val="Formular"/>
            </w:pPr>
            <w:r>
              <w:t>Број:</w:t>
            </w:r>
          </w:p>
        </w:tc>
      </w:tr>
      <w:tr w14:paraId="4CDF5FD6" w14:textId="77777777">
        <w:trPr>
          <w:cantSplit/>
          <w:trHeight w:val="227"/>
          <w:jc w:val="center"/>
        </w:trPr>
        <w:tc>
          <w:tcPr>
            <w:tcW w:w="1134" w:type="dxa"/>
            <w:vMerge/>
            <w:tcBorders>
              <w:right w:val="single" w:sz="6" w:space="0" w:color="000000"/>
            </w:tcBorders>
          </w:tcPr>
          <w:p w14:paraId="48194A23" w14:textId="77777777">
            <w:pPr>
              <w:spacing w:after="0" w:line="240" w:lineRule="auto"/>
            </w:pPr>
          </w:p>
        </w:tc>
        <w:tc>
          <w:tcPr>
            <w:tcW w:w="5726" w:type="dxa"/>
            <w:vMerge/>
            <w:tcBorders>
              <w:bottom w:val="single" w:sz="6" w:space="0" w:color="000000"/>
            </w:tcBorders>
          </w:tcPr>
          <w:p w14:paraId="0D3E0067" w14:textId="77777777">
            <w:pPr>
              <w:spacing w:after="0" w:line="240" w:lineRule="auto"/>
            </w:pPr>
          </w:p>
        </w:tc>
        <w:tc>
          <w:tcPr>
            <w:tcW w:w="1417" w:type="dxa"/>
            <w:tcBorders>
              <w:left w:val="single" w:sz="6" w:space="0" w:color="000000"/>
              <w:bottom w:val="single" w:sz="6" w:space="0" w:color="000000"/>
            </w:tcBorders>
          </w:tcPr>
          <w:p w14:paraId="1EA2212C" w14:textId="77777777">
            <w:pPr>
              <w:spacing w:after="0" w:line="240" w:lineRule="auto"/>
            </w:pPr>
          </w:p>
        </w:tc>
      </w:tr>
      <w:tr w14:paraId="268C6C2A" w14:textId="77777777">
        <w:trPr>
          <w:cantSplit/>
          <w:trHeight w:val="340"/>
          <w:jc w:val="center"/>
        </w:trPr>
        <w:tc>
          <w:tcPr>
            <w:tcW w:w="1134" w:type="dxa"/>
            <w:vMerge/>
            <w:tcBorders>
              <w:right w:val="single" w:sz="6" w:space="0" w:color="000000"/>
            </w:tcBorders>
          </w:tcPr>
          <w:p w14:paraId="306C8031" w14:textId="77777777">
            <w:pPr>
              <w:spacing w:after="0" w:line="240" w:lineRule="auto"/>
            </w:pPr>
          </w:p>
        </w:tc>
        <w:tc>
          <w:tcPr>
            <w:tcW w:w="5726" w:type="dxa"/>
            <w:vMerge w:val="restart"/>
            <w:tcBorders>
              <w:bottom w:val="single" w:sz="6" w:space="0" w:color="000000"/>
            </w:tcBorders>
            <w:shd w:val="clear" w:color="auto" w:fill="E8E8E8"/>
            <w:vAlign w:val="center"/>
          </w:tcPr>
          <w:p w14:paraId="4D7E9D69" w14:textId="77777777">
            <w:pPr>
              <w:pStyle w:val="Formular"/>
              <w:spacing w:before="60" w:after="60"/>
              <w:jc w:val="center"/>
            </w:pPr>
            <w:r>
              <w:rPr>
                <w:b/>
                <w:bCs/>
                <w:sz w:val="22"/>
                <w:szCs w:val="22"/>
              </w:rPr>
              <w:t>ЗАДАТАК ЗА ЗАВРШНИ РАД</w:t>
            </w:r>
          </w:p>
        </w:tc>
        <w:tc>
          <w:tcPr>
            <w:tcW w:w="1417" w:type="dxa"/>
            <w:tcBorders>
              <w:left w:val="single" w:sz="6" w:space="0" w:color="000000"/>
              <w:bottom w:val="single" w:sz="6" w:space="0" w:color="000000"/>
            </w:tcBorders>
            <w:vAlign w:val="center"/>
          </w:tcPr>
          <w:p w14:paraId="0D69952C" w14:textId="77777777">
            <w:pPr>
              <w:pStyle w:val="Formular"/>
            </w:pPr>
            <w:r>
              <w:t>Датум:</w:t>
            </w:r>
          </w:p>
        </w:tc>
      </w:tr>
      <w:tr w14:paraId="57DBD76D" w14:textId="77777777">
        <w:trPr>
          <w:cantSplit/>
          <w:trHeight w:val="227"/>
          <w:jc w:val="center"/>
        </w:trPr>
        <w:tc>
          <w:tcPr>
            <w:tcW w:w="1134" w:type="dxa"/>
            <w:vMerge/>
            <w:tcBorders>
              <w:right w:val="single" w:sz="6" w:space="0" w:color="000000"/>
            </w:tcBorders>
          </w:tcPr>
          <w:p w14:paraId="741E3D0E" w14:textId="77777777">
            <w:pPr>
              <w:spacing w:after="0" w:line="240" w:lineRule="auto"/>
            </w:pPr>
          </w:p>
        </w:tc>
        <w:tc>
          <w:tcPr>
            <w:tcW w:w="5726" w:type="dxa"/>
            <w:vMerge/>
            <w:shd w:val="clear" w:color="auto" w:fill="E8E8E8"/>
          </w:tcPr>
          <w:p w14:paraId="47192BF6" w14:textId="77777777">
            <w:pPr>
              <w:spacing w:after="0" w:line="240" w:lineRule="auto"/>
            </w:pPr>
          </w:p>
        </w:tc>
        <w:tc>
          <w:tcPr>
            <w:tcW w:w="1417" w:type="dxa"/>
            <w:tcBorders>
              <w:left w:val="single" w:sz="6" w:space="0" w:color="000000"/>
            </w:tcBorders>
          </w:tcPr>
          <w:p w14:paraId="2BB8492C" w14:textId="77777777">
            <w:pPr>
              <w:spacing w:after="0" w:line="240" w:lineRule="auto"/>
            </w:pPr>
          </w:p>
        </w:tc>
      </w:tr>
    </w:tbl>
    <w:p w14:paraId="27E46483" w14:textId="77777777">
      <w:pPr>
        <w:pStyle w:val="Formular"/>
        <w:spacing w:before="80" w:after="60"/>
        <w:jc w:val="right"/>
      </w:pPr>
      <w:r>
        <w:rPr>
          <w:i/>
          <w:iCs/>
        </w:rPr>
        <w:t>(Податке уноси предметни наставник - ментор)</w:t>
      </w:r>
    </w:p>
    <w:tbl>
      <w:tblPr>
        <w:tblW w:w="827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1984"/>
        <w:gridCol w:w="3175"/>
        <w:gridCol w:w="1417"/>
        <w:gridCol w:w="1701"/>
      </w:tblGrid>
      <w:tr w14:paraId="0DD7366E" w14:textId="77777777">
        <w:trPr>
          <w:cantSplit/>
          <w:trHeight w:val="397"/>
          <w:jc w:val="center"/>
        </w:trPr>
        <w:tc>
          <w:tcPr>
            <w:tcW w:w="1984" w:type="dxa"/>
            <w:vAlign w:val="center"/>
          </w:tcPr>
          <w:p w14:paraId="7FF0CF5A" w14:textId="77777777">
            <w:pPr>
              <w:pStyle w:val="Formular"/>
            </w:pPr>
            <w:r>
              <w:t>Студијски програм:</w:t>
            </w:r>
          </w:p>
        </w:tc>
        <w:tc>
          <w:tcPr>
            <w:tcW w:w="6293" w:type="dxa"/>
            <w:gridSpan w:val="3"/>
            <w:vAlign w:val="center"/>
          </w:tcPr>
          <w:p w14:paraId="544FA0C3" w14:textId="77777777">
            <w:pPr>
              <w:pStyle w:val="Formular"/>
            </w:pPr>
            <w:r>
              <w:t>[студијски програм]</w:t>
            </w:r>
          </w:p>
        </w:tc>
      </w:tr>
      <w:tr w14:paraId="7B0AB969" w14:textId="77777777">
        <w:trPr>
          <w:cantSplit/>
          <w:trHeight w:val="312"/>
          <w:jc w:val="center"/>
        </w:trPr>
        <w:tc>
          <w:tcPr>
            <w:tcW w:w="1984" w:type="dxa"/>
            <w:vAlign w:val="center"/>
          </w:tcPr>
          <w:p w14:paraId="144FC86B" w14:textId="77777777">
            <w:pPr>
              <w:pStyle w:val="Formular"/>
            </w:pPr>
            <w:r>
              <w:t>Студент:</w:t>
            </w:r>
          </w:p>
        </w:tc>
        <w:tc>
          <w:tcPr>
            <w:tcW w:w="3175" w:type="dxa"/>
            <w:vAlign w:val="center"/>
          </w:tcPr>
          <w:p w14:paraId="53C87C06" w14:textId="77777777">
            <w:pPr>
              <w:pStyle w:val="Formular"/>
            </w:pPr>
            <w:r>
              <w:t>[Име и презиме]</w:t>
            </w:r>
          </w:p>
        </w:tc>
        <w:tc>
          <w:tcPr>
            <w:tcW w:w="1417" w:type="dxa"/>
            <w:vAlign w:val="center"/>
          </w:tcPr>
          <w:p w14:paraId="4D4AD323" w14:textId="77777777">
            <w:pPr>
              <w:pStyle w:val="Formular"/>
            </w:pPr>
            <w:r>
              <w:t>Број индекса:</w:t>
            </w:r>
          </w:p>
        </w:tc>
        <w:tc>
          <w:tcPr>
            <w:tcW w:w="1701" w:type="dxa"/>
            <w:vAlign w:val="center"/>
          </w:tcPr>
          <w:p w14:paraId="4A92C134" w14:textId="77777777">
            <w:pPr>
              <w:pStyle w:val="Formular"/>
            </w:pPr>
            <w:r>
              <w:rPr>
                <w:lang w:val="en-US"/>
              </w:rPr>
              <w:t xml:space="preserve">[број индекса]</w:t>
            </w:r>
          </w:p>
        </w:tc>
      </w:tr>
      <w:tr w14:paraId="27CA359E" w14:textId="77777777">
        <w:trPr>
          <w:cantSplit/>
          <w:trHeight w:val="397"/>
          <w:jc w:val="center"/>
        </w:trPr>
        <w:tc>
          <w:tcPr>
            <w:tcW w:w="1984" w:type="dxa"/>
            <w:vAlign w:val="center"/>
          </w:tcPr>
          <w:p w14:paraId="6577E2F5" w14:textId="77777777">
            <w:pPr>
              <w:pStyle w:val="Formular"/>
            </w:pPr>
            <w:r>
              <w:t>Степен и врста студија:</w:t>
            </w:r>
          </w:p>
        </w:tc>
        <w:tc>
          <w:tcPr>
            <w:tcW w:w="6293" w:type="dxa"/>
            <w:gridSpan w:val="3"/>
            <w:vAlign w:val="center"/>
          </w:tcPr>
          <w:p w14:paraId="434ACDE9" w14:textId="77777777">
            <w:pPr>
              <w:pStyle w:val="Formular"/>
            </w:pPr>
            <w:r>
              <w:t>Основне академске студије</w:t>
            </w:r>
          </w:p>
        </w:tc>
      </w:tr>
      <w:tr w14:paraId="401069BB" w14:textId="77777777">
        <w:trPr>
          <w:cantSplit/>
          <w:trHeight w:val="312"/>
          <w:jc w:val="center"/>
        </w:trPr>
        <w:tc>
          <w:tcPr>
            <w:tcW w:w="1984" w:type="dxa"/>
            <w:vAlign w:val="center"/>
          </w:tcPr>
          <w:p w14:paraId="1377BD4D" w14:textId="77777777">
            <w:pPr>
              <w:pStyle w:val="Formular"/>
            </w:pPr>
            <w:r>
              <w:t>Област:</w:t>
            </w:r>
          </w:p>
        </w:tc>
        <w:tc>
          <w:tcPr>
            <w:tcW w:w="6293" w:type="dxa"/>
            <w:gridSpan w:val="3"/>
            <w:vAlign w:val="center"/>
          </w:tcPr>
          <w:p w14:paraId="73A5F0B6" w14:textId="77777777">
            <w:pPr>
              <w:pStyle w:val="Formular"/>
            </w:pPr>
            <w:r>
              <w:t>Електротехничко и рачунарско инжењерство</w:t>
            </w:r>
          </w:p>
        </w:tc>
      </w:tr>
      <w:tr w14:paraId="14B76308" w14:textId="77777777">
        <w:trPr>
          <w:cantSplit/>
          <w:trHeight w:val="312"/>
          <w:jc w:val="center"/>
        </w:trPr>
        <w:tc>
          <w:tcPr>
            <w:tcW w:w="1984" w:type="dxa"/>
            <w:vAlign w:val="center"/>
          </w:tcPr>
          <w:p w14:paraId="50B50F43" w14:textId="77777777">
            <w:pPr>
              <w:pStyle w:val="Formular"/>
            </w:pPr>
            <w:r>
              <w:t>Ментор:</w:t>
            </w:r>
          </w:p>
        </w:tc>
        <w:tc>
          <w:tcPr>
            <w:tcW w:w="6293" w:type="dxa"/>
            <w:gridSpan w:val="3"/>
            <w:vAlign w:val="center"/>
          </w:tcPr>
          <w:p w14:paraId="4D175F7F" w14:textId="77777777">
            <w:pPr>
              <w:pStyle w:val="Formular"/>
            </w:pPr>
            <w:r>
              <w:t>проф. др [Име и презиме]</w:t>
            </w:r>
          </w:p>
        </w:tc>
      </w:tr>
      <w:tr w14:paraId="7AD53CE1" w14:textId="77777777">
        <w:trPr>
          <w:cantSplit/>
          <w:trHeight w:val="850"/>
          <w:jc w:val="center"/>
        </w:trPr>
        <w:tc>
          <w:tcPr>
            <w:tcW w:w="8277" w:type="dxa"/>
            <w:gridSpan w:val="4"/>
            <w:shd w:val="clear" w:color="auto" w:fill="E8E8E8"/>
          </w:tcPr>
          <w:p w14:paraId="5A5EDFDA" w14:textId="77777777">
            <w:pPr>
              <w:pStyle w:val="Formular"/>
              <w:jc w:val="center"/>
            </w:pPr>
            <w:r>
              <w:rPr>
                <w:sz w:val="15"/>
                <w:szCs w:val="15"/>
              </w:rPr>
              <w:t>НА ОСНОВУ ПОДНЕТЕ ПРИЈАВЕ, ПРИЛОЖЕНЕ ДОКУМЕНТАЦИЈЕ И ОДРЕДБИ СТАТУТА ФАКУЛТЕТА</w:t>
            </w:r>
          </w:p>
          <w:p w14:paraId="04BEA602" w14:textId="77777777">
            <w:pPr>
              <w:pStyle w:val="Formular"/>
              <w:spacing w:after="40"/>
              <w:jc w:val="center"/>
            </w:pPr>
            <w:r>
              <w:rPr>
                <w:sz w:val="15"/>
                <w:szCs w:val="15"/>
              </w:rPr>
              <w:t>ИЗДАЈЕ СЕ ЗАДАТАК ЗА  ЗАВРШНИ РАД, СА СЛЕДЕЋИМ ЕЛЕМЕНТИМА:</w:t>
            </w:r>
          </w:p>
          <w:p w14:paraId="20F35F37" w14:textId="77777777">
            <w:pPr>
              <w:pStyle w:val="Formular"/>
            </w:pPr>
            <w:r>
              <w:rPr>
                <w:sz w:val="15"/>
                <w:szCs w:val="15"/>
              </w:rPr>
              <w:t>-    проблем – тема рада;</w:t>
            </w:r>
          </w:p>
          <w:p w14:paraId="33987535" w14:textId="77777777">
            <w:pPr>
              <w:pStyle w:val="Formular"/>
            </w:pPr>
            <w:r>
              <w:rPr>
                <w:sz w:val="15"/>
                <w:szCs w:val="15"/>
              </w:rPr>
              <w:t>-    начин решавања проблема и начин практичне провере резултата рада, ако је таква провера неопходна;</w:t>
            </w:r>
          </w:p>
        </w:tc>
      </w:tr>
    </w:tbl>
    <w:p w14:paraId="618D80A4" w14:textId="77777777">
      <w:pPr>
        <w:pStyle w:val="Formular"/>
        <w:spacing w:before="200" w:after="60"/>
      </w:pPr>
      <w:r>
        <w:rPr>
          <w:b/>
          <w:bCs/>
          <w:sz w:val="21"/>
          <w:szCs w:val="21"/>
        </w:rPr>
        <w:t>НАСЛОВ  ЗАВРШНОГ  РАДА:</w:t>
      </w: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57" w:type="dxa"/>
          <w:left w:w="85" w:type="dxa"/>
          <w:bottom w:w="57" w:type="dxa"/>
          <w:right w:w="85" w:type="dxa"/>
        </w:tblCellMar>
        <w:tblLook w:val="04A0" w:firstRow="1" w:lastRow="0" w:firstColumn="1" w:lastColumn="0" w:noHBand="0" w:noVBand="1"/>
      </w:tblPr>
      <w:tblGrid>
        <w:gridCol w:w="8277"/>
      </w:tblGrid>
      <w:tr w14:paraId="1A11BEC8" w14:textId="77777777">
        <w:trPr>
          <w:cantSplit/>
          <w:trHeight w:val="624"/>
          <w:jc w:val="center"/>
        </w:trPr>
        <w:tc>
          <w:tcPr>
            <w:tcW w:w="8277" w:type="dxa"/>
            <w:vAlign w:val="center"/>
          </w:tcPr>
          <w:p w14:paraId="0C8D0BFE" w14:textId="77777777">
            <w:pPr>
              <w:pStyle w:val="Formular"/>
              <w:jc w:val="center"/>
            </w:pPr>
            <w:r>
              <w:rPr>
                <w:sz w:val="19"/>
                <w:szCs w:val="19"/>
              </w:rPr>
              <w:t>Информациони систем за паметно праћење личних трошкова и оптимизацију групних дуговања са симулацијом дигиталних плаћања</w:t>
            </w:r>
          </w:p>
        </w:tc>
      </w:tr>
    </w:tbl>
    <w:p w14:paraId="35D0B847" w14:textId="77777777">
      <w:pPr>
        <w:pStyle w:val="Formular"/>
        <w:spacing w:before="160" w:after="60"/>
      </w:pPr>
      <w:r>
        <w:rPr>
          <w:sz w:val="18"/>
          <w:szCs w:val="18"/>
        </w:rPr>
        <w:t>ТЕКСТ ЗАДАТКА:</w:t>
      </w: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85" w:type="dxa"/>
          <w:left w:w="85" w:type="dxa"/>
          <w:bottom w:w="85" w:type="dxa"/>
          <w:right w:w="85" w:type="dxa"/>
        </w:tblCellMar>
        <w:tblLook w:val="04A0" w:firstRow="1" w:lastRow="0" w:firstColumn="1" w:lastColumn="0" w:noHBand="0" w:noVBand="1"/>
      </w:tblPr>
      <w:tblGrid>
        <w:gridCol w:w="8277"/>
      </w:tblGrid>
      <w:tr w14:paraId="0E1F6E9B" w14:textId="77777777">
        <w:trPr>
          <w:cantSplit/>
          <w:trHeight w:val="2948"/>
          <w:jc w:val="center"/>
        </w:trPr>
        <w:tc>
          <w:tcPr>
            <w:tcW w:w="8277" w:type="dxa"/>
          </w:tcPr>
          <w:p w14:paraId="233A496C" w14:textId="77777777">
            <w:pPr>
              <w:pStyle w:val="Formular"/>
              <w:jc w:val="both"/>
            </w:pPr>
          </w:p>
        </w:tc>
      </w:tr>
    </w:tbl>
    <w:p w14:paraId="66E2F6E4" w14:textId="77777777">
      <w:pPr>
        <w:spacing w:after="160" w:line="20" w:lineRule="exact"/>
      </w:pPr>
    </w:p>
    <w:tbl>
      <w:tblPr>
        <w:tblW w:w="827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4138"/>
        <w:gridCol w:w="4139"/>
      </w:tblGrid>
      <w:tr w14:paraId="0E3F9A3C" w14:textId="77777777">
        <w:trPr>
          <w:cantSplit/>
          <w:trHeight w:val="283"/>
          <w:jc w:val="center"/>
        </w:trPr>
        <w:tc>
          <w:tcPr>
            <w:tcW w:w="4138" w:type="dxa"/>
            <w:vAlign w:val="center"/>
          </w:tcPr>
          <w:p w14:paraId="2C2666B7" w14:textId="77777777">
            <w:pPr>
              <w:pStyle w:val="Formular"/>
            </w:pPr>
            <w:r>
              <w:t>Руководилац студијског програма:</w:t>
            </w:r>
          </w:p>
        </w:tc>
        <w:tc>
          <w:tcPr>
            <w:tcW w:w="4139" w:type="dxa"/>
            <w:vAlign w:val="center"/>
          </w:tcPr>
          <w:p w14:paraId="583F44CF" w14:textId="77777777">
            <w:pPr>
              <w:pStyle w:val="Formular"/>
            </w:pPr>
            <w:r>
              <w:t>Ментор рада:</w:t>
            </w:r>
          </w:p>
        </w:tc>
      </w:tr>
      <w:tr w14:paraId="2E26FE43" w14:textId="77777777">
        <w:trPr>
          <w:cantSplit/>
          <w:trHeight w:val="510"/>
          <w:jc w:val="center"/>
        </w:trPr>
        <w:tc>
          <w:tcPr>
            <w:tcW w:w="4138" w:type="dxa"/>
          </w:tcPr>
          <w:p w14:paraId="390CABE4" w14:textId="77777777">
            <w:pPr>
              <w:spacing w:after="0" w:line="240" w:lineRule="auto"/>
            </w:pPr>
          </w:p>
        </w:tc>
        <w:tc>
          <w:tcPr>
            <w:tcW w:w="4139" w:type="dxa"/>
          </w:tcPr>
          <w:p w14:paraId="362B173B" w14:textId="77777777">
            <w:pPr>
              <w:spacing w:after="0" w:line="240" w:lineRule="auto"/>
            </w:pPr>
          </w:p>
        </w:tc>
      </w:tr>
    </w:tbl>
    <w:p w14:paraId="28F5234A" w14:textId="77777777">
      <w:pPr>
        <w:spacing w:after="100" w:line="20" w:lineRule="exact"/>
      </w:pP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8277"/>
      </w:tblGrid>
      <w:tr w14:paraId="3B7A930D" w14:textId="77777777">
        <w:trPr>
          <w:cantSplit/>
          <w:trHeight w:val="312"/>
          <w:jc w:val="center"/>
        </w:trPr>
        <w:tc>
          <w:tcPr>
            <w:tcW w:w="8277" w:type="dxa"/>
            <w:vAlign w:val="center"/>
          </w:tcPr>
          <w:p w14:paraId="5F578447" w14:textId="77777777">
            <w:pPr>
              <w:pStyle w:val="Formular"/>
            </w:pPr>
            <w:r>
              <w:t>Примерак за:   ☐ - Студента;   ☐ - Ментора</w:t>
            </w:r>
          </w:p>
        </w:tc>
      </w:tr>
    </w:tbl>
    <w:p w14:paraId="68682BD8" w14:textId="77777777">
      <w:pPr>
        <w:pStyle w:val="Formular"/>
        <w:spacing w:before="120"/>
        <w:jc w:val="right"/>
        <w:rPr>
          <w:sz w:val="15"/>
          <w:szCs w:val="15"/>
        </w:rPr>
      </w:pPr>
      <w:r>
        <w:rPr>
          <w:sz w:val="15"/>
          <w:szCs w:val="15"/>
        </w:rPr>
        <w:t xml:space="preserve">Образац </w:t>
      </w:r>
      <w:r>
        <w:rPr>
          <w:b/>
          <w:bCs/>
          <w:sz w:val="15"/>
          <w:szCs w:val="15"/>
        </w:rPr>
        <w:t>Q2.НА.04-03</w:t>
      </w:r>
      <w:r>
        <w:rPr>
          <w:sz w:val="15"/>
          <w:szCs w:val="15"/>
        </w:rPr>
        <w:t xml:space="preserve"> - Издање 1</w:t>
      </w:r>
    </w:p>
    <w:p w14:paraId="7F66DA4D" w14:textId="77777777">
      <w:pPr>
        <w:spacing w:after="0" w:line="20" w:lineRule="exact"/>
        <w:rPr>
          <w:sz w:val="2"/>
        </w:rPr>
        <w:sectPr>
          <w:type w:val="oddPage"/>
          <w:pgSz w:w="9978" w:h="14173"/>
          <w:pgMar w:top="1134" w:right="850" w:bottom="1134" w:left="850" w:header="567" w:footer="992" w:gutter="0"/>
          <w:cols w:space="708"/>
          <w:docGrid w:linePitch="360"/>
        </w:sectPr>
      </w:pP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34"/>
        <w:gridCol w:w="7143"/>
      </w:tblGrid>
      <w:tr w14:paraId="62F959BC" w14:textId="77777777">
        <w:trPr>
          <w:cantSplit/>
          <w:trHeight w:val="567"/>
          <w:jc w:val="center"/>
        </w:trPr>
        <w:tc>
          <w:tcPr>
            <w:tcW w:w="1134" w:type="dxa"/>
            <w:vMerge w:val="restart"/>
            <w:tcBorders>
              <w:right w:val="single" w:sz="6" w:space="0" w:color="000000"/>
            </w:tcBorders>
            <w:vAlign w:val="center"/>
          </w:tcPr>
          <w:p w14:paraId="27D1BE33" w14:textId="77777777">
            <w:pPr>
              <w:pStyle w:val="Formular"/>
              <w:jc w:val="center"/>
            </w:pPr>
            <w:r>
              <w:rPr>
                <w:noProof/>
              </w:rPr>
              <w:lastRenderedPageBreak/>
              <w:drawing>
                <wp:inline distT="0" distB="0" distL="0" distR="0" wp14:anchorId="6E1EBC09" wp14:editId="2C20949D">
                  <wp:extent cx="540000" cy="590400"/>
                  <wp:effectExtent l="0" t="0" r="0" b="0"/>
                  <wp:docPr id="104"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ФТН лого"/>
                          <pic:cNvPicPr/>
                        </pic:nvPicPr>
                        <pic:blipFill>
                          <a:blip r:embed="rId15"/>
                          <a:stretch>
                            <a:fillRect/>
                          </a:stretch>
                        </pic:blipFill>
                        <pic:spPr>
                          <a:xfrm>
                            <a:off x="0" y="0"/>
                            <a:ext cx="540000" cy="590400"/>
                          </a:xfrm>
                          <a:prstGeom prst="rect">
                            <a:avLst/>
                          </a:prstGeom>
                        </pic:spPr>
                      </pic:pic>
                    </a:graphicData>
                  </a:graphic>
                </wp:inline>
              </w:drawing>
            </w:r>
          </w:p>
        </w:tc>
        <w:tc>
          <w:tcPr>
            <w:tcW w:w="7143" w:type="dxa"/>
            <w:tcBorders>
              <w:bottom w:val="single" w:sz="6" w:space="0" w:color="000000"/>
            </w:tcBorders>
            <w:vAlign w:val="center"/>
          </w:tcPr>
          <w:p w14:paraId="347A78AE" w14:textId="77777777">
            <w:pPr>
              <w:pStyle w:val="Formular"/>
              <w:jc w:val="center"/>
            </w:pPr>
            <w:r>
              <w:rPr>
                <w:sz w:val="17"/>
                <w:szCs w:val="17"/>
              </w:rPr>
              <w:t xml:space="preserve">УНИВЕРЗИТЕТ У НОВОМ САДУ  ●  </w:t>
            </w:r>
            <w:r>
              <w:rPr>
                <w:b/>
                <w:bCs/>
                <w:sz w:val="17"/>
                <w:szCs w:val="17"/>
              </w:rPr>
              <w:t>ФАКУЛТЕТ ТЕХНИЧКИХ НАУКА</w:t>
            </w:r>
          </w:p>
          <w:p w14:paraId="59746FFE" w14:textId="77777777">
            <w:pPr>
              <w:pStyle w:val="Formular"/>
              <w:jc w:val="center"/>
            </w:pPr>
            <w:r>
              <w:rPr>
                <w:spacing w:val="12"/>
              </w:rPr>
              <w:t>21000 НОВИ САД, Трг Доситеја Обрадовића 6</w:t>
            </w:r>
          </w:p>
        </w:tc>
      </w:tr>
      <w:tr w14:paraId="2390C2A0" w14:textId="77777777">
        <w:trPr>
          <w:cantSplit/>
          <w:trHeight w:val="567"/>
          <w:jc w:val="center"/>
        </w:trPr>
        <w:tc>
          <w:tcPr>
            <w:tcW w:w="1134" w:type="dxa"/>
            <w:vMerge/>
            <w:tcBorders>
              <w:right w:val="single" w:sz="6" w:space="0" w:color="000000"/>
            </w:tcBorders>
          </w:tcPr>
          <w:p w14:paraId="12F461CF" w14:textId="77777777">
            <w:pPr>
              <w:spacing w:after="0" w:line="240" w:lineRule="auto"/>
            </w:pPr>
          </w:p>
        </w:tc>
        <w:tc>
          <w:tcPr>
            <w:tcW w:w="7143" w:type="dxa"/>
            <w:shd w:val="clear" w:color="auto" w:fill="E8E8E8"/>
            <w:vAlign w:val="center"/>
          </w:tcPr>
          <w:p w14:paraId="4458F3E0" w14:textId="77777777">
            <w:pPr>
              <w:pStyle w:val="Formular"/>
              <w:spacing w:before="60" w:after="60"/>
              <w:jc w:val="center"/>
            </w:pPr>
            <w:r>
              <w:rPr>
                <w:b/>
                <w:bCs/>
                <w:sz w:val="22"/>
                <w:szCs w:val="22"/>
              </w:rPr>
              <w:t>КЉУЧНА ДОКУМЕНТАЦИЈСКА ИНФОРМАЦИЈА</w:t>
            </w:r>
          </w:p>
        </w:tc>
      </w:tr>
    </w:tbl>
    <w:p w14:paraId="03873D55" w14:textId="77777777">
      <w:pPr>
        <w:spacing w:after="60" w:line="20" w:lineRule="exact"/>
      </w:pPr>
    </w:p>
    <w:tbl>
      <w:tblPr>
        <w:tblW w:w="8277" w:type="dxa"/>
        <w:jc w:val="center"/>
        <w:tblLayout w:type="fixed"/>
        <w:tblCellMar>
          <w:top w:w="8" w:type="dxa"/>
          <w:left w:w="28" w:type="dxa"/>
          <w:bottom w:w="8" w:type="dxa"/>
          <w:right w:w="57" w:type="dxa"/>
        </w:tblCellMar>
        <w:tblLook w:val="04A0" w:firstRow="1" w:lastRow="0" w:firstColumn="1" w:lastColumn="0" w:noHBand="0" w:noVBand="1"/>
      </w:tblPr>
      <w:tblGrid>
        <w:gridCol w:w="1841"/>
        <w:gridCol w:w="1418"/>
        <w:gridCol w:w="2978"/>
        <w:gridCol w:w="2040"/>
      </w:tblGrid>
      <w:tr w14:paraId="17222C7D" w14:textId="77777777">
        <w:trPr>
          <w:cantSplit/>
          <w:trHeight w:val="249"/>
          <w:jc w:val="center"/>
        </w:trPr>
        <w:tc>
          <w:tcPr>
            <w:tcW w:w="3259" w:type="dxa"/>
            <w:gridSpan w:val="2"/>
            <w:tcBorders>
              <w:top w:val="single" w:sz="12" w:space="0" w:color="000000"/>
              <w:bottom w:val="dashSmallGap" w:sz="4" w:space="0" w:color="000000"/>
              <w:right w:val="dashSmallGap" w:sz="4" w:space="0" w:color="000000"/>
            </w:tcBorders>
          </w:tcPr>
          <w:p w14:paraId="7648AB1C" w14:textId="77777777">
            <w:pPr>
              <w:pStyle w:val="Formular"/>
            </w:pPr>
            <w:r>
              <w:t xml:space="preserve">Редни број, </w:t>
            </w:r>
            <w:r>
              <w:rPr>
                <w:b/>
                <w:bCs/>
              </w:rPr>
              <w:t>РБР</w:t>
            </w:r>
            <w:r>
              <w:t>:</w:t>
            </w:r>
          </w:p>
        </w:tc>
        <w:tc>
          <w:tcPr>
            <w:tcW w:w="5018" w:type="dxa"/>
            <w:gridSpan w:val="2"/>
            <w:tcBorders>
              <w:top w:val="single" w:sz="12" w:space="0" w:color="000000"/>
              <w:bottom w:val="dashSmallGap" w:sz="4" w:space="0" w:color="000000"/>
            </w:tcBorders>
          </w:tcPr>
          <w:p w14:paraId="5CD94B14" w14:textId="77777777">
            <w:pPr>
              <w:pStyle w:val="Formular"/>
            </w:pPr>
          </w:p>
        </w:tc>
      </w:tr>
      <w:tr w14:paraId="10030348" w14:textId="77777777">
        <w:trPr>
          <w:cantSplit/>
          <w:trHeight w:val="249"/>
          <w:jc w:val="center"/>
        </w:trPr>
        <w:tc>
          <w:tcPr>
            <w:tcW w:w="3259" w:type="dxa"/>
            <w:gridSpan w:val="2"/>
            <w:tcBorders>
              <w:bottom w:val="dashSmallGap" w:sz="4" w:space="0" w:color="000000"/>
              <w:right w:val="dashSmallGap" w:sz="4" w:space="0" w:color="000000"/>
            </w:tcBorders>
          </w:tcPr>
          <w:p w14:paraId="1511724F" w14:textId="77777777">
            <w:pPr>
              <w:pStyle w:val="Formular"/>
            </w:pPr>
            <w:r>
              <w:t xml:space="preserve">Идентификациони број, </w:t>
            </w:r>
            <w:r>
              <w:rPr>
                <w:b/>
                <w:bCs/>
              </w:rPr>
              <w:t>ИБР</w:t>
            </w:r>
            <w:r>
              <w:t>:</w:t>
            </w:r>
          </w:p>
        </w:tc>
        <w:tc>
          <w:tcPr>
            <w:tcW w:w="5018" w:type="dxa"/>
            <w:gridSpan w:val="2"/>
            <w:tcBorders>
              <w:bottom w:val="dashSmallGap" w:sz="4" w:space="0" w:color="000000"/>
            </w:tcBorders>
          </w:tcPr>
          <w:p w14:paraId="595AEB55" w14:textId="77777777">
            <w:pPr>
              <w:pStyle w:val="Formular"/>
            </w:pPr>
          </w:p>
        </w:tc>
      </w:tr>
      <w:tr w14:paraId="71D07CE4" w14:textId="77777777">
        <w:trPr>
          <w:cantSplit/>
          <w:trHeight w:val="249"/>
          <w:jc w:val="center"/>
        </w:trPr>
        <w:tc>
          <w:tcPr>
            <w:tcW w:w="3259" w:type="dxa"/>
            <w:gridSpan w:val="2"/>
            <w:tcBorders>
              <w:bottom w:val="dashSmallGap" w:sz="4" w:space="0" w:color="000000"/>
              <w:right w:val="dashSmallGap" w:sz="4" w:space="0" w:color="000000"/>
            </w:tcBorders>
          </w:tcPr>
          <w:p w14:paraId="5EA1AE1B" w14:textId="77777777">
            <w:pPr>
              <w:pStyle w:val="Formular"/>
            </w:pPr>
            <w:r>
              <w:t xml:space="preserve">Тип документације, </w:t>
            </w:r>
            <w:r>
              <w:rPr>
                <w:b/>
                <w:bCs/>
              </w:rPr>
              <w:t>ТД</w:t>
            </w:r>
            <w:r>
              <w:t>:</w:t>
            </w:r>
          </w:p>
        </w:tc>
        <w:tc>
          <w:tcPr>
            <w:tcW w:w="5018" w:type="dxa"/>
            <w:gridSpan w:val="2"/>
            <w:tcBorders>
              <w:bottom w:val="dashSmallGap" w:sz="4" w:space="0" w:color="000000"/>
            </w:tcBorders>
          </w:tcPr>
          <w:p w14:paraId="7BA1308D" w14:textId="77777777">
            <w:pPr>
              <w:pStyle w:val="Formular"/>
            </w:pPr>
            <w:r>
              <w:t>Монографска документација</w:t>
            </w:r>
          </w:p>
        </w:tc>
      </w:tr>
      <w:tr w14:paraId="604FACEE" w14:textId="77777777">
        <w:trPr>
          <w:cantSplit/>
          <w:trHeight w:val="249"/>
          <w:jc w:val="center"/>
        </w:trPr>
        <w:tc>
          <w:tcPr>
            <w:tcW w:w="3259" w:type="dxa"/>
            <w:gridSpan w:val="2"/>
            <w:tcBorders>
              <w:bottom w:val="dashSmallGap" w:sz="4" w:space="0" w:color="000000"/>
              <w:right w:val="dashSmallGap" w:sz="4" w:space="0" w:color="000000"/>
            </w:tcBorders>
          </w:tcPr>
          <w:p w14:paraId="665437C7" w14:textId="77777777">
            <w:pPr>
              <w:pStyle w:val="Formular"/>
            </w:pPr>
            <w:r>
              <w:t xml:space="preserve">Тип записа, </w:t>
            </w:r>
            <w:r>
              <w:rPr>
                <w:b/>
                <w:bCs/>
              </w:rPr>
              <w:t>ТЗ</w:t>
            </w:r>
            <w:r>
              <w:t>:</w:t>
            </w:r>
          </w:p>
        </w:tc>
        <w:tc>
          <w:tcPr>
            <w:tcW w:w="5018" w:type="dxa"/>
            <w:gridSpan w:val="2"/>
            <w:tcBorders>
              <w:bottom w:val="dashSmallGap" w:sz="4" w:space="0" w:color="000000"/>
            </w:tcBorders>
          </w:tcPr>
          <w:p w14:paraId="47ECBE5C" w14:textId="77777777">
            <w:pPr>
              <w:pStyle w:val="Formular"/>
            </w:pPr>
            <w:r>
              <w:t>Текстуални штампани материјал</w:t>
            </w:r>
          </w:p>
        </w:tc>
      </w:tr>
      <w:tr w14:paraId="3BCC3BFF" w14:textId="77777777">
        <w:trPr>
          <w:cantSplit/>
          <w:trHeight w:val="249"/>
          <w:jc w:val="center"/>
        </w:trPr>
        <w:tc>
          <w:tcPr>
            <w:tcW w:w="3259" w:type="dxa"/>
            <w:gridSpan w:val="2"/>
            <w:tcBorders>
              <w:bottom w:val="dashSmallGap" w:sz="4" w:space="0" w:color="000000"/>
              <w:right w:val="dashSmallGap" w:sz="4" w:space="0" w:color="000000"/>
            </w:tcBorders>
          </w:tcPr>
          <w:p w14:paraId="6BAA1AAC" w14:textId="77777777">
            <w:pPr>
              <w:pStyle w:val="Formular"/>
            </w:pPr>
            <w:r>
              <w:t xml:space="preserve">Врста рада, </w:t>
            </w:r>
            <w:r>
              <w:rPr>
                <w:b/>
                <w:bCs/>
              </w:rPr>
              <w:t>ВР</w:t>
            </w:r>
            <w:r>
              <w:t>:</w:t>
            </w:r>
          </w:p>
        </w:tc>
        <w:tc>
          <w:tcPr>
            <w:tcW w:w="5018" w:type="dxa"/>
            <w:gridSpan w:val="2"/>
            <w:tcBorders>
              <w:bottom w:val="dashSmallGap" w:sz="4" w:space="0" w:color="000000"/>
            </w:tcBorders>
          </w:tcPr>
          <w:p w14:paraId="77CE2E1E" w14:textId="77777777">
            <w:pPr>
              <w:pStyle w:val="Formular"/>
            </w:pPr>
            <w:r>
              <w:t>Дипломски - бечелор рад</w:t>
            </w:r>
          </w:p>
        </w:tc>
      </w:tr>
      <w:tr w14:paraId="24C7D1A8" w14:textId="77777777">
        <w:trPr>
          <w:cantSplit/>
          <w:trHeight w:val="249"/>
          <w:jc w:val="center"/>
        </w:trPr>
        <w:tc>
          <w:tcPr>
            <w:tcW w:w="3259" w:type="dxa"/>
            <w:gridSpan w:val="2"/>
            <w:tcBorders>
              <w:bottom w:val="dashSmallGap" w:sz="4" w:space="0" w:color="000000"/>
              <w:right w:val="dashSmallGap" w:sz="4" w:space="0" w:color="000000"/>
            </w:tcBorders>
          </w:tcPr>
          <w:p w14:paraId="25266C4C" w14:textId="77777777">
            <w:pPr>
              <w:pStyle w:val="Formular"/>
            </w:pPr>
            <w:r>
              <w:t xml:space="preserve">Аутор, </w:t>
            </w:r>
            <w:r>
              <w:rPr>
                <w:b/>
                <w:bCs/>
              </w:rPr>
              <w:t>АУ</w:t>
            </w:r>
            <w:r>
              <w:t>:</w:t>
            </w:r>
          </w:p>
        </w:tc>
        <w:tc>
          <w:tcPr>
            <w:tcW w:w="5018" w:type="dxa"/>
            <w:gridSpan w:val="2"/>
            <w:tcBorders>
              <w:bottom w:val="dashSmallGap" w:sz="4" w:space="0" w:color="000000"/>
            </w:tcBorders>
          </w:tcPr>
          <w:p w14:paraId="4E155E19" w14:textId="77777777">
            <w:pPr>
              <w:pStyle w:val="Formular"/>
            </w:pPr>
            <w:r>
              <w:t>[Име и презиме]</w:t>
            </w:r>
          </w:p>
        </w:tc>
      </w:tr>
      <w:tr w14:paraId="4046A8E7" w14:textId="77777777">
        <w:trPr>
          <w:cantSplit/>
          <w:trHeight w:val="249"/>
          <w:jc w:val="center"/>
        </w:trPr>
        <w:tc>
          <w:tcPr>
            <w:tcW w:w="3259" w:type="dxa"/>
            <w:gridSpan w:val="2"/>
            <w:tcBorders>
              <w:bottom w:val="dashSmallGap" w:sz="4" w:space="0" w:color="000000"/>
              <w:right w:val="dashSmallGap" w:sz="4" w:space="0" w:color="000000"/>
            </w:tcBorders>
          </w:tcPr>
          <w:p w14:paraId="20C2D514" w14:textId="77777777">
            <w:pPr>
              <w:pStyle w:val="Formular"/>
            </w:pPr>
            <w:r>
              <w:t xml:space="preserve">Ментор, </w:t>
            </w:r>
            <w:r>
              <w:rPr>
                <w:b/>
                <w:bCs/>
              </w:rPr>
              <w:t>МН</w:t>
            </w:r>
            <w:r>
              <w:t>:</w:t>
            </w:r>
          </w:p>
        </w:tc>
        <w:tc>
          <w:tcPr>
            <w:tcW w:w="5018" w:type="dxa"/>
            <w:gridSpan w:val="2"/>
            <w:tcBorders>
              <w:bottom w:val="dashSmallGap" w:sz="4" w:space="0" w:color="000000"/>
            </w:tcBorders>
          </w:tcPr>
          <w:p w14:paraId="6D7518D6" w14:textId="77777777">
            <w:pPr>
              <w:pStyle w:val="Formular"/>
            </w:pPr>
            <w:r>
              <w:t>др [Име и презиме], [звање]</w:t>
            </w:r>
          </w:p>
        </w:tc>
      </w:tr>
      <w:tr w14:paraId="5DE0E7D6" w14:textId="77777777">
        <w:trPr>
          <w:cantSplit/>
          <w:trHeight w:val="425"/>
          <w:jc w:val="center"/>
        </w:trPr>
        <w:tc>
          <w:tcPr>
            <w:tcW w:w="3259" w:type="dxa"/>
            <w:gridSpan w:val="2"/>
            <w:tcBorders>
              <w:bottom w:val="dashSmallGap" w:sz="4" w:space="0" w:color="000000"/>
              <w:right w:val="dashSmallGap" w:sz="4" w:space="0" w:color="000000"/>
            </w:tcBorders>
          </w:tcPr>
          <w:p w14:paraId="71CA73C4" w14:textId="77777777">
            <w:pPr>
              <w:pStyle w:val="Formular"/>
            </w:pPr>
            <w:r>
              <w:t xml:space="preserve">Наслов рада, </w:t>
            </w:r>
            <w:r>
              <w:rPr>
                <w:b/>
                <w:bCs/>
              </w:rPr>
              <w:t>НР</w:t>
            </w:r>
            <w:r>
              <w:t>:</w:t>
            </w:r>
          </w:p>
        </w:tc>
        <w:tc>
          <w:tcPr>
            <w:tcW w:w="5018" w:type="dxa"/>
            <w:gridSpan w:val="2"/>
            <w:tcBorders>
              <w:bottom w:val="dashSmallGap" w:sz="4" w:space="0" w:color="000000"/>
            </w:tcBorders>
          </w:tcPr>
          <w:p w14:paraId="7EC81BD6" w14:textId="77777777">
            <w:pPr>
              <w:pStyle w:val="Formular"/>
            </w:pPr>
            <w:r>
              <w:t>Информациони систем за паметно праћење личних трошкова и оптимизацију групних дуговања са симулацијом дигиталних плаћања</w:t>
            </w:r>
          </w:p>
        </w:tc>
      </w:tr>
      <w:tr w14:paraId="3877ECDF" w14:textId="77777777">
        <w:trPr>
          <w:cantSplit/>
          <w:trHeight w:val="249"/>
          <w:jc w:val="center"/>
        </w:trPr>
        <w:tc>
          <w:tcPr>
            <w:tcW w:w="3259" w:type="dxa"/>
            <w:gridSpan w:val="2"/>
            <w:tcBorders>
              <w:bottom w:val="dashSmallGap" w:sz="4" w:space="0" w:color="000000"/>
              <w:right w:val="dashSmallGap" w:sz="4" w:space="0" w:color="000000"/>
            </w:tcBorders>
          </w:tcPr>
          <w:p w14:paraId="182AE9C4" w14:textId="77777777">
            <w:pPr>
              <w:pStyle w:val="Formular"/>
            </w:pPr>
            <w:r>
              <w:t xml:space="preserve">Језик публикације, </w:t>
            </w:r>
            <w:r>
              <w:rPr>
                <w:b/>
                <w:bCs/>
              </w:rPr>
              <w:t>ЈП</w:t>
            </w:r>
            <w:r>
              <w:t>:</w:t>
            </w:r>
          </w:p>
        </w:tc>
        <w:tc>
          <w:tcPr>
            <w:tcW w:w="5018" w:type="dxa"/>
            <w:gridSpan w:val="2"/>
            <w:tcBorders>
              <w:bottom w:val="dashSmallGap" w:sz="4" w:space="0" w:color="000000"/>
            </w:tcBorders>
          </w:tcPr>
          <w:p w14:paraId="4156C2B2" w14:textId="77777777">
            <w:pPr>
              <w:pStyle w:val="Formular"/>
            </w:pPr>
            <w:r>
              <w:t>српски / ћирилица</w:t>
            </w:r>
          </w:p>
        </w:tc>
      </w:tr>
      <w:tr w14:paraId="4722F112" w14:textId="77777777">
        <w:trPr>
          <w:cantSplit/>
          <w:trHeight w:val="249"/>
          <w:jc w:val="center"/>
        </w:trPr>
        <w:tc>
          <w:tcPr>
            <w:tcW w:w="3259" w:type="dxa"/>
            <w:gridSpan w:val="2"/>
            <w:tcBorders>
              <w:bottom w:val="dashSmallGap" w:sz="4" w:space="0" w:color="000000"/>
              <w:right w:val="dashSmallGap" w:sz="4" w:space="0" w:color="000000"/>
            </w:tcBorders>
          </w:tcPr>
          <w:p w14:paraId="6BC7086B" w14:textId="77777777">
            <w:pPr>
              <w:pStyle w:val="Formular"/>
            </w:pPr>
            <w:r>
              <w:t xml:space="preserve">Језик извода, </w:t>
            </w:r>
            <w:r>
              <w:rPr>
                <w:b/>
                <w:bCs/>
              </w:rPr>
              <w:t>ЈИ</w:t>
            </w:r>
            <w:r>
              <w:t>:</w:t>
            </w:r>
          </w:p>
        </w:tc>
        <w:tc>
          <w:tcPr>
            <w:tcW w:w="5018" w:type="dxa"/>
            <w:gridSpan w:val="2"/>
            <w:tcBorders>
              <w:bottom w:val="dashSmallGap" w:sz="4" w:space="0" w:color="000000"/>
            </w:tcBorders>
          </w:tcPr>
          <w:p w14:paraId="4D9ACFCE" w14:textId="77777777">
            <w:pPr>
              <w:pStyle w:val="Formular"/>
            </w:pPr>
            <w:r>
              <w:t>српски / енглески</w:t>
            </w:r>
          </w:p>
        </w:tc>
      </w:tr>
      <w:tr w14:paraId="4B088C94" w14:textId="77777777">
        <w:trPr>
          <w:cantSplit/>
          <w:trHeight w:val="249"/>
          <w:jc w:val="center"/>
        </w:trPr>
        <w:tc>
          <w:tcPr>
            <w:tcW w:w="3259" w:type="dxa"/>
            <w:gridSpan w:val="2"/>
            <w:tcBorders>
              <w:bottom w:val="dashSmallGap" w:sz="4" w:space="0" w:color="000000"/>
              <w:right w:val="dashSmallGap" w:sz="4" w:space="0" w:color="000000"/>
            </w:tcBorders>
          </w:tcPr>
          <w:p w14:paraId="22871436" w14:textId="77777777">
            <w:pPr>
              <w:pStyle w:val="Formular"/>
            </w:pPr>
            <w:r>
              <w:t xml:space="preserve">Земља публиковања, </w:t>
            </w:r>
            <w:r>
              <w:rPr>
                <w:b/>
                <w:bCs/>
              </w:rPr>
              <w:t>ЗП</w:t>
            </w:r>
            <w:r>
              <w:t>:</w:t>
            </w:r>
          </w:p>
        </w:tc>
        <w:tc>
          <w:tcPr>
            <w:tcW w:w="5018" w:type="dxa"/>
            <w:gridSpan w:val="2"/>
            <w:tcBorders>
              <w:bottom w:val="dashSmallGap" w:sz="4" w:space="0" w:color="000000"/>
            </w:tcBorders>
          </w:tcPr>
          <w:p w14:paraId="331F18D6" w14:textId="77777777">
            <w:pPr>
              <w:pStyle w:val="Formular"/>
            </w:pPr>
            <w:r>
              <w:t>Република Србија</w:t>
            </w:r>
          </w:p>
        </w:tc>
      </w:tr>
      <w:tr w14:paraId="686FA742" w14:textId="77777777">
        <w:trPr>
          <w:cantSplit/>
          <w:trHeight w:val="249"/>
          <w:jc w:val="center"/>
        </w:trPr>
        <w:tc>
          <w:tcPr>
            <w:tcW w:w="3259" w:type="dxa"/>
            <w:gridSpan w:val="2"/>
            <w:tcBorders>
              <w:bottom w:val="dashSmallGap" w:sz="4" w:space="0" w:color="000000"/>
              <w:right w:val="dashSmallGap" w:sz="4" w:space="0" w:color="000000"/>
            </w:tcBorders>
          </w:tcPr>
          <w:p w14:paraId="2205E482" w14:textId="77777777">
            <w:pPr>
              <w:pStyle w:val="Formular"/>
            </w:pPr>
            <w:r>
              <w:t xml:space="preserve">Уже географско подручје, </w:t>
            </w:r>
            <w:r>
              <w:rPr>
                <w:b/>
                <w:bCs/>
              </w:rPr>
              <w:t>УГП</w:t>
            </w:r>
            <w:r>
              <w:t>:</w:t>
            </w:r>
          </w:p>
        </w:tc>
        <w:tc>
          <w:tcPr>
            <w:tcW w:w="5018" w:type="dxa"/>
            <w:gridSpan w:val="2"/>
            <w:tcBorders>
              <w:bottom w:val="dashSmallGap" w:sz="4" w:space="0" w:color="000000"/>
            </w:tcBorders>
          </w:tcPr>
          <w:p w14:paraId="571C016D" w14:textId="77777777">
            <w:pPr>
              <w:pStyle w:val="Formular"/>
            </w:pPr>
            <w:r>
              <w:t>Војводина</w:t>
            </w:r>
          </w:p>
        </w:tc>
      </w:tr>
      <w:tr w14:paraId="231AA261" w14:textId="77777777">
        <w:trPr>
          <w:cantSplit/>
          <w:trHeight w:val="249"/>
          <w:jc w:val="center"/>
        </w:trPr>
        <w:tc>
          <w:tcPr>
            <w:tcW w:w="3259" w:type="dxa"/>
            <w:gridSpan w:val="2"/>
            <w:tcBorders>
              <w:bottom w:val="dashSmallGap" w:sz="4" w:space="0" w:color="000000"/>
              <w:right w:val="dashSmallGap" w:sz="4" w:space="0" w:color="000000"/>
            </w:tcBorders>
          </w:tcPr>
          <w:p w14:paraId="1E708810" w14:textId="77777777">
            <w:pPr>
              <w:pStyle w:val="Formular"/>
            </w:pPr>
            <w:r>
              <w:t xml:space="preserve">Година, </w:t>
            </w:r>
            <w:r>
              <w:rPr>
                <w:b/>
                <w:bCs/>
              </w:rPr>
              <w:t>ГО</w:t>
            </w:r>
            <w:r>
              <w:t>:</w:t>
            </w:r>
          </w:p>
        </w:tc>
        <w:tc>
          <w:tcPr>
            <w:tcW w:w="5018" w:type="dxa"/>
            <w:gridSpan w:val="2"/>
            <w:tcBorders>
              <w:bottom w:val="dashSmallGap" w:sz="4" w:space="0" w:color="000000"/>
            </w:tcBorders>
          </w:tcPr>
          <w:p w14:paraId="5E2095AB" w14:textId="77777777">
            <w:pPr>
              <w:pStyle w:val="Formular"/>
            </w:pPr>
            <w:r>
              <w:t>[година]</w:t>
            </w:r>
          </w:p>
        </w:tc>
      </w:tr>
      <w:tr w14:paraId="5607767A" w14:textId="77777777">
        <w:trPr>
          <w:cantSplit/>
          <w:trHeight w:val="249"/>
          <w:jc w:val="center"/>
        </w:trPr>
        <w:tc>
          <w:tcPr>
            <w:tcW w:w="3259" w:type="dxa"/>
            <w:gridSpan w:val="2"/>
            <w:tcBorders>
              <w:bottom w:val="dashSmallGap" w:sz="4" w:space="0" w:color="000000"/>
              <w:right w:val="dashSmallGap" w:sz="4" w:space="0" w:color="000000"/>
            </w:tcBorders>
          </w:tcPr>
          <w:p w14:paraId="4FD4343C" w14:textId="77777777">
            <w:pPr>
              <w:pStyle w:val="Formular"/>
            </w:pPr>
            <w:r>
              <w:t xml:space="preserve">Издавач, </w:t>
            </w:r>
            <w:r>
              <w:rPr>
                <w:b/>
                <w:bCs/>
              </w:rPr>
              <w:t>ИЗ</w:t>
            </w:r>
            <w:r>
              <w:t>:</w:t>
            </w:r>
          </w:p>
        </w:tc>
        <w:tc>
          <w:tcPr>
            <w:tcW w:w="5018" w:type="dxa"/>
            <w:gridSpan w:val="2"/>
            <w:tcBorders>
              <w:bottom w:val="dashSmallGap" w:sz="4" w:space="0" w:color="000000"/>
            </w:tcBorders>
          </w:tcPr>
          <w:p w14:paraId="1AE4C933" w14:textId="77777777">
            <w:pPr>
              <w:pStyle w:val="Formular"/>
            </w:pPr>
            <w:r>
              <w:t>Ауторски репринт</w:t>
            </w:r>
          </w:p>
        </w:tc>
      </w:tr>
      <w:tr w14:paraId="5A2859A2" w14:textId="77777777">
        <w:trPr>
          <w:cantSplit/>
          <w:trHeight w:val="249"/>
          <w:jc w:val="center"/>
        </w:trPr>
        <w:tc>
          <w:tcPr>
            <w:tcW w:w="3259" w:type="dxa"/>
            <w:gridSpan w:val="2"/>
            <w:tcBorders>
              <w:bottom w:val="dashSmallGap" w:sz="4" w:space="0" w:color="000000"/>
              <w:right w:val="dashSmallGap" w:sz="4" w:space="0" w:color="000000"/>
            </w:tcBorders>
          </w:tcPr>
          <w:p w14:paraId="77591510" w14:textId="77777777">
            <w:pPr>
              <w:pStyle w:val="Formular"/>
            </w:pPr>
            <w:r>
              <w:t xml:space="preserve">Место и адреса, </w:t>
            </w:r>
            <w:r>
              <w:rPr>
                <w:b/>
                <w:bCs/>
              </w:rPr>
              <w:t>МА</w:t>
            </w:r>
            <w:r>
              <w:t>:</w:t>
            </w:r>
          </w:p>
        </w:tc>
        <w:tc>
          <w:tcPr>
            <w:tcW w:w="5018" w:type="dxa"/>
            <w:gridSpan w:val="2"/>
            <w:tcBorders>
              <w:bottom w:val="dashSmallGap" w:sz="4" w:space="0" w:color="000000"/>
            </w:tcBorders>
          </w:tcPr>
          <w:p w14:paraId="2F89F27C" w14:textId="77777777">
            <w:pPr>
              <w:pStyle w:val="Formular"/>
            </w:pPr>
            <w:r>
              <w:t>Нови Сад, Трг Доситеја Обрадовића 6</w:t>
            </w:r>
          </w:p>
        </w:tc>
      </w:tr>
      <w:tr w14:paraId="0F309EDD" w14:textId="77777777">
        <w:trPr>
          <w:cantSplit/>
          <w:trHeight w:val="340"/>
          <w:jc w:val="center"/>
        </w:trPr>
        <w:tc>
          <w:tcPr>
            <w:tcW w:w="3259" w:type="dxa"/>
            <w:gridSpan w:val="2"/>
            <w:tcBorders>
              <w:bottom w:val="dashSmallGap" w:sz="4" w:space="0" w:color="000000"/>
              <w:right w:val="dashSmallGap" w:sz="4" w:space="0" w:color="000000"/>
            </w:tcBorders>
          </w:tcPr>
          <w:p w14:paraId="59038CD8" w14:textId="77777777">
            <w:pPr>
              <w:pStyle w:val="Formular"/>
            </w:pPr>
            <w:r>
              <w:t xml:space="preserve">Физички опис рада, </w:t>
            </w:r>
            <w:r>
              <w:rPr>
                <w:b/>
                <w:bCs/>
              </w:rPr>
              <w:t>ФО</w:t>
            </w:r>
            <w:r>
              <w:t>:</w:t>
            </w:r>
          </w:p>
          <w:p w14:paraId="783F1102" w14:textId="77777777">
            <w:pPr>
              <w:pStyle w:val="Formular"/>
            </w:pPr>
            <w:r>
              <w:rPr>
                <w:sz w:val="10"/>
                <w:szCs w:val="10"/>
              </w:rPr>
              <w:t>(поглавља/страна/цитата/табела/слика/графика/прилога)</w:t>
            </w:r>
          </w:p>
        </w:tc>
        <w:tc>
          <w:tcPr>
            <w:tcW w:w="5018" w:type="dxa"/>
            <w:gridSpan w:val="2"/>
            <w:tcBorders>
              <w:bottom w:val="dashSmallGap" w:sz="4" w:space="0" w:color="000000"/>
            </w:tcBorders>
          </w:tcPr>
          <w:p w14:paraId="267C7210" w14:textId="77777777">
            <w:pPr>
              <w:pStyle w:val="Formular"/>
            </w:pPr>
            <w:r>
              <w:t>[ ]/[ ]/[ ]/[ ]/[ ]/[ ]/[ ]</w:t>
            </w:r>
          </w:p>
        </w:tc>
      </w:tr>
      <w:tr w14:paraId="7462E6A9" w14:textId="77777777">
        <w:trPr>
          <w:cantSplit/>
          <w:trHeight w:val="249"/>
          <w:jc w:val="center"/>
        </w:trPr>
        <w:tc>
          <w:tcPr>
            <w:tcW w:w="3259" w:type="dxa"/>
            <w:gridSpan w:val="2"/>
            <w:tcBorders>
              <w:bottom w:val="dashSmallGap" w:sz="4" w:space="0" w:color="000000"/>
              <w:right w:val="dashSmallGap" w:sz="4" w:space="0" w:color="000000"/>
            </w:tcBorders>
          </w:tcPr>
          <w:p w14:paraId="574B4FF6" w14:textId="77777777">
            <w:pPr>
              <w:pStyle w:val="Formular"/>
            </w:pPr>
            <w:r>
              <w:t xml:space="preserve">Научна област, </w:t>
            </w:r>
            <w:r>
              <w:rPr>
                <w:b/>
                <w:bCs/>
              </w:rPr>
              <w:t>НО</w:t>
            </w:r>
            <w:r>
              <w:t>:</w:t>
            </w:r>
          </w:p>
        </w:tc>
        <w:tc>
          <w:tcPr>
            <w:tcW w:w="5018" w:type="dxa"/>
            <w:gridSpan w:val="2"/>
            <w:tcBorders>
              <w:bottom w:val="dashSmallGap" w:sz="4" w:space="0" w:color="000000"/>
            </w:tcBorders>
          </w:tcPr>
          <w:p w14:paraId="7F477BBC" w14:textId="77777777">
            <w:pPr>
              <w:pStyle w:val="Formular"/>
            </w:pPr>
            <w:r>
              <w:t>Електротехничко и рачунарско инжењерство</w:t>
            </w:r>
          </w:p>
        </w:tc>
      </w:tr>
      <w:tr w14:paraId="2D85132F" w14:textId="77777777">
        <w:trPr>
          <w:cantSplit/>
          <w:trHeight w:val="249"/>
          <w:jc w:val="center"/>
        </w:trPr>
        <w:tc>
          <w:tcPr>
            <w:tcW w:w="3259" w:type="dxa"/>
            <w:gridSpan w:val="2"/>
            <w:tcBorders>
              <w:bottom w:val="dashSmallGap" w:sz="4" w:space="0" w:color="000000"/>
              <w:right w:val="dashSmallGap" w:sz="4" w:space="0" w:color="000000"/>
            </w:tcBorders>
          </w:tcPr>
          <w:p w14:paraId="1137DBE8" w14:textId="77777777">
            <w:pPr>
              <w:pStyle w:val="Formular"/>
            </w:pPr>
            <w:r>
              <w:t xml:space="preserve">Научна дисциплина, </w:t>
            </w:r>
            <w:r>
              <w:rPr>
                <w:b/>
                <w:bCs/>
              </w:rPr>
              <w:t>НД</w:t>
            </w:r>
            <w:r>
              <w:t>:</w:t>
            </w:r>
          </w:p>
        </w:tc>
        <w:tc>
          <w:tcPr>
            <w:tcW w:w="5018" w:type="dxa"/>
            <w:gridSpan w:val="2"/>
            <w:tcBorders>
              <w:bottom w:val="dashSmallGap" w:sz="4" w:space="0" w:color="000000"/>
            </w:tcBorders>
          </w:tcPr>
          <w:p w14:paraId="26FC0629" w14:textId="77777777">
            <w:pPr>
              <w:pStyle w:val="Formular"/>
            </w:pPr>
            <w:r>
              <w:t>Примењене рачунарске науке и информатика</w:t>
            </w:r>
          </w:p>
        </w:tc>
      </w:tr>
      <w:tr w14:paraId="0F072622" w14:textId="77777777">
        <w:trPr>
          <w:cantSplit/>
          <w:trHeight w:val="283"/>
          <w:jc w:val="center"/>
        </w:trPr>
        <w:tc>
          <w:tcPr>
            <w:tcW w:w="3259" w:type="dxa"/>
            <w:gridSpan w:val="2"/>
            <w:tcBorders>
              <w:bottom w:val="dashSmallGap" w:sz="4" w:space="0" w:color="000000"/>
              <w:right w:val="dashSmallGap" w:sz="4" w:space="0" w:color="000000"/>
            </w:tcBorders>
          </w:tcPr>
          <w:p w14:paraId="653DC611" w14:textId="77777777">
            <w:pPr>
              <w:pStyle w:val="Formular"/>
            </w:pPr>
            <w:r>
              <w:t xml:space="preserve">Предметна одредница/Кључне речи, </w:t>
            </w:r>
            <w:r>
              <w:rPr>
                <w:b/>
                <w:bCs/>
              </w:rPr>
              <w:t>ПО</w:t>
            </w:r>
            <w:r>
              <w:t>:</w:t>
            </w:r>
          </w:p>
        </w:tc>
        <w:tc>
          <w:tcPr>
            <w:tcW w:w="5018" w:type="dxa"/>
            <w:gridSpan w:val="2"/>
            <w:tcBorders>
              <w:bottom w:val="dashSmallGap" w:sz="4" w:space="0" w:color="000000"/>
            </w:tcBorders>
          </w:tcPr>
          <w:p w14:paraId="0DE46BC5" w14:textId="77777777">
            <w:pPr>
              <w:pStyle w:val="Formular"/>
            </w:pPr>
            <w:r>
              <w:t>[кључне речи, раздвојене зарезом]</w:t>
            </w:r>
          </w:p>
        </w:tc>
      </w:tr>
      <w:tr w14:paraId="6D3531EF" w14:textId="77777777">
        <w:trPr>
          <w:cantSplit/>
          <w:trHeight w:val="249"/>
          <w:jc w:val="center"/>
        </w:trPr>
        <w:tc>
          <w:tcPr>
            <w:tcW w:w="3259" w:type="dxa"/>
            <w:gridSpan w:val="2"/>
            <w:tcBorders>
              <w:bottom w:val="dashSmallGap" w:sz="4" w:space="0" w:color="000000"/>
              <w:right w:val="dashSmallGap" w:sz="4" w:space="0" w:color="000000"/>
            </w:tcBorders>
          </w:tcPr>
          <w:p w14:paraId="204E975B" w14:textId="77777777">
            <w:pPr>
              <w:pStyle w:val="Formular"/>
              <w:rPr>
                <w:b/>
                <w:bCs/>
              </w:rPr>
            </w:pPr>
            <w:r>
              <w:rPr>
                <w:b/>
                <w:bCs/>
              </w:rPr>
              <w:t>УДК</w:t>
            </w:r>
          </w:p>
        </w:tc>
        <w:tc>
          <w:tcPr>
            <w:tcW w:w="5018" w:type="dxa"/>
            <w:gridSpan w:val="2"/>
            <w:tcBorders>
              <w:bottom w:val="dashSmallGap" w:sz="4" w:space="0" w:color="000000"/>
            </w:tcBorders>
          </w:tcPr>
          <w:p w14:paraId="02114FF6" w14:textId="77777777">
            <w:pPr>
              <w:pStyle w:val="Formular"/>
            </w:pPr>
          </w:p>
        </w:tc>
      </w:tr>
      <w:tr w14:paraId="0F73E6A8" w14:textId="77777777">
        <w:trPr>
          <w:cantSplit/>
          <w:trHeight w:val="283"/>
          <w:jc w:val="center"/>
        </w:trPr>
        <w:tc>
          <w:tcPr>
            <w:tcW w:w="3259" w:type="dxa"/>
            <w:gridSpan w:val="2"/>
            <w:tcBorders>
              <w:bottom w:val="dashSmallGap" w:sz="4" w:space="0" w:color="000000"/>
              <w:right w:val="dashSmallGap" w:sz="4" w:space="0" w:color="000000"/>
            </w:tcBorders>
          </w:tcPr>
          <w:p w14:paraId="2CC9860E" w14:textId="77777777">
            <w:pPr>
              <w:pStyle w:val="Formular"/>
            </w:pPr>
            <w:r>
              <w:t xml:space="preserve">Чува се, </w:t>
            </w:r>
            <w:r>
              <w:rPr>
                <w:b/>
                <w:bCs/>
              </w:rPr>
              <w:t>ЧУ</w:t>
            </w:r>
            <w:r>
              <w:t>:</w:t>
            </w:r>
          </w:p>
        </w:tc>
        <w:tc>
          <w:tcPr>
            <w:tcW w:w="5018" w:type="dxa"/>
            <w:gridSpan w:val="2"/>
            <w:tcBorders>
              <w:bottom w:val="dashSmallGap" w:sz="4" w:space="0" w:color="000000"/>
            </w:tcBorders>
          </w:tcPr>
          <w:p w14:paraId="4A28849A" w14:textId="77777777">
            <w:pPr>
              <w:pStyle w:val="Formular"/>
            </w:pPr>
            <w:r>
              <w:t>У библиотеци Факултета техничких наука, Нови Сад</w:t>
            </w:r>
          </w:p>
        </w:tc>
      </w:tr>
      <w:tr w14:paraId="06E109DC" w14:textId="77777777">
        <w:trPr>
          <w:cantSplit/>
          <w:trHeight w:val="283"/>
          <w:jc w:val="center"/>
        </w:trPr>
        <w:tc>
          <w:tcPr>
            <w:tcW w:w="3259" w:type="dxa"/>
            <w:gridSpan w:val="2"/>
            <w:tcBorders>
              <w:bottom w:val="dashSmallGap" w:sz="4" w:space="0" w:color="000000"/>
              <w:right w:val="dashSmallGap" w:sz="4" w:space="0" w:color="000000"/>
            </w:tcBorders>
          </w:tcPr>
          <w:p w14:paraId="6C648548" w14:textId="77777777">
            <w:pPr>
              <w:pStyle w:val="Formular"/>
            </w:pPr>
            <w:r>
              <w:t xml:space="preserve">Важна напомена, </w:t>
            </w:r>
            <w:r>
              <w:rPr>
                <w:b/>
                <w:bCs/>
              </w:rPr>
              <w:t>ВН</w:t>
            </w:r>
            <w:r>
              <w:t>:</w:t>
            </w:r>
          </w:p>
        </w:tc>
        <w:tc>
          <w:tcPr>
            <w:tcW w:w="5018" w:type="dxa"/>
            <w:gridSpan w:val="2"/>
            <w:tcBorders>
              <w:bottom w:val="dashSmallGap" w:sz="4" w:space="0" w:color="000000"/>
            </w:tcBorders>
          </w:tcPr>
          <w:p w14:paraId="675A1B95" w14:textId="77777777">
            <w:pPr>
              <w:pStyle w:val="Formular"/>
            </w:pPr>
          </w:p>
        </w:tc>
      </w:tr>
      <w:tr w14:paraId="15E1CF53" w14:textId="77777777">
        <w:trPr>
          <w:cantSplit/>
          <w:trHeight w:val="1020"/>
          <w:jc w:val="center"/>
        </w:trPr>
        <w:tc>
          <w:tcPr>
            <w:tcW w:w="3259" w:type="dxa"/>
            <w:gridSpan w:val="2"/>
            <w:tcBorders>
              <w:bottom w:val="dashSmallGap" w:sz="4" w:space="0" w:color="000000"/>
              <w:right w:val="dashSmallGap" w:sz="4" w:space="0" w:color="000000"/>
            </w:tcBorders>
          </w:tcPr>
          <w:p w14:paraId="0243F187" w14:textId="77777777">
            <w:pPr>
              <w:pStyle w:val="Formular"/>
            </w:pPr>
            <w:r>
              <w:t xml:space="preserve">Извод, </w:t>
            </w:r>
            <w:r>
              <w:rPr>
                <w:b/>
                <w:bCs/>
              </w:rPr>
              <w:t>ИЗ</w:t>
            </w:r>
            <w:r>
              <w:t>:</w:t>
            </w:r>
          </w:p>
        </w:tc>
        <w:tc>
          <w:tcPr>
            <w:tcW w:w="5018" w:type="dxa"/>
            <w:gridSpan w:val="2"/>
            <w:tcBorders>
              <w:bottom w:val="dashSmallGap" w:sz="4" w:space="0" w:color="000000"/>
            </w:tcBorders>
          </w:tcPr>
          <w:p w14:paraId="039568CA" w14:textId="77777777">
            <w:pPr>
              <w:pStyle w:val="Formular"/>
            </w:pPr>
            <w:r>
              <w:t>[Извод рада — неколико реченица о томе шта је у раду урађено.]</w:t>
            </w:r>
          </w:p>
        </w:tc>
      </w:tr>
      <w:tr w14:paraId="14C6E237" w14:textId="77777777">
        <w:trPr>
          <w:cantSplit/>
          <w:trHeight w:val="249"/>
          <w:jc w:val="center"/>
        </w:trPr>
        <w:tc>
          <w:tcPr>
            <w:tcW w:w="3259" w:type="dxa"/>
            <w:gridSpan w:val="2"/>
            <w:tcBorders>
              <w:bottom w:val="dashSmallGap" w:sz="4" w:space="0" w:color="000000"/>
              <w:right w:val="dashSmallGap" w:sz="4" w:space="0" w:color="000000"/>
            </w:tcBorders>
          </w:tcPr>
          <w:p w14:paraId="12DB67A1" w14:textId="77777777">
            <w:pPr>
              <w:pStyle w:val="Formular"/>
            </w:pPr>
            <w:r>
              <w:t xml:space="preserve">Датум прихватања теме, </w:t>
            </w:r>
            <w:r>
              <w:rPr>
                <w:b/>
                <w:bCs/>
              </w:rPr>
              <w:t>ДП</w:t>
            </w:r>
            <w:r>
              <w:t>:</w:t>
            </w:r>
          </w:p>
        </w:tc>
        <w:tc>
          <w:tcPr>
            <w:tcW w:w="5018" w:type="dxa"/>
            <w:gridSpan w:val="2"/>
            <w:tcBorders>
              <w:bottom w:val="dashSmallGap" w:sz="4" w:space="0" w:color="000000"/>
            </w:tcBorders>
          </w:tcPr>
          <w:p w14:paraId="062356D5" w14:textId="77777777">
            <w:pPr>
              <w:pStyle w:val="Formular"/>
            </w:pPr>
          </w:p>
        </w:tc>
      </w:tr>
      <w:tr w14:paraId="12EC0A61" w14:textId="77777777">
        <w:trPr>
          <w:cantSplit/>
          <w:trHeight w:val="249"/>
          <w:jc w:val="center"/>
        </w:trPr>
        <w:tc>
          <w:tcPr>
            <w:tcW w:w="3259" w:type="dxa"/>
            <w:gridSpan w:val="2"/>
            <w:tcBorders>
              <w:bottom w:val="dashSmallGap" w:sz="4" w:space="0" w:color="000000"/>
              <w:right w:val="dashSmallGap" w:sz="4" w:space="0" w:color="000000"/>
            </w:tcBorders>
          </w:tcPr>
          <w:p w14:paraId="2CE115FC" w14:textId="77777777">
            <w:pPr>
              <w:pStyle w:val="Formular"/>
            </w:pPr>
            <w:r>
              <w:t xml:space="preserve">Датум одбране, </w:t>
            </w:r>
            <w:r>
              <w:rPr>
                <w:b/>
                <w:bCs/>
              </w:rPr>
              <w:t>ДО</w:t>
            </w:r>
            <w:r>
              <w:t>:</w:t>
            </w:r>
          </w:p>
        </w:tc>
        <w:tc>
          <w:tcPr>
            <w:tcW w:w="5018" w:type="dxa"/>
            <w:gridSpan w:val="2"/>
            <w:tcBorders>
              <w:bottom w:val="dashSmallGap" w:sz="4" w:space="0" w:color="000000"/>
            </w:tcBorders>
          </w:tcPr>
          <w:p w14:paraId="52153701" w14:textId="77777777">
            <w:pPr>
              <w:pStyle w:val="Formular"/>
              <w:rPr>
                <w:lang w:val="en-US"/>
              </w:rPr>
            </w:pPr>
            <w:r>
              <w:rPr>
                <w:lang w:val="en-US"/>
              </w:rPr>
              <w:t>[</w:t>
            </w:r>
            <w:r>
              <w:t>датум одбране</w:t>
            </w:r>
            <w:r>
              <w:rPr>
                <w:lang w:val="en-US"/>
              </w:rPr>
              <w:t>]</w:t>
            </w:r>
          </w:p>
        </w:tc>
      </w:tr>
      <w:tr w14:paraId="62228445" w14:textId="77777777">
        <w:trPr>
          <w:cantSplit/>
          <w:trHeight w:val="249"/>
          <w:jc w:val="center"/>
        </w:trPr>
        <w:tc>
          <w:tcPr>
            <w:tcW w:w="1841" w:type="dxa"/>
            <w:vMerge w:val="restart"/>
            <w:tcBorders>
              <w:bottom w:val="single" w:sz="12" w:space="0" w:color="auto"/>
            </w:tcBorders>
          </w:tcPr>
          <w:p w14:paraId="0456E157" w14:textId="77777777">
            <w:pPr>
              <w:pStyle w:val="Formular"/>
            </w:pPr>
            <w:r>
              <w:t xml:space="preserve">Чланови комисије, </w:t>
            </w:r>
            <w:r>
              <w:rPr>
                <w:b/>
                <w:bCs/>
              </w:rPr>
              <w:t>КО</w:t>
            </w:r>
            <w:r>
              <w:t>:</w:t>
            </w:r>
          </w:p>
        </w:tc>
        <w:tc>
          <w:tcPr>
            <w:tcW w:w="1418" w:type="dxa"/>
            <w:tcBorders>
              <w:left w:val="nil"/>
              <w:bottom w:val="dashSmallGap" w:sz="4" w:space="0" w:color="auto"/>
              <w:right w:val="dashSmallGap" w:sz="4" w:space="0" w:color="000000"/>
            </w:tcBorders>
          </w:tcPr>
          <w:p w14:paraId="140F7FA1" w14:textId="77777777">
            <w:pPr>
              <w:pStyle w:val="Formular"/>
              <w:jc w:val="right"/>
            </w:pPr>
            <w:r>
              <w:t>Председник:</w:t>
            </w:r>
          </w:p>
        </w:tc>
        <w:tc>
          <w:tcPr>
            <w:tcW w:w="5018" w:type="dxa"/>
            <w:gridSpan w:val="2"/>
            <w:tcBorders>
              <w:bottom w:val="dashSmallGap" w:sz="4" w:space="0" w:color="000000"/>
            </w:tcBorders>
          </w:tcPr>
          <w:p w14:paraId="319FFFBB" w14:textId="77777777">
            <w:pPr>
              <w:pStyle w:val="Formular"/>
            </w:pPr>
            <w:r>
              <w:t>др [Име Презиме], [звање]</w:t>
            </w:r>
          </w:p>
        </w:tc>
      </w:tr>
      <w:tr w14:paraId="5FE9A870" w14:textId="77777777">
        <w:trPr>
          <w:cantSplit/>
          <w:trHeight w:val="249"/>
          <w:jc w:val="center"/>
        </w:trPr>
        <w:tc>
          <w:tcPr>
            <w:tcW w:w="1841" w:type="dxa"/>
            <w:vMerge/>
            <w:tcBorders>
              <w:bottom w:val="single" w:sz="12" w:space="0" w:color="auto"/>
            </w:tcBorders>
          </w:tcPr>
          <w:p w14:paraId="61393503" w14:textId="77777777">
            <w:pPr>
              <w:spacing w:after="0" w:line="240" w:lineRule="auto"/>
            </w:pPr>
          </w:p>
        </w:tc>
        <w:tc>
          <w:tcPr>
            <w:tcW w:w="1418" w:type="dxa"/>
            <w:tcBorders>
              <w:top w:val="dashSmallGap" w:sz="4" w:space="0" w:color="auto"/>
              <w:left w:val="nil"/>
              <w:bottom w:val="dashSmallGap" w:sz="4" w:space="0" w:color="auto"/>
              <w:right w:val="dashSmallGap" w:sz="4" w:space="0" w:color="000000"/>
            </w:tcBorders>
          </w:tcPr>
          <w:p w14:paraId="6AB3AE25" w14:textId="77777777">
            <w:pPr>
              <w:spacing w:after="0" w:line="240" w:lineRule="auto"/>
              <w:jc w:val="right"/>
              <w:rPr>
                <w:rFonts w:ascii="Arial" w:hAnsi="Arial" w:cs="Arial"/>
                <w:sz w:val="16"/>
                <w:szCs w:val="16"/>
              </w:rPr>
            </w:pPr>
            <w:r>
              <w:rPr>
                <w:rFonts w:ascii="Arial" w:hAnsi="Arial" w:cs="Arial"/>
                <w:sz w:val="16"/>
                <w:szCs w:val="16"/>
              </w:rPr>
              <w:t>Члан:</w:t>
            </w:r>
          </w:p>
        </w:tc>
        <w:tc>
          <w:tcPr>
            <w:tcW w:w="2978" w:type="dxa"/>
            <w:tcBorders>
              <w:bottom w:val="dashSmallGap" w:sz="4" w:space="0" w:color="000000"/>
            </w:tcBorders>
          </w:tcPr>
          <w:p w14:paraId="0A2CBD87" w14:textId="77777777">
            <w:pPr>
              <w:pStyle w:val="Formular"/>
            </w:pPr>
            <w:r>
              <w:t>др [Име Презиме], [звање]</w:t>
            </w:r>
          </w:p>
        </w:tc>
        <w:tc>
          <w:tcPr>
            <w:tcW w:w="2040" w:type="dxa"/>
            <w:tcBorders>
              <w:left w:val="nil"/>
              <w:bottom w:val="single" w:sz="12" w:space="0" w:color="auto"/>
            </w:tcBorders>
          </w:tcPr>
          <w:p w14:paraId="716F8FB9" w14:textId="77777777">
            <w:pPr>
              <w:pStyle w:val="Formular"/>
            </w:pPr>
          </w:p>
        </w:tc>
      </w:tr>
      <w:tr w14:paraId="2BC182E9" w14:textId="77777777">
        <w:trPr>
          <w:cantSplit/>
          <w:trHeight w:val="249"/>
          <w:jc w:val="center"/>
        </w:trPr>
        <w:tc>
          <w:tcPr>
            <w:tcW w:w="1841" w:type="dxa"/>
            <w:vMerge/>
            <w:tcBorders>
              <w:bottom w:val="single" w:sz="12" w:space="0" w:color="auto"/>
            </w:tcBorders>
          </w:tcPr>
          <w:p w14:paraId="21EFB0D3" w14:textId="77777777">
            <w:pPr>
              <w:spacing w:after="0" w:line="240" w:lineRule="auto"/>
            </w:pPr>
          </w:p>
        </w:tc>
        <w:tc>
          <w:tcPr>
            <w:tcW w:w="1418" w:type="dxa"/>
            <w:tcBorders>
              <w:top w:val="dashSmallGap" w:sz="4" w:space="0" w:color="auto"/>
              <w:left w:val="nil"/>
              <w:bottom w:val="dashSmallGap" w:sz="4" w:space="0" w:color="auto"/>
              <w:right w:val="dashSmallGap" w:sz="4" w:space="0" w:color="000000"/>
            </w:tcBorders>
          </w:tcPr>
          <w:p w14:paraId="035F43DB" w14:textId="77777777">
            <w:pPr>
              <w:spacing w:after="0" w:line="240" w:lineRule="auto"/>
              <w:jc w:val="right"/>
              <w:rPr>
                <w:rFonts w:ascii="Arial" w:hAnsi="Arial" w:cs="Arial"/>
                <w:sz w:val="16"/>
                <w:szCs w:val="16"/>
              </w:rPr>
            </w:pPr>
            <w:r>
              <w:rPr>
                <w:rFonts w:ascii="Arial" w:hAnsi="Arial" w:cs="Arial"/>
                <w:sz w:val="16"/>
                <w:szCs w:val="16"/>
              </w:rPr>
              <w:t>Члан:</w:t>
            </w:r>
          </w:p>
        </w:tc>
        <w:tc>
          <w:tcPr>
            <w:tcW w:w="2978" w:type="dxa"/>
            <w:tcBorders>
              <w:bottom w:val="dashSmallGap" w:sz="4" w:space="0" w:color="000000"/>
              <w:right w:val="single" w:sz="12" w:space="0" w:color="auto"/>
            </w:tcBorders>
          </w:tcPr>
          <w:p w14:paraId="78BADAAF" w14:textId="77777777">
            <w:pPr>
              <w:pStyle w:val="Formular"/>
            </w:pPr>
            <w:r>
              <w:t>др [Име Презиме], [звање]</w:t>
            </w:r>
            <w:r>
              <w:rPr>
                <w:lang w:val="en-US"/>
              </w:rPr>
              <w:t xml:space="preserve"> </w:t>
            </w:r>
          </w:p>
        </w:tc>
        <w:tc>
          <w:tcPr>
            <w:tcW w:w="2040" w:type="dxa"/>
            <w:tcBorders>
              <w:top w:val="single" w:sz="12" w:space="0" w:color="auto"/>
              <w:left w:val="single" w:sz="12" w:space="0" w:color="auto"/>
              <w:bottom w:val="dashSmallGap" w:sz="4" w:space="0" w:color="000000"/>
              <w:right w:val="single" w:sz="12" w:space="0" w:color="auto"/>
            </w:tcBorders>
          </w:tcPr>
          <w:p w14:paraId="33645945" w14:textId="77777777">
            <w:pPr>
              <w:pStyle w:val="Formular"/>
              <w:jc w:val="center"/>
            </w:pPr>
            <w:r>
              <w:t>Потпис ментора</w:t>
            </w:r>
          </w:p>
        </w:tc>
      </w:tr>
      <w:tr w14:paraId="1990D888" w14:textId="77777777">
        <w:trPr>
          <w:cantSplit/>
          <w:trHeight w:val="249"/>
          <w:jc w:val="center"/>
        </w:trPr>
        <w:tc>
          <w:tcPr>
            <w:tcW w:w="1841" w:type="dxa"/>
            <w:vMerge/>
            <w:tcBorders>
              <w:top w:val="single" w:sz="4" w:space="0" w:color="auto"/>
              <w:bottom w:val="single" w:sz="12" w:space="0" w:color="auto"/>
            </w:tcBorders>
          </w:tcPr>
          <w:p w14:paraId="39C7EC20" w14:textId="77777777">
            <w:pPr>
              <w:spacing w:after="0" w:line="240" w:lineRule="auto"/>
            </w:pPr>
          </w:p>
        </w:tc>
        <w:tc>
          <w:tcPr>
            <w:tcW w:w="1418" w:type="dxa"/>
            <w:tcBorders>
              <w:top w:val="single" w:sz="4" w:space="0" w:color="auto"/>
              <w:left w:val="nil"/>
              <w:bottom w:val="single" w:sz="12" w:space="0" w:color="auto"/>
              <w:right w:val="dashSmallGap" w:sz="4" w:space="0" w:color="000000"/>
            </w:tcBorders>
          </w:tcPr>
          <w:p w14:paraId="45BA6C67" w14:textId="77777777">
            <w:pPr>
              <w:spacing w:after="0" w:line="240" w:lineRule="auto"/>
              <w:jc w:val="right"/>
              <w:rPr>
                <w:rFonts w:ascii="Arial" w:hAnsi="Arial" w:cs="Arial"/>
                <w:sz w:val="16"/>
                <w:szCs w:val="16"/>
              </w:rPr>
            </w:pPr>
            <w:r>
              <w:rPr>
                <w:rFonts w:ascii="Arial" w:hAnsi="Arial" w:cs="Arial"/>
                <w:sz w:val="16"/>
                <w:szCs w:val="16"/>
              </w:rPr>
              <w:t>Члан, ментор:</w:t>
            </w:r>
          </w:p>
        </w:tc>
        <w:tc>
          <w:tcPr>
            <w:tcW w:w="2978" w:type="dxa"/>
            <w:tcBorders>
              <w:top w:val="single" w:sz="4" w:space="0" w:color="auto"/>
              <w:bottom w:val="single" w:sz="12" w:space="0" w:color="auto"/>
              <w:right w:val="single" w:sz="12" w:space="0" w:color="auto"/>
            </w:tcBorders>
          </w:tcPr>
          <w:p w14:paraId="1BDD9106" w14:textId="77777777">
            <w:pPr>
              <w:pStyle w:val="Formular"/>
            </w:pPr>
            <w:r>
              <w:t>др [Име и презиме], [звање]</w:t>
            </w:r>
          </w:p>
        </w:tc>
        <w:tc>
          <w:tcPr>
            <w:tcW w:w="2040" w:type="dxa"/>
            <w:tcBorders>
              <w:top w:val="dashSmallGap" w:sz="4" w:space="0" w:color="000000"/>
              <w:left w:val="single" w:sz="12" w:space="0" w:color="auto"/>
              <w:bottom w:val="single" w:sz="12" w:space="0" w:color="auto"/>
              <w:right w:val="single" w:sz="12" w:space="0" w:color="auto"/>
            </w:tcBorders>
          </w:tcPr>
          <w:p w14:paraId="1E115259" w14:textId="77777777">
            <w:pPr>
              <w:spacing w:after="0" w:line="240" w:lineRule="auto"/>
            </w:pPr>
          </w:p>
        </w:tc>
      </w:tr>
    </w:tbl>
    <w:p w14:paraId="64CF95B9" w14:textId="77777777">
      <w:pPr>
        <w:pStyle w:val="Formular"/>
        <w:spacing w:before="120"/>
        <w:jc w:val="right"/>
        <w:rPr>
          <w:sz w:val="15"/>
          <w:szCs w:val="15"/>
        </w:rPr>
      </w:pPr>
      <w:r>
        <w:rPr>
          <w:sz w:val="15"/>
          <w:szCs w:val="15"/>
        </w:rPr>
        <w:t xml:space="preserve">Образац </w:t>
      </w:r>
      <w:r>
        <w:rPr>
          <w:b/>
          <w:bCs/>
          <w:sz w:val="15"/>
          <w:szCs w:val="15"/>
        </w:rPr>
        <w:t>Q2.НА.04-05</w:t>
      </w:r>
      <w:r>
        <w:rPr>
          <w:sz w:val="15"/>
          <w:szCs w:val="15"/>
        </w:rPr>
        <w:t xml:space="preserve"> - Издање 1</w:t>
      </w:r>
    </w:p>
    <w:p w14:paraId="0AAFBC84" w14:textId="77777777">
      <w:pPr>
        <w:pStyle w:val="Formular"/>
        <w:spacing w:before="120"/>
        <w:jc w:val="right"/>
      </w:pPr>
    </w:p>
    <w:p w14:paraId="12DFD36C" w14:textId="77777777">
      <w:pPr>
        <w:spacing w:after="0" w:line="20" w:lineRule="exact"/>
        <w:rPr>
          <w:sz w:val="2"/>
        </w:rPr>
        <w:sectPr>
          <w:type w:val="oddPage"/>
          <w:pgSz w:w="9978" w:h="14173"/>
          <w:pgMar w:top="1134" w:right="850" w:bottom="1134" w:left="850" w:header="567" w:footer="992" w:gutter="0"/>
          <w:cols w:space="708"/>
          <w:docGrid w:linePitch="360"/>
        </w:sectPr>
      </w:pP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34"/>
        <w:gridCol w:w="7143"/>
      </w:tblGrid>
      <w:tr w14:paraId="2B89FC8B" w14:textId="77777777">
        <w:trPr>
          <w:cantSplit/>
          <w:trHeight w:val="567"/>
          <w:jc w:val="center"/>
        </w:trPr>
        <w:tc>
          <w:tcPr>
            <w:tcW w:w="1134" w:type="dxa"/>
            <w:vMerge w:val="restart"/>
            <w:tcBorders>
              <w:right w:val="single" w:sz="6" w:space="0" w:color="000000"/>
            </w:tcBorders>
            <w:vAlign w:val="center"/>
          </w:tcPr>
          <w:p w14:paraId="2FBE83F1" w14:textId="77777777">
            <w:pPr>
              <w:pStyle w:val="Formular"/>
              <w:jc w:val="center"/>
            </w:pPr>
            <w:r>
              <w:rPr>
                <w:noProof/>
              </w:rPr>
              <w:lastRenderedPageBreak/>
              <w:drawing>
                <wp:inline distT="0" distB="0" distL="0" distR="0" wp14:anchorId="78F221E0" wp14:editId="7C0A7C37">
                  <wp:extent cx="540000" cy="590400"/>
                  <wp:effectExtent l="0" t="0" r="0" b="0"/>
                  <wp:docPr id="105"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ФТН лого"/>
                          <pic:cNvPicPr/>
                        </pic:nvPicPr>
                        <pic:blipFill>
                          <a:blip r:embed="rId15"/>
                          <a:stretch>
                            <a:fillRect/>
                          </a:stretch>
                        </pic:blipFill>
                        <pic:spPr>
                          <a:xfrm>
                            <a:off x="0" y="0"/>
                            <a:ext cx="540000" cy="590400"/>
                          </a:xfrm>
                          <a:prstGeom prst="rect">
                            <a:avLst/>
                          </a:prstGeom>
                        </pic:spPr>
                      </pic:pic>
                    </a:graphicData>
                  </a:graphic>
                </wp:inline>
              </w:drawing>
            </w:r>
          </w:p>
        </w:tc>
        <w:tc>
          <w:tcPr>
            <w:tcW w:w="7143" w:type="dxa"/>
            <w:tcBorders>
              <w:bottom w:val="single" w:sz="6" w:space="0" w:color="000000"/>
            </w:tcBorders>
            <w:vAlign w:val="center"/>
          </w:tcPr>
          <w:p w14:paraId="3AD886BF" w14:textId="77777777">
            <w:pPr>
              <w:pStyle w:val="Formular"/>
              <w:jc w:val="center"/>
            </w:pPr>
            <w:r>
              <w:rPr>
                <w:sz w:val="17"/>
                <w:szCs w:val="17"/>
              </w:rPr>
              <w:t xml:space="preserve">UNIVERSITY OF NOVI SAD  ●  </w:t>
            </w:r>
            <w:r>
              <w:rPr>
                <w:b/>
                <w:bCs/>
                <w:sz w:val="17"/>
                <w:szCs w:val="17"/>
              </w:rPr>
              <w:t>FACULTY OF TECHNICAL SCIENCES</w:t>
            </w:r>
          </w:p>
          <w:p w14:paraId="1FB63132" w14:textId="77777777">
            <w:pPr>
              <w:pStyle w:val="Formular"/>
              <w:jc w:val="center"/>
            </w:pPr>
            <w:r>
              <w:rPr>
                <w:spacing w:val="12"/>
              </w:rPr>
              <w:t xml:space="preserve">21000 NOVI SAD, </w:t>
            </w:r>
            <w:r>
              <w:rPr>
                <w:spacing w:val="12"/>
                <w:lang w:val="sr-Latn-RS"/>
              </w:rPr>
              <w:t>Trg Dositeja Obradovića 6</w:t>
            </w:r>
          </w:p>
        </w:tc>
      </w:tr>
      <w:tr w14:paraId="33A28F20" w14:textId="77777777">
        <w:trPr>
          <w:cantSplit/>
          <w:trHeight w:val="567"/>
          <w:jc w:val="center"/>
        </w:trPr>
        <w:tc>
          <w:tcPr>
            <w:tcW w:w="1134" w:type="dxa"/>
            <w:vMerge/>
            <w:tcBorders>
              <w:right w:val="single" w:sz="6" w:space="0" w:color="000000"/>
            </w:tcBorders>
          </w:tcPr>
          <w:p w14:paraId="67AA2EDE" w14:textId="77777777">
            <w:pPr>
              <w:spacing w:after="0" w:line="240" w:lineRule="auto"/>
            </w:pPr>
          </w:p>
        </w:tc>
        <w:tc>
          <w:tcPr>
            <w:tcW w:w="7143" w:type="dxa"/>
            <w:shd w:val="clear" w:color="auto" w:fill="E8E8E8"/>
            <w:vAlign w:val="center"/>
          </w:tcPr>
          <w:p w14:paraId="06D4FAB4" w14:textId="77777777">
            <w:pPr>
              <w:pStyle w:val="Formular"/>
              <w:spacing w:before="60" w:after="60"/>
              <w:jc w:val="center"/>
            </w:pPr>
            <w:r>
              <w:rPr>
                <w:b/>
                <w:bCs/>
                <w:sz w:val="22"/>
                <w:szCs w:val="22"/>
              </w:rPr>
              <w:t>KEY WORDS DOCUMENTATION</w:t>
            </w:r>
          </w:p>
        </w:tc>
      </w:tr>
    </w:tbl>
    <w:p w14:paraId="7E59A041" w14:textId="77777777">
      <w:pPr>
        <w:spacing w:after="60" w:line="20" w:lineRule="exact"/>
      </w:pPr>
    </w:p>
    <w:tbl>
      <w:tblPr>
        <w:tblW w:w="8277" w:type="dxa"/>
        <w:jc w:val="center"/>
        <w:tblLayout w:type="fixed"/>
        <w:tblCellMar>
          <w:top w:w="8" w:type="dxa"/>
          <w:left w:w="28" w:type="dxa"/>
          <w:bottom w:w="8" w:type="dxa"/>
          <w:right w:w="57" w:type="dxa"/>
        </w:tblCellMar>
        <w:tblLook w:val="04A0" w:firstRow="1" w:lastRow="0" w:firstColumn="1" w:lastColumn="0" w:noHBand="0" w:noVBand="1"/>
      </w:tblPr>
      <w:tblGrid>
        <w:gridCol w:w="1841"/>
        <w:gridCol w:w="1418"/>
        <w:gridCol w:w="2978"/>
        <w:gridCol w:w="2040"/>
      </w:tblGrid>
      <w:tr w14:paraId="622582C0" w14:textId="77777777">
        <w:trPr>
          <w:cantSplit/>
          <w:trHeight w:val="249"/>
          <w:jc w:val="center"/>
        </w:trPr>
        <w:tc>
          <w:tcPr>
            <w:tcW w:w="3259" w:type="dxa"/>
            <w:gridSpan w:val="2"/>
            <w:tcBorders>
              <w:top w:val="single" w:sz="12" w:space="0" w:color="000000"/>
              <w:bottom w:val="dashSmallGap" w:sz="4" w:space="0" w:color="000000"/>
              <w:right w:val="dashSmallGap" w:sz="4" w:space="0" w:color="000000"/>
            </w:tcBorders>
          </w:tcPr>
          <w:p w14:paraId="4F65D174" w14:textId="77777777">
            <w:pPr>
              <w:pStyle w:val="Formular"/>
              <w:rPr>
                <w:lang w:val="en-US"/>
              </w:rPr>
            </w:pPr>
            <w:r>
              <w:rPr>
                <w:lang w:val="en-US"/>
              </w:rPr>
              <w:t xml:space="preserve">Accession number, </w:t>
            </w:r>
            <w:r>
              <w:rPr>
                <w:b/>
                <w:bCs/>
                <w:lang w:val="en-US"/>
              </w:rPr>
              <w:t>ANO</w:t>
            </w:r>
            <w:r>
              <w:rPr>
                <w:lang w:val="en-US"/>
              </w:rPr>
              <w:t>:</w:t>
            </w:r>
          </w:p>
        </w:tc>
        <w:tc>
          <w:tcPr>
            <w:tcW w:w="5018" w:type="dxa"/>
            <w:gridSpan w:val="2"/>
            <w:tcBorders>
              <w:top w:val="single" w:sz="12" w:space="0" w:color="000000"/>
              <w:bottom w:val="dashSmallGap" w:sz="4" w:space="0" w:color="000000"/>
            </w:tcBorders>
          </w:tcPr>
          <w:p w14:paraId="10212217" w14:textId="77777777">
            <w:pPr>
              <w:pStyle w:val="Formular"/>
              <w:rPr>
                <w:lang w:val="en-US"/>
              </w:rPr>
            </w:pPr>
          </w:p>
        </w:tc>
      </w:tr>
      <w:tr w14:paraId="65F65AAB" w14:textId="77777777">
        <w:trPr>
          <w:cantSplit/>
          <w:trHeight w:val="249"/>
          <w:jc w:val="center"/>
        </w:trPr>
        <w:tc>
          <w:tcPr>
            <w:tcW w:w="3259" w:type="dxa"/>
            <w:gridSpan w:val="2"/>
            <w:tcBorders>
              <w:bottom w:val="dashSmallGap" w:sz="4" w:space="0" w:color="000000"/>
              <w:right w:val="dashSmallGap" w:sz="4" w:space="0" w:color="000000"/>
            </w:tcBorders>
          </w:tcPr>
          <w:p w14:paraId="5415FB02" w14:textId="77777777">
            <w:pPr>
              <w:pStyle w:val="Formular"/>
              <w:rPr>
                <w:lang w:val="en-US"/>
              </w:rPr>
            </w:pPr>
            <w:r>
              <w:rPr>
                <w:lang w:val="en-US"/>
              </w:rPr>
              <w:t xml:space="preserve">Identification number, </w:t>
            </w:r>
            <w:r>
              <w:rPr>
                <w:b/>
                <w:bCs/>
                <w:lang w:val="en-US"/>
              </w:rPr>
              <w:t>INO</w:t>
            </w:r>
            <w:r>
              <w:rPr>
                <w:lang w:val="en-US"/>
              </w:rPr>
              <w:t>:</w:t>
            </w:r>
          </w:p>
        </w:tc>
        <w:tc>
          <w:tcPr>
            <w:tcW w:w="5018" w:type="dxa"/>
            <w:gridSpan w:val="2"/>
            <w:tcBorders>
              <w:bottom w:val="dashSmallGap" w:sz="4" w:space="0" w:color="000000"/>
            </w:tcBorders>
          </w:tcPr>
          <w:p w14:paraId="6A4B4DD9" w14:textId="77777777">
            <w:pPr>
              <w:pStyle w:val="Formular"/>
              <w:rPr>
                <w:lang w:val="en-US"/>
              </w:rPr>
            </w:pPr>
          </w:p>
        </w:tc>
      </w:tr>
      <w:tr w14:paraId="1F2BDA13" w14:textId="77777777">
        <w:trPr>
          <w:cantSplit/>
          <w:trHeight w:val="249"/>
          <w:jc w:val="center"/>
        </w:trPr>
        <w:tc>
          <w:tcPr>
            <w:tcW w:w="3259" w:type="dxa"/>
            <w:gridSpan w:val="2"/>
            <w:tcBorders>
              <w:bottom w:val="dashSmallGap" w:sz="4" w:space="0" w:color="000000"/>
              <w:right w:val="dashSmallGap" w:sz="4" w:space="0" w:color="000000"/>
            </w:tcBorders>
          </w:tcPr>
          <w:p w14:paraId="37012DFC" w14:textId="77777777">
            <w:pPr>
              <w:pStyle w:val="Formular"/>
              <w:rPr>
                <w:lang w:val="en-US"/>
              </w:rPr>
            </w:pPr>
            <w:r>
              <w:rPr>
                <w:lang w:val="en-US"/>
              </w:rPr>
              <w:t xml:space="preserve">Document type, </w:t>
            </w:r>
            <w:r>
              <w:rPr>
                <w:b/>
                <w:bCs/>
                <w:lang w:val="en-US"/>
              </w:rPr>
              <w:t>DT</w:t>
            </w:r>
            <w:r>
              <w:rPr>
                <w:lang w:val="en-US"/>
              </w:rPr>
              <w:t>:</w:t>
            </w:r>
          </w:p>
        </w:tc>
        <w:tc>
          <w:tcPr>
            <w:tcW w:w="5018" w:type="dxa"/>
            <w:gridSpan w:val="2"/>
            <w:tcBorders>
              <w:bottom w:val="dashSmallGap" w:sz="4" w:space="0" w:color="000000"/>
            </w:tcBorders>
          </w:tcPr>
          <w:p w14:paraId="434DEA8C" w14:textId="77777777">
            <w:pPr>
              <w:pStyle w:val="Formular"/>
              <w:rPr>
                <w:lang w:val="en-US"/>
              </w:rPr>
            </w:pPr>
            <w:r>
              <w:rPr>
                <w:lang w:val="en-US"/>
              </w:rPr>
              <w:t>Monographic publication</w:t>
            </w:r>
          </w:p>
        </w:tc>
      </w:tr>
      <w:tr w14:paraId="1FB75E5F" w14:textId="77777777">
        <w:trPr>
          <w:cantSplit/>
          <w:trHeight w:val="249"/>
          <w:jc w:val="center"/>
        </w:trPr>
        <w:tc>
          <w:tcPr>
            <w:tcW w:w="3259" w:type="dxa"/>
            <w:gridSpan w:val="2"/>
            <w:tcBorders>
              <w:bottom w:val="dashSmallGap" w:sz="4" w:space="0" w:color="000000"/>
              <w:right w:val="dashSmallGap" w:sz="4" w:space="0" w:color="000000"/>
            </w:tcBorders>
          </w:tcPr>
          <w:p w14:paraId="7059BCE0" w14:textId="77777777">
            <w:pPr>
              <w:pStyle w:val="Formular"/>
              <w:rPr>
                <w:lang w:val="en-US"/>
              </w:rPr>
            </w:pPr>
            <w:r>
              <w:rPr>
                <w:lang w:val="en-US"/>
              </w:rPr>
              <w:t xml:space="preserve">Type of record, </w:t>
            </w:r>
            <w:r>
              <w:rPr>
                <w:b/>
                <w:bCs/>
                <w:lang w:val="en-US"/>
              </w:rPr>
              <w:t>TR</w:t>
            </w:r>
            <w:r>
              <w:rPr>
                <w:lang w:val="en-US"/>
              </w:rPr>
              <w:t>:</w:t>
            </w:r>
          </w:p>
        </w:tc>
        <w:tc>
          <w:tcPr>
            <w:tcW w:w="5018" w:type="dxa"/>
            <w:gridSpan w:val="2"/>
            <w:tcBorders>
              <w:bottom w:val="dashSmallGap" w:sz="4" w:space="0" w:color="000000"/>
            </w:tcBorders>
          </w:tcPr>
          <w:p w14:paraId="3DAFE37F" w14:textId="77777777">
            <w:pPr>
              <w:pStyle w:val="Formular"/>
              <w:rPr>
                <w:lang w:val="en-US"/>
              </w:rPr>
            </w:pPr>
            <w:r>
              <w:rPr>
                <w:lang w:val="en-US"/>
              </w:rPr>
              <w:t>Textual printed material</w:t>
            </w:r>
          </w:p>
        </w:tc>
      </w:tr>
      <w:tr w14:paraId="2DC9D715" w14:textId="77777777">
        <w:trPr>
          <w:cantSplit/>
          <w:trHeight w:val="249"/>
          <w:jc w:val="center"/>
        </w:trPr>
        <w:tc>
          <w:tcPr>
            <w:tcW w:w="3259" w:type="dxa"/>
            <w:gridSpan w:val="2"/>
            <w:tcBorders>
              <w:bottom w:val="dashSmallGap" w:sz="4" w:space="0" w:color="000000"/>
              <w:right w:val="dashSmallGap" w:sz="4" w:space="0" w:color="000000"/>
            </w:tcBorders>
          </w:tcPr>
          <w:p w14:paraId="58AC372E" w14:textId="77777777">
            <w:pPr>
              <w:pStyle w:val="Formular"/>
              <w:rPr>
                <w:lang w:val="en-US"/>
              </w:rPr>
            </w:pPr>
            <w:r>
              <w:rPr>
                <w:lang w:val="en-US"/>
              </w:rPr>
              <w:t xml:space="preserve">Contents code, </w:t>
            </w:r>
            <w:r>
              <w:rPr>
                <w:b/>
                <w:bCs/>
                <w:lang w:val="en-US"/>
              </w:rPr>
              <w:t>CC</w:t>
            </w:r>
            <w:r>
              <w:rPr>
                <w:lang w:val="en-US"/>
              </w:rPr>
              <w:t>:</w:t>
            </w:r>
          </w:p>
        </w:tc>
        <w:tc>
          <w:tcPr>
            <w:tcW w:w="5018" w:type="dxa"/>
            <w:gridSpan w:val="2"/>
            <w:tcBorders>
              <w:bottom w:val="dashSmallGap" w:sz="4" w:space="0" w:color="000000"/>
            </w:tcBorders>
          </w:tcPr>
          <w:p w14:paraId="61CDC34A" w14:textId="77777777">
            <w:pPr>
              <w:pStyle w:val="Formular"/>
              <w:rPr>
                <w:lang w:val="en-US"/>
              </w:rPr>
            </w:pPr>
            <w:r>
              <w:rPr>
                <w:lang w:val="en-US"/>
              </w:rPr>
              <w:t>BSc thesis</w:t>
            </w:r>
          </w:p>
        </w:tc>
      </w:tr>
      <w:tr w14:paraId="4CBDE3C8" w14:textId="77777777">
        <w:trPr>
          <w:cantSplit/>
          <w:trHeight w:val="249"/>
          <w:jc w:val="center"/>
        </w:trPr>
        <w:tc>
          <w:tcPr>
            <w:tcW w:w="3259" w:type="dxa"/>
            <w:gridSpan w:val="2"/>
            <w:tcBorders>
              <w:bottom w:val="dashSmallGap" w:sz="4" w:space="0" w:color="000000"/>
              <w:right w:val="dashSmallGap" w:sz="4" w:space="0" w:color="000000"/>
            </w:tcBorders>
          </w:tcPr>
          <w:p w14:paraId="334D1B5E" w14:textId="77777777">
            <w:pPr>
              <w:pStyle w:val="Formular"/>
              <w:rPr>
                <w:lang w:val="en-US"/>
              </w:rPr>
            </w:pPr>
            <w:r>
              <w:rPr>
                <w:lang w:val="en-US"/>
              </w:rPr>
              <w:t xml:space="preserve">Author, </w:t>
            </w:r>
            <w:r>
              <w:rPr>
                <w:b/>
                <w:bCs/>
                <w:lang w:val="en-US"/>
              </w:rPr>
              <w:t>AU</w:t>
            </w:r>
            <w:r>
              <w:rPr>
                <w:lang w:val="en-US"/>
              </w:rPr>
              <w:t>:</w:t>
            </w:r>
          </w:p>
        </w:tc>
        <w:tc>
          <w:tcPr>
            <w:tcW w:w="5018" w:type="dxa"/>
            <w:gridSpan w:val="2"/>
            <w:tcBorders>
              <w:bottom w:val="dashSmallGap" w:sz="4" w:space="0" w:color="000000"/>
            </w:tcBorders>
          </w:tcPr>
          <w:p w14:paraId="301FBDB7" w14:textId="77777777">
            <w:pPr>
              <w:pStyle w:val="Formular"/>
              <w:rPr>
                <w:lang w:val="en-US"/>
              </w:rPr>
            </w:pPr>
            <w:r>
              <w:rPr>
                <w:lang w:val="en-US"/>
              </w:rPr>
              <w:t>[Name Surname]</w:t>
            </w:r>
          </w:p>
        </w:tc>
      </w:tr>
      <w:tr w14:paraId="5588B8FA" w14:textId="77777777">
        <w:trPr>
          <w:cantSplit/>
          <w:trHeight w:val="249"/>
          <w:jc w:val="center"/>
        </w:trPr>
        <w:tc>
          <w:tcPr>
            <w:tcW w:w="3259" w:type="dxa"/>
            <w:gridSpan w:val="2"/>
            <w:tcBorders>
              <w:bottom w:val="dashSmallGap" w:sz="4" w:space="0" w:color="000000"/>
              <w:right w:val="dashSmallGap" w:sz="4" w:space="0" w:color="000000"/>
            </w:tcBorders>
          </w:tcPr>
          <w:p w14:paraId="2BD84261" w14:textId="77777777">
            <w:pPr>
              <w:pStyle w:val="Formular"/>
              <w:rPr>
                <w:lang w:val="en-US"/>
              </w:rPr>
            </w:pPr>
            <w:r>
              <w:rPr>
                <w:lang w:val="en-US"/>
              </w:rPr>
              <w:t xml:space="preserve">Mentor, </w:t>
            </w:r>
            <w:r>
              <w:rPr>
                <w:b/>
                <w:bCs/>
                <w:lang w:val="en-US"/>
              </w:rPr>
              <w:t>MN</w:t>
            </w:r>
            <w:r>
              <w:rPr>
                <w:lang w:val="en-US"/>
              </w:rPr>
              <w:t>:</w:t>
            </w:r>
          </w:p>
        </w:tc>
        <w:tc>
          <w:tcPr>
            <w:tcW w:w="5018" w:type="dxa"/>
            <w:gridSpan w:val="2"/>
            <w:tcBorders>
              <w:bottom w:val="dashSmallGap" w:sz="4" w:space="0" w:color="000000"/>
            </w:tcBorders>
          </w:tcPr>
          <w:p w14:paraId="22774B19" w14:textId="77777777">
            <w:pPr>
              <w:pStyle w:val="Formular"/>
              <w:rPr>
                <w:lang w:val="en-US"/>
              </w:rPr>
            </w:pPr>
            <w:r>
              <w:rPr>
                <w:lang w:val="en-US"/>
              </w:rPr>
              <w:t>[Name Surname], PhD, [title]</w:t>
            </w:r>
          </w:p>
        </w:tc>
      </w:tr>
      <w:tr w14:paraId="1FF06F78" w14:textId="77777777">
        <w:trPr>
          <w:cantSplit/>
          <w:trHeight w:val="425"/>
          <w:jc w:val="center"/>
        </w:trPr>
        <w:tc>
          <w:tcPr>
            <w:tcW w:w="3259" w:type="dxa"/>
            <w:gridSpan w:val="2"/>
            <w:tcBorders>
              <w:bottom w:val="dashSmallGap" w:sz="4" w:space="0" w:color="000000"/>
              <w:right w:val="dashSmallGap" w:sz="4" w:space="0" w:color="000000"/>
            </w:tcBorders>
          </w:tcPr>
          <w:p w14:paraId="792D1FD1" w14:textId="77777777">
            <w:pPr>
              <w:pStyle w:val="Formular"/>
              <w:rPr>
                <w:lang w:val="en-US"/>
              </w:rPr>
            </w:pPr>
            <w:r>
              <w:rPr>
                <w:lang w:val="en-US"/>
              </w:rPr>
              <w:t xml:space="preserve">Title, </w:t>
            </w:r>
            <w:r>
              <w:rPr>
                <w:b/>
                <w:bCs/>
                <w:lang w:val="en-US"/>
              </w:rPr>
              <w:t>TI</w:t>
            </w:r>
            <w:r>
              <w:rPr>
                <w:lang w:val="en-US"/>
              </w:rPr>
              <w:t>:</w:t>
            </w:r>
          </w:p>
        </w:tc>
        <w:tc>
          <w:tcPr>
            <w:tcW w:w="5018" w:type="dxa"/>
            <w:gridSpan w:val="2"/>
            <w:tcBorders>
              <w:bottom w:val="dashSmallGap" w:sz="4" w:space="0" w:color="000000"/>
            </w:tcBorders>
          </w:tcPr>
          <w:p w14:paraId="532A7C53" w14:textId="77777777">
            <w:pPr>
              <w:pStyle w:val="Formular"/>
              <w:rPr>
                <w:lang w:val="en-US"/>
              </w:rPr>
            </w:pPr>
            <w:r>
              <w:rPr>
                <w:lang w:val="en-US"/>
              </w:rPr>
              <w:t>Information system for smart personal expense tracking and group debt optimization with digital payment simulation</w:t>
            </w:r>
          </w:p>
        </w:tc>
      </w:tr>
      <w:tr w14:paraId="62C1DE80" w14:textId="77777777">
        <w:trPr>
          <w:cantSplit/>
          <w:trHeight w:val="249"/>
          <w:jc w:val="center"/>
        </w:trPr>
        <w:tc>
          <w:tcPr>
            <w:tcW w:w="3259" w:type="dxa"/>
            <w:gridSpan w:val="2"/>
            <w:tcBorders>
              <w:bottom w:val="dashSmallGap" w:sz="4" w:space="0" w:color="000000"/>
              <w:right w:val="dashSmallGap" w:sz="4" w:space="0" w:color="000000"/>
            </w:tcBorders>
          </w:tcPr>
          <w:p w14:paraId="65F116F9" w14:textId="77777777">
            <w:pPr>
              <w:pStyle w:val="Formular"/>
              <w:rPr>
                <w:lang w:val="en-US"/>
              </w:rPr>
            </w:pPr>
            <w:r>
              <w:rPr>
                <w:lang w:val="en-US"/>
              </w:rPr>
              <w:t xml:space="preserve">Language of text, </w:t>
            </w:r>
            <w:r>
              <w:rPr>
                <w:b/>
                <w:bCs/>
                <w:lang w:val="en-US"/>
              </w:rPr>
              <w:t>LT</w:t>
            </w:r>
            <w:r>
              <w:rPr>
                <w:lang w:val="en-US"/>
              </w:rPr>
              <w:t>:</w:t>
            </w:r>
          </w:p>
        </w:tc>
        <w:tc>
          <w:tcPr>
            <w:tcW w:w="5018" w:type="dxa"/>
            <w:gridSpan w:val="2"/>
            <w:tcBorders>
              <w:bottom w:val="dashSmallGap" w:sz="4" w:space="0" w:color="000000"/>
            </w:tcBorders>
          </w:tcPr>
          <w:p w14:paraId="6D0B3A20" w14:textId="77777777">
            <w:pPr>
              <w:pStyle w:val="Formular"/>
              <w:rPr>
                <w:lang w:val="en-US"/>
              </w:rPr>
            </w:pPr>
            <w:r>
              <w:rPr>
                <w:lang w:val="en-US"/>
              </w:rPr>
              <w:t>Serbian</w:t>
            </w:r>
          </w:p>
        </w:tc>
      </w:tr>
      <w:tr w14:paraId="1CAF0291" w14:textId="77777777">
        <w:trPr>
          <w:cantSplit/>
          <w:trHeight w:val="249"/>
          <w:jc w:val="center"/>
        </w:trPr>
        <w:tc>
          <w:tcPr>
            <w:tcW w:w="3259" w:type="dxa"/>
            <w:gridSpan w:val="2"/>
            <w:tcBorders>
              <w:bottom w:val="dashSmallGap" w:sz="4" w:space="0" w:color="000000"/>
              <w:right w:val="dashSmallGap" w:sz="4" w:space="0" w:color="000000"/>
            </w:tcBorders>
          </w:tcPr>
          <w:p w14:paraId="4281BE86" w14:textId="77777777">
            <w:pPr>
              <w:pStyle w:val="Formular"/>
              <w:rPr>
                <w:lang w:val="en-US"/>
              </w:rPr>
            </w:pPr>
            <w:r>
              <w:rPr>
                <w:lang w:val="en-US"/>
              </w:rPr>
              <w:t xml:space="preserve">Language of abstract, </w:t>
            </w:r>
            <w:r>
              <w:rPr>
                <w:b/>
                <w:bCs/>
                <w:lang w:val="en-US"/>
              </w:rPr>
              <w:t>LA</w:t>
            </w:r>
            <w:r>
              <w:rPr>
                <w:lang w:val="en-US"/>
              </w:rPr>
              <w:t>:</w:t>
            </w:r>
          </w:p>
        </w:tc>
        <w:tc>
          <w:tcPr>
            <w:tcW w:w="5018" w:type="dxa"/>
            <w:gridSpan w:val="2"/>
            <w:tcBorders>
              <w:bottom w:val="dashSmallGap" w:sz="4" w:space="0" w:color="000000"/>
            </w:tcBorders>
          </w:tcPr>
          <w:p w14:paraId="0676F559" w14:textId="77777777">
            <w:pPr>
              <w:pStyle w:val="Formular"/>
              <w:rPr>
                <w:lang w:val="en-US"/>
              </w:rPr>
            </w:pPr>
            <w:r>
              <w:rPr>
                <w:lang w:val="en-US"/>
              </w:rPr>
              <w:t>Serbian / English</w:t>
            </w:r>
          </w:p>
        </w:tc>
      </w:tr>
      <w:tr w14:paraId="57DCB357" w14:textId="77777777">
        <w:trPr>
          <w:cantSplit/>
          <w:trHeight w:val="249"/>
          <w:jc w:val="center"/>
        </w:trPr>
        <w:tc>
          <w:tcPr>
            <w:tcW w:w="3259" w:type="dxa"/>
            <w:gridSpan w:val="2"/>
            <w:tcBorders>
              <w:bottom w:val="dashSmallGap" w:sz="4" w:space="0" w:color="000000"/>
              <w:right w:val="dashSmallGap" w:sz="4" w:space="0" w:color="000000"/>
            </w:tcBorders>
          </w:tcPr>
          <w:p w14:paraId="0102471A" w14:textId="77777777">
            <w:pPr>
              <w:pStyle w:val="Formular"/>
              <w:rPr>
                <w:lang w:val="en-US"/>
              </w:rPr>
            </w:pPr>
            <w:r>
              <w:rPr>
                <w:lang w:val="en-US"/>
              </w:rPr>
              <w:t xml:space="preserve">Country of publication, </w:t>
            </w:r>
            <w:r>
              <w:rPr>
                <w:b/>
                <w:bCs/>
                <w:lang w:val="en-US"/>
              </w:rPr>
              <w:t>CP</w:t>
            </w:r>
            <w:r>
              <w:rPr>
                <w:lang w:val="en-US"/>
              </w:rPr>
              <w:t>:</w:t>
            </w:r>
          </w:p>
        </w:tc>
        <w:tc>
          <w:tcPr>
            <w:tcW w:w="5018" w:type="dxa"/>
            <w:gridSpan w:val="2"/>
            <w:tcBorders>
              <w:bottom w:val="dashSmallGap" w:sz="4" w:space="0" w:color="000000"/>
            </w:tcBorders>
          </w:tcPr>
          <w:p w14:paraId="4F6E5C6D" w14:textId="77777777">
            <w:pPr>
              <w:pStyle w:val="Formular"/>
              <w:rPr>
                <w:lang w:val="en-US"/>
              </w:rPr>
            </w:pPr>
            <w:r>
              <w:rPr>
                <w:lang w:val="en-US"/>
              </w:rPr>
              <w:t>Republic of Serbia</w:t>
            </w:r>
          </w:p>
        </w:tc>
      </w:tr>
      <w:tr w14:paraId="4868FEBE" w14:textId="77777777">
        <w:trPr>
          <w:cantSplit/>
          <w:trHeight w:val="249"/>
          <w:jc w:val="center"/>
        </w:trPr>
        <w:tc>
          <w:tcPr>
            <w:tcW w:w="3259" w:type="dxa"/>
            <w:gridSpan w:val="2"/>
            <w:tcBorders>
              <w:bottom w:val="dashSmallGap" w:sz="4" w:space="0" w:color="000000"/>
              <w:right w:val="dashSmallGap" w:sz="4" w:space="0" w:color="000000"/>
            </w:tcBorders>
          </w:tcPr>
          <w:p w14:paraId="48D8EB91" w14:textId="77777777">
            <w:pPr>
              <w:pStyle w:val="Formular"/>
              <w:rPr>
                <w:lang w:val="en-US"/>
              </w:rPr>
            </w:pPr>
            <w:r>
              <w:rPr>
                <w:lang w:val="en-US"/>
              </w:rPr>
              <w:t xml:space="preserve">Locality of publication, </w:t>
            </w:r>
            <w:r>
              <w:rPr>
                <w:b/>
                <w:bCs/>
                <w:lang w:val="en-US"/>
              </w:rPr>
              <w:t>LP</w:t>
            </w:r>
            <w:r>
              <w:rPr>
                <w:lang w:val="en-US"/>
              </w:rPr>
              <w:t>:</w:t>
            </w:r>
          </w:p>
        </w:tc>
        <w:tc>
          <w:tcPr>
            <w:tcW w:w="5018" w:type="dxa"/>
            <w:gridSpan w:val="2"/>
            <w:tcBorders>
              <w:bottom w:val="dashSmallGap" w:sz="4" w:space="0" w:color="000000"/>
            </w:tcBorders>
          </w:tcPr>
          <w:p w14:paraId="44D20725" w14:textId="77777777">
            <w:pPr>
              <w:pStyle w:val="Formular"/>
              <w:rPr>
                <w:lang w:val="en-US"/>
              </w:rPr>
            </w:pPr>
            <w:r>
              <w:rPr>
                <w:lang w:val="en-US"/>
              </w:rPr>
              <w:t>Vojvodina</w:t>
            </w:r>
          </w:p>
        </w:tc>
      </w:tr>
      <w:tr w14:paraId="23D2A44B" w14:textId="77777777">
        <w:trPr>
          <w:cantSplit/>
          <w:trHeight w:val="249"/>
          <w:jc w:val="center"/>
        </w:trPr>
        <w:tc>
          <w:tcPr>
            <w:tcW w:w="3259" w:type="dxa"/>
            <w:gridSpan w:val="2"/>
            <w:tcBorders>
              <w:bottom w:val="dashSmallGap" w:sz="4" w:space="0" w:color="000000"/>
              <w:right w:val="dashSmallGap" w:sz="4" w:space="0" w:color="000000"/>
            </w:tcBorders>
          </w:tcPr>
          <w:p w14:paraId="7F0192DD" w14:textId="77777777">
            <w:pPr>
              <w:pStyle w:val="Formular"/>
              <w:rPr>
                <w:lang w:val="en-US"/>
              </w:rPr>
            </w:pPr>
            <w:r>
              <w:rPr>
                <w:lang w:val="en-US"/>
              </w:rPr>
              <w:t xml:space="preserve">Publication year, </w:t>
            </w:r>
            <w:r>
              <w:rPr>
                <w:b/>
                <w:bCs/>
                <w:lang w:val="en-US"/>
              </w:rPr>
              <w:t>PY</w:t>
            </w:r>
            <w:r>
              <w:rPr>
                <w:lang w:val="en-US"/>
              </w:rPr>
              <w:t>:</w:t>
            </w:r>
          </w:p>
        </w:tc>
        <w:tc>
          <w:tcPr>
            <w:tcW w:w="5018" w:type="dxa"/>
            <w:gridSpan w:val="2"/>
            <w:tcBorders>
              <w:bottom w:val="dashSmallGap" w:sz="4" w:space="0" w:color="000000"/>
            </w:tcBorders>
          </w:tcPr>
          <w:p w14:paraId="7A6C324D" w14:textId="77777777">
            <w:pPr>
              <w:pStyle w:val="Formular"/>
              <w:rPr>
                <w:lang w:val="en-US"/>
              </w:rPr>
            </w:pPr>
            <w:r>
              <w:rPr>
                <w:lang w:val="en-US"/>
              </w:rPr>
              <w:t>[година]</w:t>
            </w:r>
          </w:p>
        </w:tc>
      </w:tr>
      <w:tr w14:paraId="7638E761" w14:textId="77777777">
        <w:trPr>
          <w:cantSplit/>
          <w:trHeight w:val="249"/>
          <w:jc w:val="center"/>
        </w:trPr>
        <w:tc>
          <w:tcPr>
            <w:tcW w:w="3259" w:type="dxa"/>
            <w:gridSpan w:val="2"/>
            <w:tcBorders>
              <w:bottom w:val="dashSmallGap" w:sz="4" w:space="0" w:color="000000"/>
              <w:right w:val="dashSmallGap" w:sz="4" w:space="0" w:color="000000"/>
            </w:tcBorders>
          </w:tcPr>
          <w:p w14:paraId="62F58F82" w14:textId="77777777">
            <w:pPr>
              <w:pStyle w:val="Formular"/>
              <w:rPr>
                <w:lang w:val="en-US"/>
              </w:rPr>
            </w:pPr>
            <w:r>
              <w:rPr>
                <w:lang w:val="en-US"/>
              </w:rPr>
              <w:t xml:space="preserve">Publisher, </w:t>
            </w:r>
            <w:r>
              <w:rPr>
                <w:b/>
                <w:bCs/>
                <w:lang w:val="en-US"/>
              </w:rPr>
              <w:t>PB</w:t>
            </w:r>
            <w:r>
              <w:rPr>
                <w:lang w:val="en-US"/>
              </w:rPr>
              <w:t>:</w:t>
            </w:r>
          </w:p>
        </w:tc>
        <w:tc>
          <w:tcPr>
            <w:tcW w:w="5018" w:type="dxa"/>
            <w:gridSpan w:val="2"/>
            <w:tcBorders>
              <w:bottom w:val="dashSmallGap" w:sz="4" w:space="0" w:color="000000"/>
            </w:tcBorders>
          </w:tcPr>
          <w:p w14:paraId="018F6C43" w14:textId="77777777">
            <w:pPr>
              <w:pStyle w:val="Formular"/>
              <w:rPr>
                <w:lang w:val="en-US"/>
              </w:rPr>
            </w:pPr>
            <w:r>
              <w:rPr>
                <w:lang w:val="en-US"/>
              </w:rPr>
              <w:t>Author's reprint</w:t>
            </w:r>
          </w:p>
        </w:tc>
      </w:tr>
      <w:tr w14:paraId="321DFEE3" w14:textId="77777777">
        <w:trPr>
          <w:cantSplit/>
          <w:trHeight w:val="249"/>
          <w:jc w:val="center"/>
        </w:trPr>
        <w:tc>
          <w:tcPr>
            <w:tcW w:w="3259" w:type="dxa"/>
            <w:gridSpan w:val="2"/>
            <w:tcBorders>
              <w:bottom w:val="dashSmallGap" w:sz="4" w:space="0" w:color="000000"/>
              <w:right w:val="dashSmallGap" w:sz="4" w:space="0" w:color="000000"/>
            </w:tcBorders>
          </w:tcPr>
          <w:p w14:paraId="0011786B" w14:textId="77777777">
            <w:pPr>
              <w:pStyle w:val="Formular"/>
              <w:rPr>
                <w:lang w:val="en-US"/>
              </w:rPr>
            </w:pPr>
            <w:r>
              <w:rPr>
                <w:lang w:val="en-US"/>
              </w:rPr>
              <w:t xml:space="preserve">Publication place, </w:t>
            </w:r>
            <w:r>
              <w:rPr>
                <w:b/>
                <w:bCs/>
                <w:lang w:val="en-US"/>
              </w:rPr>
              <w:t>PP</w:t>
            </w:r>
            <w:r>
              <w:rPr>
                <w:lang w:val="en-US"/>
              </w:rPr>
              <w:t>:</w:t>
            </w:r>
          </w:p>
        </w:tc>
        <w:tc>
          <w:tcPr>
            <w:tcW w:w="5018" w:type="dxa"/>
            <w:gridSpan w:val="2"/>
            <w:tcBorders>
              <w:bottom w:val="dashSmallGap" w:sz="4" w:space="0" w:color="000000"/>
            </w:tcBorders>
          </w:tcPr>
          <w:p w14:paraId="39454968" w14:textId="77777777">
            <w:pPr>
              <w:pStyle w:val="Formular"/>
              <w:rPr>
                <w:lang w:val="sr-Latn-RS"/>
              </w:rPr>
            </w:pPr>
            <w:r>
              <w:rPr>
                <w:lang w:val="sr-Latn-RS"/>
              </w:rPr>
              <w:t>Novi Sad, Trg Dositeja Obradovića 6</w:t>
            </w:r>
          </w:p>
        </w:tc>
      </w:tr>
      <w:tr w14:paraId="47E94409" w14:textId="77777777">
        <w:trPr>
          <w:cantSplit/>
          <w:trHeight w:val="340"/>
          <w:jc w:val="center"/>
        </w:trPr>
        <w:tc>
          <w:tcPr>
            <w:tcW w:w="3259" w:type="dxa"/>
            <w:gridSpan w:val="2"/>
            <w:tcBorders>
              <w:bottom w:val="dashSmallGap" w:sz="4" w:space="0" w:color="000000"/>
              <w:right w:val="dashSmallGap" w:sz="4" w:space="0" w:color="000000"/>
            </w:tcBorders>
          </w:tcPr>
          <w:p w14:paraId="43C8255A" w14:textId="77777777">
            <w:pPr>
              <w:pStyle w:val="Formular"/>
              <w:rPr>
                <w:lang w:val="en-US"/>
              </w:rPr>
            </w:pPr>
            <w:r>
              <w:rPr>
                <w:lang w:val="en-US"/>
              </w:rPr>
              <w:t xml:space="preserve">Physical description, </w:t>
            </w:r>
            <w:r>
              <w:rPr>
                <w:b/>
                <w:bCs/>
                <w:lang w:val="en-US"/>
              </w:rPr>
              <w:t>PD</w:t>
            </w:r>
            <w:r>
              <w:rPr>
                <w:lang w:val="en-US"/>
              </w:rPr>
              <w:t>:</w:t>
            </w:r>
          </w:p>
          <w:p w14:paraId="704DD432" w14:textId="77777777">
            <w:pPr>
              <w:pStyle w:val="Formular"/>
              <w:rPr>
                <w:lang w:val="en-US"/>
              </w:rPr>
            </w:pPr>
            <w:r>
              <w:rPr>
                <w:sz w:val="10"/>
                <w:szCs w:val="10"/>
                <w:lang w:val="en-US"/>
              </w:rPr>
              <w:t>(chapters/pages/ref./tables/pictures/graphs/appendixes)</w:t>
            </w:r>
          </w:p>
        </w:tc>
        <w:tc>
          <w:tcPr>
            <w:tcW w:w="5018" w:type="dxa"/>
            <w:gridSpan w:val="2"/>
            <w:tcBorders>
              <w:bottom w:val="dashSmallGap" w:sz="4" w:space="0" w:color="000000"/>
            </w:tcBorders>
          </w:tcPr>
          <w:p w14:paraId="74D26E95" w14:textId="77777777">
            <w:pPr>
              <w:pStyle w:val="Formular"/>
              <w:rPr>
                <w:lang w:val="en-US"/>
              </w:rPr>
            </w:pPr>
            <w:r>
              <w:rPr>
                <w:lang w:val="en-US"/>
              </w:rPr>
              <w:t>[ ]/[ ]/[ ]/[ ]/[ ]/[ ]/[ ]</w:t>
            </w:r>
          </w:p>
        </w:tc>
      </w:tr>
      <w:tr w14:paraId="1919301F" w14:textId="77777777">
        <w:trPr>
          <w:cantSplit/>
          <w:trHeight w:val="249"/>
          <w:jc w:val="center"/>
        </w:trPr>
        <w:tc>
          <w:tcPr>
            <w:tcW w:w="3259" w:type="dxa"/>
            <w:gridSpan w:val="2"/>
            <w:tcBorders>
              <w:bottom w:val="dashSmallGap" w:sz="4" w:space="0" w:color="000000"/>
              <w:right w:val="dashSmallGap" w:sz="4" w:space="0" w:color="000000"/>
            </w:tcBorders>
          </w:tcPr>
          <w:p w14:paraId="5AE3FB7D" w14:textId="77777777">
            <w:pPr>
              <w:pStyle w:val="Formular"/>
              <w:rPr>
                <w:lang w:val="en-US"/>
              </w:rPr>
            </w:pPr>
            <w:r>
              <w:rPr>
                <w:lang w:val="en-US"/>
              </w:rPr>
              <w:t xml:space="preserve">Scientific field, </w:t>
            </w:r>
            <w:r>
              <w:rPr>
                <w:b/>
                <w:bCs/>
                <w:lang w:val="en-US"/>
              </w:rPr>
              <w:t>SF</w:t>
            </w:r>
            <w:r>
              <w:rPr>
                <w:lang w:val="en-US"/>
              </w:rPr>
              <w:t>:</w:t>
            </w:r>
          </w:p>
        </w:tc>
        <w:tc>
          <w:tcPr>
            <w:tcW w:w="5018" w:type="dxa"/>
            <w:gridSpan w:val="2"/>
            <w:tcBorders>
              <w:bottom w:val="dashSmallGap" w:sz="4" w:space="0" w:color="000000"/>
            </w:tcBorders>
          </w:tcPr>
          <w:p w14:paraId="7733CBAA" w14:textId="77777777">
            <w:pPr>
              <w:pStyle w:val="Formular"/>
              <w:rPr>
                <w:lang w:val="en-US"/>
              </w:rPr>
            </w:pPr>
            <w:r>
              <w:rPr>
                <w:lang w:val="en-US"/>
              </w:rPr>
              <w:t>Electrical and Computer Engineering</w:t>
            </w:r>
          </w:p>
        </w:tc>
      </w:tr>
      <w:tr w14:paraId="6C06FA5E" w14:textId="77777777">
        <w:trPr>
          <w:cantSplit/>
          <w:trHeight w:val="249"/>
          <w:jc w:val="center"/>
        </w:trPr>
        <w:tc>
          <w:tcPr>
            <w:tcW w:w="3259" w:type="dxa"/>
            <w:gridSpan w:val="2"/>
            <w:tcBorders>
              <w:bottom w:val="dashSmallGap" w:sz="4" w:space="0" w:color="000000"/>
              <w:right w:val="dashSmallGap" w:sz="4" w:space="0" w:color="000000"/>
            </w:tcBorders>
          </w:tcPr>
          <w:p w14:paraId="7657D65F" w14:textId="77777777">
            <w:pPr>
              <w:pStyle w:val="Formular"/>
              <w:rPr>
                <w:lang w:val="en-US"/>
              </w:rPr>
            </w:pPr>
            <w:r>
              <w:rPr>
                <w:lang w:val="en-US"/>
              </w:rPr>
              <w:t xml:space="preserve">Scientific discipline, </w:t>
            </w:r>
            <w:r>
              <w:rPr>
                <w:b/>
                <w:bCs/>
                <w:lang w:val="en-US"/>
              </w:rPr>
              <w:t>SD</w:t>
            </w:r>
            <w:r>
              <w:rPr>
                <w:lang w:val="en-US"/>
              </w:rPr>
              <w:t>:</w:t>
            </w:r>
          </w:p>
        </w:tc>
        <w:tc>
          <w:tcPr>
            <w:tcW w:w="5018" w:type="dxa"/>
            <w:gridSpan w:val="2"/>
            <w:tcBorders>
              <w:bottom w:val="dashSmallGap" w:sz="4" w:space="0" w:color="000000"/>
            </w:tcBorders>
          </w:tcPr>
          <w:p w14:paraId="22C7F4CC" w14:textId="77777777">
            <w:pPr>
              <w:pStyle w:val="Formular"/>
              <w:rPr>
                <w:lang w:val="en-US"/>
              </w:rPr>
            </w:pPr>
            <w:r>
              <w:rPr>
                <w:lang w:val="en-US"/>
              </w:rPr>
              <w:t>Applied computer science and informatics</w:t>
            </w:r>
          </w:p>
        </w:tc>
      </w:tr>
      <w:tr w14:paraId="4A3AE8B1" w14:textId="77777777">
        <w:trPr>
          <w:cantSplit/>
          <w:trHeight w:val="283"/>
          <w:jc w:val="center"/>
        </w:trPr>
        <w:tc>
          <w:tcPr>
            <w:tcW w:w="3259" w:type="dxa"/>
            <w:gridSpan w:val="2"/>
            <w:tcBorders>
              <w:bottom w:val="dashSmallGap" w:sz="4" w:space="0" w:color="000000"/>
              <w:right w:val="dashSmallGap" w:sz="4" w:space="0" w:color="000000"/>
            </w:tcBorders>
          </w:tcPr>
          <w:p w14:paraId="62BFD431" w14:textId="77777777">
            <w:pPr>
              <w:pStyle w:val="Formular"/>
              <w:rPr>
                <w:lang w:val="en-US"/>
              </w:rPr>
            </w:pPr>
            <w:r>
              <w:rPr>
                <w:lang w:val="en-US"/>
              </w:rPr>
              <w:t xml:space="preserve">Subject/Key words, </w:t>
            </w:r>
            <w:r>
              <w:rPr>
                <w:b/>
                <w:bCs/>
                <w:lang w:val="en-US"/>
              </w:rPr>
              <w:t>S</w:t>
            </w:r>
            <w:r>
              <w:rPr>
                <w:lang w:val="en-US"/>
              </w:rPr>
              <w:t>/</w:t>
            </w:r>
            <w:r>
              <w:rPr>
                <w:b/>
                <w:bCs/>
                <w:lang w:val="en-US"/>
              </w:rPr>
              <w:t>KW</w:t>
            </w:r>
            <w:r>
              <w:rPr>
                <w:lang w:val="en-US"/>
              </w:rPr>
              <w:t>:</w:t>
            </w:r>
          </w:p>
        </w:tc>
        <w:tc>
          <w:tcPr>
            <w:tcW w:w="5018" w:type="dxa"/>
            <w:gridSpan w:val="2"/>
            <w:tcBorders>
              <w:bottom w:val="dashSmallGap" w:sz="4" w:space="0" w:color="000000"/>
            </w:tcBorders>
          </w:tcPr>
          <w:p w14:paraId="743C594E" w14:textId="77777777">
            <w:pPr>
              <w:pStyle w:val="Formular"/>
              <w:rPr>
                <w:lang w:val="en-US"/>
              </w:rPr>
            </w:pPr>
            <w:r>
              <w:rPr>
                <w:lang w:val="en-US"/>
              </w:rPr>
              <w:t>[key words, comma separated]</w:t>
            </w:r>
          </w:p>
        </w:tc>
      </w:tr>
      <w:tr w14:paraId="552E5D03" w14:textId="77777777">
        <w:trPr>
          <w:cantSplit/>
          <w:trHeight w:val="249"/>
          <w:jc w:val="center"/>
        </w:trPr>
        <w:tc>
          <w:tcPr>
            <w:tcW w:w="3259" w:type="dxa"/>
            <w:gridSpan w:val="2"/>
            <w:tcBorders>
              <w:bottom w:val="dashSmallGap" w:sz="4" w:space="0" w:color="000000"/>
              <w:right w:val="dashSmallGap" w:sz="4" w:space="0" w:color="000000"/>
            </w:tcBorders>
          </w:tcPr>
          <w:p w14:paraId="50FDA2BF" w14:textId="77777777">
            <w:pPr>
              <w:pStyle w:val="Formular"/>
              <w:rPr>
                <w:b/>
                <w:bCs/>
                <w:lang w:val="en-US"/>
              </w:rPr>
            </w:pPr>
            <w:r>
              <w:rPr>
                <w:b/>
                <w:bCs/>
                <w:lang w:val="en-US"/>
              </w:rPr>
              <w:t>UC</w:t>
            </w:r>
          </w:p>
        </w:tc>
        <w:tc>
          <w:tcPr>
            <w:tcW w:w="5018" w:type="dxa"/>
            <w:gridSpan w:val="2"/>
            <w:tcBorders>
              <w:bottom w:val="dashSmallGap" w:sz="4" w:space="0" w:color="000000"/>
            </w:tcBorders>
          </w:tcPr>
          <w:p w14:paraId="2D594810" w14:textId="77777777">
            <w:pPr>
              <w:pStyle w:val="Formular"/>
              <w:rPr>
                <w:lang w:val="en-US"/>
              </w:rPr>
            </w:pPr>
          </w:p>
        </w:tc>
      </w:tr>
      <w:tr w14:paraId="2F603D25" w14:textId="77777777">
        <w:trPr>
          <w:cantSplit/>
          <w:trHeight w:val="283"/>
          <w:jc w:val="center"/>
        </w:trPr>
        <w:tc>
          <w:tcPr>
            <w:tcW w:w="3259" w:type="dxa"/>
            <w:gridSpan w:val="2"/>
            <w:tcBorders>
              <w:bottom w:val="dashSmallGap" w:sz="4" w:space="0" w:color="000000"/>
              <w:right w:val="dashSmallGap" w:sz="4" w:space="0" w:color="000000"/>
            </w:tcBorders>
          </w:tcPr>
          <w:p w14:paraId="6EB315B4" w14:textId="77777777">
            <w:pPr>
              <w:pStyle w:val="Formular"/>
              <w:rPr>
                <w:lang w:val="en-US"/>
              </w:rPr>
            </w:pPr>
            <w:r>
              <w:rPr>
                <w:lang w:val="en-US"/>
              </w:rPr>
              <w:t xml:space="preserve">Holding data, </w:t>
            </w:r>
            <w:r>
              <w:rPr>
                <w:b/>
                <w:bCs/>
                <w:lang w:val="en-US"/>
              </w:rPr>
              <w:t>HD</w:t>
            </w:r>
            <w:r>
              <w:rPr>
                <w:lang w:val="en-US"/>
              </w:rPr>
              <w:t>:</w:t>
            </w:r>
          </w:p>
        </w:tc>
        <w:tc>
          <w:tcPr>
            <w:tcW w:w="5018" w:type="dxa"/>
            <w:gridSpan w:val="2"/>
            <w:tcBorders>
              <w:bottom w:val="dashSmallGap" w:sz="4" w:space="0" w:color="000000"/>
            </w:tcBorders>
          </w:tcPr>
          <w:p w14:paraId="67547D85" w14:textId="77777777">
            <w:pPr>
              <w:pStyle w:val="Formular"/>
              <w:rPr>
                <w:lang w:val="en-US"/>
              </w:rPr>
            </w:pPr>
            <w:r>
              <w:rPr>
                <w:lang w:val="en-US"/>
              </w:rPr>
              <w:t>The Library of the Faculty of Technical Sciences, Novi Sad</w:t>
            </w:r>
          </w:p>
        </w:tc>
      </w:tr>
      <w:tr w14:paraId="5D1F91D3" w14:textId="77777777">
        <w:trPr>
          <w:cantSplit/>
          <w:trHeight w:val="283"/>
          <w:jc w:val="center"/>
        </w:trPr>
        <w:tc>
          <w:tcPr>
            <w:tcW w:w="3259" w:type="dxa"/>
            <w:gridSpan w:val="2"/>
            <w:tcBorders>
              <w:bottom w:val="dashSmallGap" w:sz="4" w:space="0" w:color="000000"/>
              <w:right w:val="dashSmallGap" w:sz="4" w:space="0" w:color="000000"/>
            </w:tcBorders>
          </w:tcPr>
          <w:p w14:paraId="1A168883" w14:textId="77777777">
            <w:pPr>
              <w:pStyle w:val="Formular"/>
              <w:rPr>
                <w:lang w:val="en-US"/>
              </w:rPr>
            </w:pPr>
            <w:r>
              <w:rPr>
                <w:lang w:val="en-US"/>
              </w:rPr>
              <w:t xml:space="preserve">Note, </w:t>
            </w:r>
            <w:r>
              <w:rPr>
                <w:b/>
                <w:bCs/>
                <w:lang w:val="en-US"/>
              </w:rPr>
              <w:t>N</w:t>
            </w:r>
            <w:r>
              <w:rPr>
                <w:lang w:val="en-US"/>
              </w:rPr>
              <w:t>:</w:t>
            </w:r>
          </w:p>
        </w:tc>
        <w:tc>
          <w:tcPr>
            <w:tcW w:w="5018" w:type="dxa"/>
            <w:gridSpan w:val="2"/>
            <w:tcBorders>
              <w:bottom w:val="dashSmallGap" w:sz="4" w:space="0" w:color="000000"/>
            </w:tcBorders>
          </w:tcPr>
          <w:p w14:paraId="6D7FDBC9" w14:textId="77777777">
            <w:pPr>
              <w:pStyle w:val="Formular"/>
              <w:rPr>
                <w:lang w:val="en-US"/>
              </w:rPr>
            </w:pPr>
          </w:p>
        </w:tc>
      </w:tr>
      <w:tr w14:paraId="4AE86DDD" w14:textId="77777777">
        <w:trPr>
          <w:cantSplit/>
          <w:trHeight w:val="1020"/>
          <w:jc w:val="center"/>
        </w:trPr>
        <w:tc>
          <w:tcPr>
            <w:tcW w:w="3259" w:type="dxa"/>
            <w:gridSpan w:val="2"/>
            <w:tcBorders>
              <w:bottom w:val="dashSmallGap" w:sz="4" w:space="0" w:color="000000"/>
              <w:right w:val="dashSmallGap" w:sz="4" w:space="0" w:color="000000"/>
            </w:tcBorders>
          </w:tcPr>
          <w:p w14:paraId="1F2A2365" w14:textId="77777777">
            <w:pPr>
              <w:pStyle w:val="Formular"/>
              <w:rPr>
                <w:lang w:val="en-US"/>
              </w:rPr>
            </w:pPr>
            <w:r>
              <w:rPr>
                <w:lang w:val="en-US"/>
              </w:rPr>
              <w:t xml:space="preserve">Abstract, </w:t>
            </w:r>
            <w:r>
              <w:rPr>
                <w:b/>
                <w:bCs/>
                <w:lang w:val="en-US"/>
              </w:rPr>
              <w:t>AB</w:t>
            </w:r>
            <w:r>
              <w:rPr>
                <w:lang w:val="en-US"/>
              </w:rPr>
              <w:t>:</w:t>
            </w:r>
          </w:p>
        </w:tc>
        <w:tc>
          <w:tcPr>
            <w:tcW w:w="5018" w:type="dxa"/>
            <w:gridSpan w:val="2"/>
            <w:tcBorders>
              <w:bottom w:val="dashSmallGap" w:sz="4" w:space="0" w:color="000000"/>
            </w:tcBorders>
          </w:tcPr>
          <w:p w14:paraId="2E9CA811" w14:textId="77777777">
            <w:pPr>
              <w:pStyle w:val="Formular"/>
              <w:rPr>
                <w:lang w:val="en-US"/>
              </w:rPr>
            </w:pPr>
            <w:r>
              <w:rPr>
                <w:lang w:val="en-US"/>
              </w:rPr>
              <w:t>[Abstract — a few sentences about what the thesis does.]</w:t>
            </w:r>
          </w:p>
        </w:tc>
      </w:tr>
      <w:tr w14:paraId="395DE146" w14:textId="77777777">
        <w:trPr>
          <w:cantSplit/>
          <w:trHeight w:val="249"/>
          <w:jc w:val="center"/>
        </w:trPr>
        <w:tc>
          <w:tcPr>
            <w:tcW w:w="3259" w:type="dxa"/>
            <w:gridSpan w:val="2"/>
            <w:tcBorders>
              <w:bottom w:val="dashSmallGap" w:sz="4" w:space="0" w:color="000000"/>
              <w:right w:val="dashSmallGap" w:sz="4" w:space="0" w:color="000000"/>
            </w:tcBorders>
          </w:tcPr>
          <w:p w14:paraId="51CBA162" w14:textId="77777777">
            <w:pPr>
              <w:pStyle w:val="Formular"/>
              <w:rPr>
                <w:lang w:val="en-US"/>
              </w:rPr>
            </w:pPr>
            <w:r>
              <w:rPr>
                <w:lang w:val="en-US"/>
              </w:rPr>
              <w:t xml:space="preserve">Accepted by the Scientific Board on, </w:t>
            </w:r>
            <w:r>
              <w:rPr>
                <w:b/>
                <w:bCs/>
                <w:lang w:val="en-US"/>
              </w:rPr>
              <w:t>ASB</w:t>
            </w:r>
            <w:r>
              <w:rPr>
                <w:lang w:val="en-US"/>
              </w:rPr>
              <w:t>:</w:t>
            </w:r>
          </w:p>
        </w:tc>
        <w:tc>
          <w:tcPr>
            <w:tcW w:w="5018" w:type="dxa"/>
            <w:gridSpan w:val="2"/>
            <w:tcBorders>
              <w:bottom w:val="dashSmallGap" w:sz="4" w:space="0" w:color="000000"/>
            </w:tcBorders>
          </w:tcPr>
          <w:p w14:paraId="0BFB0E3D" w14:textId="77777777">
            <w:pPr>
              <w:pStyle w:val="Formular"/>
              <w:rPr>
                <w:lang w:val="en-US"/>
              </w:rPr>
            </w:pPr>
          </w:p>
        </w:tc>
      </w:tr>
      <w:tr w14:paraId="37D38654" w14:textId="77777777">
        <w:trPr>
          <w:cantSplit/>
          <w:trHeight w:val="249"/>
          <w:jc w:val="center"/>
        </w:trPr>
        <w:tc>
          <w:tcPr>
            <w:tcW w:w="3259" w:type="dxa"/>
            <w:gridSpan w:val="2"/>
            <w:tcBorders>
              <w:bottom w:val="dashSmallGap" w:sz="4" w:space="0" w:color="000000"/>
              <w:right w:val="dashSmallGap" w:sz="4" w:space="0" w:color="000000"/>
            </w:tcBorders>
          </w:tcPr>
          <w:p w14:paraId="61980D39" w14:textId="77777777">
            <w:pPr>
              <w:pStyle w:val="Formular"/>
              <w:rPr>
                <w:lang w:val="en-US"/>
              </w:rPr>
            </w:pPr>
            <w:r>
              <w:rPr>
                <w:lang w:val="en-US"/>
              </w:rPr>
              <w:t xml:space="preserve">Defended on, </w:t>
            </w:r>
            <w:r>
              <w:rPr>
                <w:b/>
                <w:bCs/>
                <w:lang w:val="en-US"/>
              </w:rPr>
              <w:t>DE</w:t>
            </w:r>
            <w:r>
              <w:rPr>
                <w:lang w:val="en-US"/>
              </w:rPr>
              <w:t>:</w:t>
            </w:r>
          </w:p>
        </w:tc>
        <w:tc>
          <w:tcPr>
            <w:tcW w:w="5018" w:type="dxa"/>
            <w:gridSpan w:val="2"/>
            <w:tcBorders>
              <w:bottom w:val="dashSmallGap" w:sz="4" w:space="0" w:color="000000"/>
            </w:tcBorders>
          </w:tcPr>
          <w:p w14:paraId="214038E6" w14:textId="77777777">
            <w:pPr>
              <w:pStyle w:val="Formular"/>
              <w:rPr>
                <w:lang w:val="en-US"/>
              </w:rPr>
            </w:pPr>
            <w:r>
              <w:rPr>
                <w:lang w:val="en-US"/>
              </w:rPr>
              <w:t>[date]</w:t>
            </w:r>
          </w:p>
        </w:tc>
      </w:tr>
      <w:tr w14:paraId="165F8478" w14:textId="77777777">
        <w:trPr>
          <w:cantSplit/>
          <w:trHeight w:val="249"/>
          <w:jc w:val="center"/>
        </w:trPr>
        <w:tc>
          <w:tcPr>
            <w:tcW w:w="1841" w:type="dxa"/>
            <w:vMerge w:val="restart"/>
            <w:tcBorders>
              <w:top w:val="dashSmallGap" w:sz="4" w:space="0" w:color="000000"/>
              <w:bottom w:val="single" w:sz="12" w:space="0" w:color="auto"/>
            </w:tcBorders>
          </w:tcPr>
          <w:p w14:paraId="48D515E3" w14:textId="77777777">
            <w:pPr>
              <w:pStyle w:val="Formular"/>
              <w:rPr>
                <w:lang w:val="en-US"/>
              </w:rPr>
            </w:pPr>
            <w:r>
              <w:rPr>
                <w:lang w:val="en-US"/>
              </w:rPr>
              <w:t xml:space="preserve">Defended Board, </w:t>
            </w:r>
            <w:r>
              <w:rPr>
                <w:b/>
                <w:bCs/>
                <w:lang w:val="en-US"/>
              </w:rPr>
              <w:t>DB</w:t>
            </w:r>
            <w:r>
              <w:rPr>
                <w:lang w:val="en-US"/>
              </w:rPr>
              <w:t>:</w:t>
            </w:r>
          </w:p>
        </w:tc>
        <w:tc>
          <w:tcPr>
            <w:tcW w:w="1418" w:type="dxa"/>
            <w:tcBorders>
              <w:top w:val="dashSmallGap" w:sz="4" w:space="0" w:color="000000"/>
              <w:left w:val="nil"/>
              <w:bottom w:val="dashSmallGap" w:sz="4" w:space="0" w:color="auto"/>
              <w:right w:val="dashSmallGap" w:sz="4" w:space="0" w:color="000000"/>
            </w:tcBorders>
          </w:tcPr>
          <w:p w14:paraId="31B58958" w14:textId="77777777">
            <w:pPr>
              <w:pStyle w:val="Formular"/>
              <w:jc w:val="right"/>
              <w:rPr>
                <w:lang w:val="en-US"/>
              </w:rPr>
            </w:pPr>
            <w:r>
              <w:rPr>
                <w:lang w:val="en-US"/>
              </w:rPr>
              <w:t>President:</w:t>
            </w:r>
          </w:p>
        </w:tc>
        <w:tc>
          <w:tcPr>
            <w:tcW w:w="5018" w:type="dxa"/>
            <w:gridSpan w:val="2"/>
            <w:tcBorders>
              <w:bottom w:val="dashSmallGap" w:sz="4" w:space="0" w:color="000000"/>
            </w:tcBorders>
          </w:tcPr>
          <w:p w14:paraId="1C62D3AE" w14:textId="77777777">
            <w:pPr>
              <w:pStyle w:val="Formular"/>
              <w:rPr>
                <w:lang w:val="en-US"/>
              </w:rPr>
            </w:pPr>
            <w:r>
              <w:rPr>
                <w:lang w:val="en-US"/>
              </w:rPr>
              <w:t>[Name Surname], PhD, [title]</w:t>
            </w:r>
          </w:p>
        </w:tc>
      </w:tr>
      <w:tr w14:paraId="5F513480" w14:textId="77777777">
        <w:trPr>
          <w:cantSplit/>
          <w:trHeight w:val="249"/>
          <w:jc w:val="center"/>
        </w:trPr>
        <w:tc>
          <w:tcPr>
            <w:tcW w:w="1841" w:type="dxa"/>
            <w:vMerge/>
            <w:tcBorders>
              <w:bottom w:val="single" w:sz="12" w:space="0" w:color="auto"/>
            </w:tcBorders>
          </w:tcPr>
          <w:p w14:paraId="6969A34B" w14:textId="77777777">
            <w:pPr>
              <w:spacing w:after="0" w:line="240" w:lineRule="auto"/>
              <w:rPr>
                <w:lang w:val="en-US"/>
              </w:rPr>
            </w:pPr>
          </w:p>
        </w:tc>
        <w:tc>
          <w:tcPr>
            <w:tcW w:w="1418" w:type="dxa"/>
            <w:tcBorders>
              <w:top w:val="dashSmallGap" w:sz="4" w:space="0" w:color="auto"/>
              <w:left w:val="nil"/>
              <w:bottom w:val="dashSmallGap" w:sz="4" w:space="0" w:color="auto"/>
              <w:right w:val="dashSmallGap" w:sz="4" w:space="0" w:color="000000"/>
            </w:tcBorders>
          </w:tcPr>
          <w:p w14:paraId="14AA5AD3" w14:textId="77777777">
            <w:pPr>
              <w:spacing w:after="0" w:line="240" w:lineRule="auto"/>
              <w:jc w:val="right"/>
              <w:rPr>
                <w:rFonts w:ascii="Arial" w:hAnsi="Arial" w:cs="Arial"/>
                <w:sz w:val="16"/>
                <w:szCs w:val="16"/>
                <w:lang w:val="en-US"/>
              </w:rPr>
            </w:pPr>
            <w:r>
              <w:rPr>
                <w:rFonts w:ascii="Arial" w:hAnsi="Arial" w:cs="Arial"/>
                <w:sz w:val="16"/>
                <w:szCs w:val="16"/>
                <w:lang w:val="en-US"/>
              </w:rPr>
              <w:t>Member:</w:t>
            </w:r>
          </w:p>
        </w:tc>
        <w:tc>
          <w:tcPr>
            <w:tcW w:w="2978" w:type="dxa"/>
            <w:tcBorders>
              <w:bottom w:val="dashSmallGap" w:sz="4" w:space="0" w:color="000000"/>
            </w:tcBorders>
          </w:tcPr>
          <w:p w14:paraId="666B1DAD" w14:textId="77777777">
            <w:pPr>
              <w:pStyle w:val="Formular"/>
              <w:rPr>
                <w:lang w:val="en-US"/>
              </w:rPr>
            </w:pPr>
            <w:r>
              <w:rPr>
                <w:lang w:val="en-US"/>
              </w:rPr>
              <w:t>[Name Surname], PhD, [title]</w:t>
            </w:r>
          </w:p>
        </w:tc>
        <w:tc>
          <w:tcPr>
            <w:tcW w:w="2040" w:type="dxa"/>
            <w:tcBorders>
              <w:bottom w:val="single" w:sz="12" w:space="0" w:color="auto"/>
            </w:tcBorders>
          </w:tcPr>
          <w:p w14:paraId="365E6B90" w14:textId="77777777">
            <w:pPr>
              <w:pStyle w:val="Formular"/>
              <w:rPr>
                <w:lang w:val="en-US"/>
              </w:rPr>
            </w:pPr>
          </w:p>
        </w:tc>
      </w:tr>
      <w:tr w14:paraId="1C5F09E5" w14:textId="77777777">
        <w:trPr>
          <w:cantSplit/>
          <w:trHeight w:val="249"/>
          <w:jc w:val="center"/>
        </w:trPr>
        <w:tc>
          <w:tcPr>
            <w:tcW w:w="1841" w:type="dxa"/>
            <w:vMerge/>
            <w:tcBorders>
              <w:bottom w:val="single" w:sz="12" w:space="0" w:color="auto"/>
            </w:tcBorders>
          </w:tcPr>
          <w:p w14:paraId="4957ED63" w14:textId="77777777">
            <w:pPr>
              <w:spacing w:after="0" w:line="240" w:lineRule="auto"/>
              <w:rPr>
                <w:lang w:val="en-US"/>
              </w:rPr>
            </w:pPr>
          </w:p>
        </w:tc>
        <w:tc>
          <w:tcPr>
            <w:tcW w:w="1418" w:type="dxa"/>
            <w:tcBorders>
              <w:top w:val="dashSmallGap" w:sz="4" w:space="0" w:color="auto"/>
              <w:left w:val="nil"/>
              <w:bottom w:val="dashSmallGap" w:sz="4" w:space="0" w:color="auto"/>
              <w:right w:val="dashSmallGap" w:sz="4" w:space="0" w:color="000000"/>
            </w:tcBorders>
          </w:tcPr>
          <w:p w14:paraId="4D3AD577" w14:textId="77777777">
            <w:pPr>
              <w:spacing w:after="0" w:line="240" w:lineRule="auto"/>
              <w:jc w:val="right"/>
              <w:rPr>
                <w:rFonts w:ascii="Arial" w:hAnsi="Arial" w:cs="Arial"/>
                <w:sz w:val="16"/>
                <w:szCs w:val="16"/>
                <w:lang w:val="en-US"/>
              </w:rPr>
            </w:pPr>
            <w:r>
              <w:rPr>
                <w:rFonts w:ascii="Arial" w:hAnsi="Arial" w:cs="Arial"/>
                <w:sz w:val="16"/>
                <w:szCs w:val="16"/>
                <w:lang w:val="en-US"/>
              </w:rPr>
              <w:t>Member:</w:t>
            </w:r>
          </w:p>
        </w:tc>
        <w:tc>
          <w:tcPr>
            <w:tcW w:w="2978" w:type="dxa"/>
            <w:tcBorders>
              <w:bottom w:val="dashSmallGap" w:sz="4" w:space="0" w:color="000000"/>
              <w:right w:val="single" w:sz="12" w:space="0" w:color="auto"/>
            </w:tcBorders>
          </w:tcPr>
          <w:p w14:paraId="651C22A6" w14:textId="77777777">
            <w:pPr>
              <w:pStyle w:val="Formular"/>
              <w:rPr>
                <w:lang w:val="en-US"/>
              </w:rPr>
            </w:pPr>
            <w:r>
              <w:rPr>
                <w:lang w:val="en-US"/>
              </w:rPr>
              <w:t>[Name Surname], PhD, [title]</w:t>
            </w:r>
          </w:p>
        </w:tc>
        <w:tc>
          <w:tcPr>
            <w:tcW w:w="2040" w:type="dxa"/>
            <w:tcBorders>
              <w:top w:val="single" w:sz="12" w:space="0" w:color="auto"/>
              <w:left w:val="single" w:sz="12" w:space="0" w:color="auto"/>
              <w:bottom w:val="dashSmallGap" w:sz="4" w:space="0" w:color="auto"/>
              <w:right w:val="single" w:sz="12" w:space="0" w:color="auto"/>
            </w:tcBorders>
            <w:vAlign w:val="center"/>
          </w:tcPr>
          <w:p w14:paraId="036A3424" w14:textId="77777777">
            <w:pPr>
              <w:pStyle w:val="Formular"/>
              <w:jc w:val="center"/>
              <w:rPr>
                <w:lang w:val="en-US"/>
              </w:rPr>
            </w:pPr>
            <w:r>
              <w:rPr>
                <w:lang w:val="en-US"/>
              </w:rPr>
              <w:t>Mentor's signature</w:t>
            </w:r>
          </w:p>
        </w:tc>
      </w:tr>
      <w:tr w14:paraId="706291CF" w14:textId="77777777">
        <w:trPr>
          <w:cantSplit/>
          <w:trHeight w:val="249"/>
          <w:jc w:val="center"/>
        </w:trPr>
        <w:tc>
          <w:tcPr>
            <w:tcW w:w="1841" w:type="dxa"/>
            <w:vMerge/>
            <w:tcBorders>
              <w:bottom w:val="single" w:sz="12" w:space="0" w:color="auto"/>
            </w:tcBorders>
          </w:tcPr>
          <w:p w14:paraId="050B4E3E" w14:textId="77777777">
            <w:pPr>
              <w:spacing w:after="0" w:line="240" w:lineRule="auto"/>
              <w:rPr>
                <w:lang w:val="en-US"/>
              </w:rPr>
            </w:pPr>
          </w:p>
        </w:tc>
        <w:tc>
          <w:tcPr>
            <w:tcW w:w="1418" w:type="dxa"/>
            <w:tcBorders>
              <w:top w:val="dashSmallGap" w:sz="4" w:space="0" w:color="auto"/>
              <w:left w:val="nil"/>
              <w:bottom w:val="single" w:sz="12" w:space="0" w:color="auto"/>
              <w:right w:val="dashSmallGap" w:sz="4" w:space="0" w:color="000000"/>
            </w:tcBorders>
          </w:tcPr>
          <w:p w14:paraId="1DC54EE8" w14:textId="77777777">
            <w:pPr>
              <w:spacing w:after="0" w:line="240" w:lineRule="auto"/>
              <w:jc w:val="right"/>
              <w:rPr>
                <w:rFonts w:ascii="Arial" w:hAnsi="Arial" w:cs="Arial"/>
                <w:sz w:val="16"/>
                <w:szCs w:val="16"/>
                <w:lang w:val="en-US"/>
              </w:rPr>
            </w:pPr>
            <w:r>
              <w:rPr>
                <w:rFonts w:ascii="Arial" w:hAnsi="Arial" w:cs="Arial"/>
                <w:sz w:val="16"/>
                <w:szCs w:val="16"/>
                <w:lang w:val="en-US"/>
              </w:rPr>
              <w:t>Member, Mentor:</w:t>
            </w:r>
          </w:p>
        </w:tc>
        <w:tc>
          <w:tcPr>
            <w:tcW w:w="2978" w:type="dxa"/>
            <w:tcBorders>
              <w:bottom w:val="single" w:sz="12" w:space="0" w:color="auto"/>
              <w:right w:val="single" w:sz="12" w:space="0" w:color="auto"/>
            </w:tcBorders>
          </w:tcPr>
          <w:p w14:paraId="3570DE78" w14:textId="77777777">
            <w:pPr>
              <w:pStyle w:val="Formular"/>
              <w:rPr>
                <w:lang w:val="en-US"/>
              </w:rPr>
            </w:pPr>
            <w:r>
              <w:rPr>
                <w:lang w:val="en-US"/>
              </w:rPr>
              <w:t>[Name Surname], PhD, [title]</w:t>
            </w:r>
          </w:p>
        </w:tc>
        <w:tc>
          <w:tcPr>
            <w:tcW w:w="2040" w:type="dxa"/>
            <w:tcBorders>
              <w:top w:val="dashSmallGap" w:sz="4" w:space="0" w:color="auto"/>
              <w:left w:val="single" w:sz="12" w:space="0" w:color="auto"/>
              <w:bottom w:val="single" w:sz="12" w:space="0" w:color="auto"/>
              <w:right w:val="single" w:sz="12" w:space="0" w:color="auto"/>
            </w:tcBorders>
          </w:tcPr>
          <w:p w14:paraId="4613604F" w14:textId="77777777">
            <w:pPr>
              <w:spacing w:after="0" w:line="240" w:lineRule="auto"/>
              <w:rPr>
                <w:lang w:val="en-US"/>
              </w:rPr>
            </w:pPr>
          </w:p>
        </w:tc>
      </w:tr>
    </w:tbl>
    <w:p w14:paraId="1080AD9C" w14:textId="77777777">
      <w:pPr>
        <w:pStyle w:val="Formular"/>
        <w:spacing w:before="120"/>
        <w:jc w:val="right"/>
        <w:rPr>
          <w:sz w:val="15"/>
          <w:szCs w:val="15"/>
          <w:lang w:val="sr-Latn-RS"/>
        </w:rPr>
      </w:pPr>
      <w:r>
        <w:rPr>
          <w:sz w:val="15"/>
          <w:szCs w:val="15"/>
          <w:lang w:val="sr-Latn-RS"/>
        </w:rPr>
        <w:t xml:space="preserve">Obrazac </w:t>
      </w:r>
      <w:r>
        <w:rPr>
          <w:b/>
          <w:bCs/>
          <w:sz w:val="15"/>
          <w:szCs w:val="15"/>
          <w:lang w:val="sr-Latn-RS"/>
        </w:rPr>
        <w:t>Q2.HA.04-05</w:t>
      </w:r>
      <w:r>
        <w:rPr>
          <w:sz w:val="15"/>
          <w:szCs w:val="15"/>
          <w:lang w:val="sr-Latn-RS"/>
        </w:rPr>
        <w:t xml:space="preserve"> - Izdanje 1</w:t>
      </w:r>
    </w:p>
    <w:p w14:paraId="3390F371" w14:textId="77777777">
      <w:pPr>
        <w:pStyle w:val="Formular"/>
        <w:spacing w:before="120"/>
        <w:jc w:val="right"/>
        <w:rPr>
          <w:lang w:val="sr-Latn-RS"/>
        </w:rPr>
      </w:pPr>
    </w:p>
    <w:p w14:paraId="5AD8119D" w14:textId="77777777">
      <w:pPr>
        <w:spacing w:after="0" w:line="20" w:lineRule="exact"/>
        <w:rPr>
          <w:sz w:val="2"/>
        </w:rPr>
      </w:pPr>
    </w:p>
    <w:p w14:paraId="2E288C87" w14:textId="77777777">
      <w:pPr>
        <w:spacing w:after="0" w:line="20" w:lineRule="exact"/>
        <w:rPr>
          <w:sz w:val="2"/>
        </w:rPr>
        <w:sectPr>
          <w:type w:val="oddPage"/>
          <w:pgSz w:w="9978" w:h="14173"/>
          <w:pgMar w:top="1134" w:right="850" w:bottom="1134" w:left="850" w:header="567" w:footer="992" w:gutter="0"/>
          <w:cols w:space="708"/>
          <w:docGrid w:linePitch="360"/>
        </w:sectPr>
      </w:pPr>
    </w:p>
    <w:tbl>
      <w:tblPr>
        <w:tblW w:w="827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34"/>
        <w:gridCol w:w="7143"/>
      </w:tblGrid>
      <w:tr w14:paraId="55361E14" w14:textId="77777777">
        <w:trPr>
          <w:cantSplit/>
          <w:trHeight w:val="567"/>
          <w:jc w:val="center"/>
        </w:trPr>
        <w:tc>
          <w:tcPr>
            <w:tcW w:w="1134" w:type="dxa"/>
            <w:vMerge w:val="restart"/>
            <w:tcBorders>
              <w:right w:val="single" w:sz="6" w:space="0" w:color="000000"/>
            </w:tcBorders>
            <w:vAlign w:val="center"/>
          </w:tcPr>
          <w:p w14:paraId="64A3DE5F" w14:textId="77777777">
            <w:pPr>
              <w:pStyle w:val="Formular"/>
              <w:jc w:val="center"/>
            </w:pPr>
            <w:r>
              <w:rPr>
                <w:noProof/>
              </w:rPr>
              <w:lastRenderedPageBreak/>
              <w:drawing>
                <wp:inline distT="0" distB="0" distL="0" distR="0" wp14:anchorId="394C5546" wp14:editId="40702BAE">
                  <wp:extent cx="540000" cy="590400"/>
                  <wp:effectExtent l="0" t="0" r="0" b="0"/>
                  <wp:docPr id="106"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ФТН лого"/>
                          <pic:cNvPicPr/>
                        </pic:nvPicPr>
                        <pic:blipFill>
                          <a:blip r:embed="rId15"/>
                          <a:stretch>
                            <a:fillRect/>
                          </a:stretch>
                        </pic:blipFill>
                        <pic:spPr>
                          <a:xfrm>
                            <a:off x="0" y="0"/>
                            <a:ext cx="540000" cy="590400"/>
                          </a:xfrm>
                          <a:prstGeom prst="rect">
                            <a:avLst/>
                          </a:prstGeom>
                        </pic:spPr>
                      </pic:pic>
                    </a:graphicData>
                  </a:graphic>
                </wp:inline>
              </w:drawing>
            </w:r>
          </w:p>
        </w:tc>
        <w:tc>
          <w:tcPr>
            <w:tcW w:w="7143" w:type="dxa"/>
            <w:tcBorders>
              <w:bottom w:val="single" w:sz="6" w:space="0" w:color="000000"/>
            </w:tcBorders>
            <w:vAlign w:val="center"/>
          </w:tcPr>
          <w:p w14:paraId="7D96DFB7" w14:textId="77777777">
            <w:pPr>
              <w:pStyle w:val="Formular"/>
              <w:jc w:val="center"/>
            </w:pPr>
            <w:r>
              <w:rPr>
                <w:sz w:val="17"/>
                <w:szCs w:val="17"/>
              </w:rPr>
              <w:t xml:space="preserve">УНИВЕРЗИТЕТ У НОВОМ САДУ  ●  </w:t>
            </w:r>
            <w:r>
              <w:rPr>
                <w:b/>
                <w:bCs/>
                <w:sz w:val="17"/>
                <w:szCs w:val="17"/>
              </w:rPr>
              <w:t>ФАКУЛТЕТ ТЕХНИЧКИХ НАУКА</w:t>
            </w:r>
          </w:p>
          <w:p w14:paraId="20115D54" w14:textId="77777777">
            <w:pPr>
              <w:pStyle w:val="Formular"/>
              <w:jc w:val="center"/>
            </w:pPr>
            <w:r>
              <w:rPr>
                <w:spacing w:val="12"/>
              </w:rPr>
              <w:t>21000 НОВИ САД, Трг Доситеја Обрадовића 6</w:t>
            </w:r>
          </w:p>
        </w:tc>
      </w:tr>
      <w:tr w14:paraId="368A6892" w14:textId="77777777">
        <w:trPr>
          <w:cantSplit/>
          <w:trHeight w:val="567"/>
          <w:jc w:val="center"/>
        </w:trPr>
        <w:tc>
          <w:tcPr>
            <w:tcW w:w="1134" w:type="dxa"/>
            <w:vMerge/>
            <w:tcBorders>
              <w:right w:val="single" w:sz="6" w:space="0" w:color="000000"/>
            </w:tcBorders>
          </w:tcPr>
          <w:p w14:paraId="182CD8CF" w14:textId="77777777">
            <w:pPr>
              <w:spacing w:after="0" w:line="240" w:lineRule="auto"/>
            </w:pPr>
          </w:p>
        </w:tc>
        <w:tc>
          <w:tcPr>
            <w:tcW w:w="7143" w:type="dxa"/>
            <w:shd w:val="clear" w:color="auto" w:fill="E8E8E8"/>
            <w:vAlign w:val="center"/>
          </w:tcPr>
          <w:p w14:paraId="0B863420" w14:textId="77777777">
            <w:pPr>
              <w:pStyle w:val="Formular"/>
              <w:spacing w:before="60" w:after="60"/>
              <w:jc w:val="center"/>
            </w:pPr>
            <w:r>
              <w:rPr>
                <w:b/>
                <w:bCs/>
                <w:sz w:val="22"/>
                <w:szCs w:val="22"/>
              </w:rPr>
              <w:t>ИЗЈАВА О НЕПОСТОЈАЊУ СУКОБА ИНТЕРЕСА</w:t>
            </w:r>
          </w:p>
        </w:tc>
      </w:tr>
    </w:tbl>
    <w:p w14:paraId="76DA84AC" w14:textId="77777777">
      <w:pPr>
        <w:spacing w:after="907" w:line="20" w:lineRule="exact"/>
      </w:pPr>
    </w:p>
    <w:p w14:paraId="3820C04F" w14:textId="77777777">
      <w:pPr>
        <w:pStyle w:val="Formular"/>
        <w:spacing w:line="300" w:lineRule="auto"/>
        <w:jc w:val="both"/>
      </w:pPr>
      <w:r>
        <w:rPr>
          <w:sz w:val="20"/>
          <w:szCs w:val="20"/>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5B7E5A0F" w14:textId="77777777">
      <w:pPr>
        <w:spacing w:after="567" w:line="20" w:lineRule="exact"/>
      </w:pPr>
    </w:p>
    <w:p w14:paraId="1951D69B" w14:textId="77777777">
      <w:pPr>
        <w:pStyle w:val="Formular"/>
      </w:pPr>
      <w:r>
        <w:rPr>
          <w:sz w:val="20"/>
          <w:szCs w:val="20"/>
        </w:rPr>
        <w:t>У Новом Саду, дана ______________________</w:t>
      </w:r>
    </w:p>
    <w:p w14:paraId="73A2B406" w14:textId="77777777">
      <w:pPr>
        <w:spacing w:after="794" w:line="20" w:lineRule="exact"/>
      </w:pPr>
    </w:p>
    <w:p w14:paraId="43E14177" w14:textId="77777777">
      <w:pPr>
        <w:pStyle w:val="Formular"/>
        <w:jc w:val="right"/>
      </w:pPr>
      <w:r>
        <w:rPr>
          <w:sz w:val="20"/>
          <w:szCs w:val="20"/>
        </w:rPr>
        <w:t>Ментор</w:t>
      </w:r>
    </w:p>
    <w:p w14:paraId="339952AA" w14:textId="77777777">
      <w:pPr>
        <w:spacing w:after="567" w:line="20" w:lineRule="exact"/>
      </w:pPr>
    </w:p>
    <w:p w14:paraId="1C0514D5" w14:textId="77777777">
      <w:pPr>
        <w:pBdr>
          <w:bottom w:val="single" w:sz="6" w:space="1" w:color="auto"/>
        </w:pBdr>
        <w:spacing w:after="0" w:line="20" w:lineRule="exact"/>
        <w:ind w:left="4252"/>
      </w:pPr>
    </w:p>
    <w:p w14:paraId="09FCF763" w14:textId="77777777">
      <w:pPr>
        <w:spacing w:after="680" w:line="20" w:lineRule="exact"/>
      </w:pPr>
    </w:p>
    <w:p w14:paraId="48AB59CC" w14:textId="77777777">
      <w:pPr>
        <w:pStyle w:val="Formular"/>
        <w:jc w:val="right"/>
      </w:pPr>
      <w:r>
        <w:rPr>
          <w:sz w:val="20"/>
          <w:szCs w:val="20"/>
        </w:rPr>
        <w:t>Кандидат</w:t>
      </w:r>
    </w:p>
    <w:p w14:paraId="70A0AFDD" w14:textId="77777777">
      <w:pPr>
        <w:spacing w:after="567" w:line="20" w:lineRule="exact"/>
      </w:pPr>
    </w:p>
    <w:p w14:paraId="5F87996F" w14:textId="77777777">
      <w:pPr>
        <w:pBdr>
          <w:bottom w:val="single" w:sz="6" w:space="1" w:color="auto"/>
        </w:pBdr>
        <w:spacing w:after="0" w:line="20" w:lineRule="exact"/>
        <w:ind w:left="4252"/>
      </w:pPr>
    </w:p>
    <w:p w14:paraId="701623BE" w14:textId="77777777">
      <w:pPr>
        <w:spacing w:after="1474" w:line="20" w:lineRule="exact"/>
      </w:pPr>
    </w:p>
    <w:p w14:paraId="1C6629DC" w14:textId="77777777">
      <w:pPr>
        <w:pStyle w:val="Formular"/>
        <w:spacing w:before="120"/>
        <w:jc w:val="right"/>
        <w:rPr>
          <w:sz w:val="15"/>
          <w:szCs w:val="15"/>
        </w:rPr>
      </w:pPr>
      <w:r>
        <w:rPr>
          <w:sz w:val="15"/>
          <w:szCs w:val="15"/>
        </w:rPr>
        <w:t xml:space="preserve">Образац </w:t>
      </w:r>
      <w:r>
        <w:rPr>
          <w:b/>
          <w:bCs/>
          <w:sz w:val="15"/>
          <w:szCs w:val="15"/>
        </w:rPr>
        <w:t>Q2.НА.04-02</w:t>
      </w:r>
      <w:r>
        <w:rPr>
          <w:sz w:val="15"/>
          <w:szCs w:val="15"/>
        </w:rPr>
        <w:t xml:space="preserve"> - Издање 1</w:t>
      </w:r>
    </w:p>
    <w:p w14:paraId="16609DE3" w14:textId="77777777">
      <w:pPr>
        <w:pStyle w:val="Formular"/>
        <w:spacing w:before="120"/>
        <w:jc w:val="right"/>
      </w:pPr>
    </w:p>
    <w:p w14:paraId="1395D373" w14:textId="77777777">
      <w:pPr>
        <w:spacing w:after="0" w:line="20" w:lineRule="exact"/>
        <w:rPr>
          <w:sz w:val="2"/>
        </w:rPr>
        <w:sectPr>
          <w:type w:val="oddPage"/>
          <w:pgSz w:w="9978" w:h="14173"/>
          <w:pgMar w:top="1134" w:right="850" w:bottom="1134" w:left="850" w:header="567" w:footer="992" w:gutter="0"/>
          <w:cols w:space="708"/>
          <w:docGrid w:linePitch="360"/>
        </w:sectPr>
      </w:pPr>
    </w:p>
    <w:p w14:paraId="75DDAF47" w14:textId="77777777">
      <w:pPr>
        <w:pStyle w:val="TOCHeading"/>
      </w:pPr>
      <w:r>
        <w:lastRenderedPageBreak/>
        <w:t>Садржај</w:t>
      </w:r>
    </w:p>
    <w:p w14:paraId="549A2217" w14:textId="77777777">
      <w:pPr>
        <w:pStyle w:val="TOC1"/>
        <w:rPr>
          <w:rFonts w:asciiTheme="minorHAnsi" w:eastAsiaTheme="minorEastAsia" w:hAnsiTheme="minorHAnsi" w:cstheme="minorBidi"/>
          <w:noProof/>
          <w:kern w:val="2"/>
          <w:sz w:val="24"/>
          <w:szCs w:val="24"/>
          <w:lang w:val="sr-Latn-RS" w:eastAsia="sr-Latn-RS"/>
          <w14:ligatures w14:val="standardContextual"/>
        </w:rPr>
      </w:pPr>
      <w:r>
        <w:fldChar w:fldCharType="begin"/>
        <w:instrText>TOC \o "1-3" \z \u</w:instrText>
        <w:fldChar w:fldCharType="separate"/>
      </w:r>
      <w:r>
        <w:rPr>
          <w:noProof/>
        </w:rPr>
        <w:t>Увод</w:t>
      </w:r>
      <w:r>
        <w:rPr>
          <w:noProof/>
          <w:webHidden/>
        </w:rPr>
        <w:tab/>
        <w:fldChar w:fldCharType="begin"/>
        <w:instrText xml:space="preserve"> PAGEREF _Toc239973917 \h </w:instrText>
        <w:fldChar w:fldCharType="separate"/>
        <w:t>1</w:t>
        <w:fldChar w:fldCharType="end"/>
      </w:r>
    </w:p>
    <w:p w14:paraId="381AAA64"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Теоријске основе</w:t>
      </w:r>
      <w:r>
        <w:rPr>
          <w:noProof/>
          <w:webHidden/>
        </w:rPr>
        <w:tab/>
        <w:fldChar w:fldCharType="begin"/>
        <w:instrText xml:space="preserve"> PAGEREF _Toc239973918 \h </w:instrText>
        <w:fldChar w:fldCharType="separate"/>
        <w:t>3</w:t>
        <w:fldChar w:fldCharType="end"/>
      </w:r>
    </w:p>
    <w:p w14:paraId="72079697"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2.1 [Први појам]</w:t>
      </w:r>
      <w:r>
        <w:rPr>
          <w:noProof/>
          <w:webHidden/>
        </w:rPr>
        <w:tab/>
        <w:fldChar w:fldCharType="begin"/>
        <w:instrText xml:space="preserve"> PAGEREF _Toc239973919 \h </w:instrText>
        <w:fldChar w:fldCharType="separate"/>
        <w:t>3</w:t>
        <w:fldChar w:fldCharType="end"/>
      </w:r>
    </w:p>
    <w:p w14:paraId="28291E03"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2.2 [Други појам]</w:t>
      </w:r>
      <w:r>
        <w:rPr>
          <w:noProof/>
          <w:webHidden/>
        </w:rPr>
        <w:tab/>
        <w:fldChar w:fldCharType="begin"/>
        <w:instrText xml:space="preserve"> PAGEREF _Toc239973920 \h </w:instrText>
        <w:fldChar w:fldCharType="separate"/>
        <w:t>3</w:t>
        <w:fldChar w:fldCharType="end"/>
      </w:r>
    </w:p>
    <w:p w14:paraId="4C711602" w14:textId="77777777">
      <w:pPr>
        <w:pStyle w:val="TOC3"/>
        <w:rPr>
          <w:rFonts w:asciiTheme="minorHAnsi" w:eastAsiaTheme="minorEastAsia" w:hAnsiTheme="minorHAnsi" w:cstheme="minorBidi"/>
          <w:noProof/>
          <w:kern w:val="2"/>
          <w:sz w:val="24"/>
          <w:szCs w:val="24"/>
          <w:lang w:val="sr-Latn-RS" w:eastAsia="sr-Latn-RS"/>
          <w14:ligatures w14:val="standardContextual"/>
        </w:rPr>
      </w:pPr>
      <w:r>
        <w:rPr>
          <w:noProof/>
        </w:rPr>
        <w:t>2.2.1 [Ужа целина]</w:t>
      </w:r>
      <w:r>
        <w:rPr>
          <w:noProof/>
          <w:webHidden/>
        </w:rPr>
        <w:tab/>
        <w:fldChar w:fldCharType="begin"/>
        <w:instrText xml:space="preserve"> PAGEREF _Toc239973921 \h </w:instrText>
        <w:fldChar w:fldCharType="separate"/>
        <w:t>3</w:t>
        <w:fldChar w:fldCharType="end"/>
      </w:r>
    </w:p>
    <w:p w14:paraId="2966180E"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Спецификација и модел система</w:t>
      </w:r>
      <w:r>
        <w:rPr>
          <w:noProof/>
          <w:webHidden/>
        </w:rPr>
        <w:tab/>
        <w:fldChar w:fldCharType="begin"/>
        <w:instrText xml:space="preserve"> PAGEREF _Toc239973922 \h </w:instrText>
        <w:fldChar w:fldCharType="separate"/>
        <w:t>5</w:t>
        <w:fldChar w:fldCharType="end"/>
      </w:r>
    </w:p>
    <w:p w14:paraId="4CB595F2"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3.1 [Случајеви коришћења]</w:t>
      </w:r>
      <w:r>
        <w:rPr>
          <w:noProof/>
          <w:webHidden/>
        </w:rPr>
        <w:tab/>
        <w:fldChar w:fldCharType="begin"/>
        <w:instrText xml:space="preserve"> PAGEREF _Toc239973923 \h </w:instrText>
        <w:fldChar w:fldCharType="separate"/>
        <w:t>5</w:t>
        <w:fldChar w:fldCharType="end"/>
      </w:r>
    </w:p>
    <w:p w14:paraId="6D463BFA"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3.2 [Модел података]</w:t>
      </w:r>
      <w:r>
        <w:rPr>
          <w:noProof/>
          <w:webHidden/>
        </w:rPr>
        <w:tab/>
        <w:fldChar w:fldCharType="begin"/>
        <w:instrText xml:space="preserve"> PAGEREF _Toc239973924 \h </w:instrText>
        <w:fldChar w:fldCharType="separate"/>
        <w:t>5</w:t>
        <w:fldChar w:fldCharType="end"/>
      </w:r>
    </w:p>
    <w:p w14:paraId="3A77E892"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Имплементација система</w:t>
      </w:r>
      <w:r>
        <w:rPr>
          <w:noProof/>
          <w:webHidden/>
        </w:rPr>
        <w:tab/>
        <w:fldChar w:fldCharType="begin"/>
        <w:instrText xml:space="preserve"> PAGEREF _Toc239973925 \h </w:instrText>
        <w:fldChar w:fldCharType="separate"/>
        <w:t>7</w:t>
        <w:fldChar w:fldCharType="end"/>
      </w:r>
    </w:p>
    <w:p w14:paraId="25220188"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4.1 [Архитектура решења]</w:t>
      </w:r>
      <w:r>
        <w:rPr>
          <w:noProof/>
          <w:webHidden/>
        </w:rPr>
        <w:tab/>
        <w:fldChar w:fldCharType="begin"/>
        <w:instrText xml:space="preserve"> PAGEREF _Toc239973926 \h </w:instrText>
        <w:fldChar w:fldCharType="separate"/>
        <w:t>7</w:t>
        <w:fldChar w:fldCharType="end"/>
      </w:r>
    </w:p>
    <w:p w14:paraId="24A185BD"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4.2 [Изабрани делови имплементације]</w:t>
      </w:r>
      <w:r>
        <w:rPr>
          <w:noProof/>
          <w:webHidden/>
        </w:rPr>
        <w:tab/>
        <w:fldChar w:fldCharType="begin"/>
        <w:instrText xml:space="preserve"> PAGEREF _Toc239973927 \h </w:instrText>
        <w:fldChar w:fldCharType="separate"/>
        <w:t>7</w:t>
        <w:fldChar w:fldCharType="end"/>
      </w:r>
    </w:p>
    <w:p w14:paraId="63947A80"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Закључак</w:t>
      </w:r>
      <w:r>
        <w:rPr>
          <w:noProof/>
          <w:webHidden/>
        </w:rPr>
        <w:tab/>
        <w:fldChar w:fldCharType="begin"/>
        <w:instrText xml:space="preserve"> PAGEREF _Toc239973928 \h </w:instrText>
        <w:fldChar w:fldCharType="separate"/>
        <w:t>9</w:t>
        <w:fldChar w:fldCharType="end"/>
      </w:r>
    </w:p>
    <w:p w14:paraId="522C6E58"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Списак слика</w:t>
      </w:r>
      <w:r>
        <w:rPr>
          <w:noProof/>
          <w:webHidden/>
        </w:rPr>
        <w:tab/>
        <w:fldChar w:fldCharType="begin"/>
        <w:instrText xml:space="preserve"> PAGEREF _Toc239973929 \h </w:instrText>
        <w:fldChar w:fldCharType="separate"/>
        <w:t>11</w:t>
        <w:fldChar w:fldCharType="end"/>
      </w:r>
    </w:p>
    <w:p w14:paraId="0D920AC0"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Списак листинга</w:t>
      </w:r>
      <w:r>
        <w:rPr>
          <w:noProof/>
          <w:webHidden/>
        </w:rPr>
        <w:tab/>
        <w:fldChar w:fldCharType="begin"/>
        <w:instrText xml:space="preserve"> PAGEREF _Toc239973930 \h </w:instrText>
        <w:fldChar w:fldCharType="separate"/>
        <w:t>13</w:t>
        <w:fldChar w:fldCharType="end"/>
      </w:r>
    </w:p>
    <w:p w14:paraId="36B326FE"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Списак табела</w:t>
      </w:r>
      <w:r>
        <w:rPr>
          <w:noProof/>
          <w:webHidden/>
        </w:rPr>
        <w:tab/>
        <w:fldChar w:fldCharType="begin"/>
        <w:instrText xml:space="preserve"> PAGEREF _Toc239973931 \h </w:instrText>
        <w:fldChar w:fldCharType="separate"/>
        <w:t>15</w:t>
        <w:fldChar w:fldCharType="end"/>
      </w:r>
    </w:p>
    <w:p w14:paraId="11EB9D71"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Списак коришћених скраћеница</w:t>
      </w:r>
      <w:r>
        <w:rPr>
          <w:noProof/>
          <w:webHidden/>
        </w:rPr>
        <w:tab/>
        <w:fldChar w:fldCharType="begin"/>
        <w:instrText xml:space="preserve"> PAGEREF _Toc239973932 \h </w:instrText>
        <w:fldChar w:fldCharType="separate"/>
        <w:t>17</w:t>
        <w:fldChar w:fldCharType="end"/>
      </w:r>
    </w:p>
    <w:p w14:paraId="1703B040"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Списак коришћених појмова</w:t>
      </w:r>
      <w:r>
        <w:rPr>
          <w:noProof/>
          <w:webHidden/>
        </w:rPr>
        <w:tab/>
        <w:fldChar w:fldCharType="begin"/>
        <w:instrText xml:space="preserve"> PAGEREF _Toc239973933 \h </w:instrText>
        <w:fldChar w:fldCharType="separate"/>
        <w:t>19</w:t>
        <w:fldChar w:fldCharType="end"/>
      </w:r>
    </w:p>
    <w:p w14:paraId="038D4392"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Биографија</w:t>
      </w:r>
      <w:r>
        <w:rPr>
          <w:noProof/>
          <w:webHidden/>
        </w:rPr>
        <w:tab/>
        <w:fldChar w:fldCharType="begin"/>
        <w:instrText xml:space="preserve"> PAGEREF _Toc239973934 \h </w:instrText>
        <w:fldChar w:fldCharType="separate"/>
        <w:t>21</w:t>
        <w:fldChar w:fldCharType="end"/>
      </w:r>
    </w:p>
    <w:p w14:paraId="5D65F3FB"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Литература</w:t>
      </w:r>
      <w:r>
        <w:rPr>
          <w:noProof/>
          <w:webHidden/>
        </w:rPr>
        <w:tab/>
        <w:fldChar w:fldCharType="begin"/>
        <w:instrText xml:space="preserve"> PAGEREF _Toc239973935 \h </w:instrText>
        <w:fldChar w:fldCharType="separate"/>
        <w:t>23</w:t>
        <w:fldChar w:fldCharType="end"/>
      </w:r>
    </w:p>
    <w:p w14:paraId="2B4DCA03" w14:textId="77777777">
      <w:pPr>
        <w:pStyle w:val="TOC1"/>
        <w:rPr>
          <w:rFonts w:asciiTheme="minorHAnsi" w:eastAsiaTheme="minorEastAsia" w:hAnsiTheme="minorHAnsi" w:cstheme="minorBidi"/>
          <w:noProof/>
          <w:kern w:val="2"/>
          <w:sz w:val="24"/>
          <w:szCs w:val="24"/>
          <w:lang w:val="sr-Latn-RS" w:eastAsia="sr-Latn-RS"/>
          <w14:ligatures w14:val="standardContextual"/>
        </w:rPr>
      </w:pPr>
      <w:r>
        <w:rPr>
          <w:noProof/>
        </w:rPr>
        <w:t>Упутство за коришћење шаблона</w:t>
      </w:r>
      <w:r>
        <w:rPr>
          <w:noProof/>
          <w:webHidden/>
        </w:rPr>
        <w:tab/>
        <w:fldChar w:fldCharType="begin"/>
        <w:instrText xml:space="preserve"> PAGEREF _Toc239973936 \h </w:instrText>
        <w:fldChar w:fldCharType="separate"/>
        <w:t>25</w:t>
        <w:fldChar w:fldCharType="end"/>
      </w:r>
    </w:p>
    <w:p w14:paraId="624BA928"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5.1 Стилови</w:t>
      </w:r>
      <w:r>
        <w:rPr>
          <w:noProof/>
          <w:webHidden/>
        </w:rPr>
        <w:tab/>
        <w:fldChar w:fldCharType="begin"/>
        <w:instrText xml:space="preserve"> PAGEREF _Toc239973937 \h </w:instrText>
        <w:fldChar w:fldCharType="separate"/>
        <w:t>25</w:t>
        <w:fldChar w:fldCharType="end"/>
      </w:r>
    </w:p>
    <w:p w14:paraId="0BA55C18"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5.2 Слике, табеле и листинзи</w:t>
      </w:r>
      <w:r>
        <w:rPr>
          <w:noProof/>
          <w:webHidden/>
        </w:rPr>
        <w:tab/>
        <w:fldChar w:fldCharType="begin"/>
        <w:instrText xml:space="preserve"> PAGEREF _Toc239973938 \h </w:instrText>
        <w:fldChar w:fldCharType="separate"/>
        <w:t>25</w:t>
        <w:fldChar w:fldCharType="end"/>
      </w:r>
    </w:p>
    <w:p w14:paraId="61CAC229"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5.3 Референце и цитати</w:t>
      </w:r>
      <w:r>
        <w:rPr>
          <w:noProof/>
          <w:webHidden/>
        </w:rPr>
        <w:tab/>
        <w:fldChar w:fldCharType="begin"/>
        <w:instrText xml:space="preserve"> PAGEREF _Toc239973939 \h </w:instrText>
        <w:fldChar w:fldCharType="separate"/>
        <w:t>26</w:t>
        <w:fldChar w:fldCharType="end"/>
      </w:r>
    </w:p>
    <w:p w14:paraId="3A8776A3"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5.4 Ново поглавље</w:t>
      </w:r>
      <w:r>
        <w:rPr>
          <w:noProof/>
          <w:webHidden/>
        </w:rPr>
        <w:tab/>
        <w:fldChar w:fldCharType="begin"/>
        <w:instrText xml:space="preserve"> PAGEREF _Toc239973940 \h </w:instrText>
        <w:fldChar w:fldCharType="separate"/>
        <w:t>26</w:t>
        <w:fldChar w:fldCharType="end"/>
      </w:r>
    </w:p>
    <w:p w14:paraId="79DF1996" w14:textId="77777777">
      <w:pPr>
        <w:pStyle w:val="TOC2"/>
        <w:rPr>
          <w:rFonts w:asciiTheme="minorHAnsi" w:eastAsiaTheme="minorEastAsia" w:hAnsiTheme="minorHAnsi" w:cstheme="minorBidi"/>
          <w:noProof/>
          <w:kern w:val="2"/>
          <w:sz w:val="24"/>
          <w:szCs w:val="24"/>
          <w:lang w:val="sr-Latn-RS" w:eastAsia="sr-Latn-RS"/>
          <w14:ligatures w14:val="standardContextual"/>
        </w:rPr>
      </w:pPr>
      <w:r>
        <w:rPr>
          <w:noProof/>
        </w:rPr>
        <w:t>5.5 Живо заглавље</w:t>
      </w:r>
      <w:r>
        <w:rPr>
          <w:noProof/>
          <w:webHidden/>
        </w:rPr>
        <w:tab/>
        <w:fldChar w:fldCharType="begin"/>
        <w:instrText xml:space="preserve"> PAGEREF _Toc239973941 \h </w:instrText>
        <w:fldChar w:fldCharType="separate"/>
        <w:t>26</w:t>
        <w:fldChar w:fldCharType="end"/>
      </w:r>
    </w:p>
    <w:p w14:paraId="7EE58F8B" w14:textId="77777777">
      <w:pPr>
        <w:pStyle w:val="TOC1"/>
      </w:pPr>
      <w:r>
        <w:fldChar w:fldCharType="end"/>
      </w:r>
    </w:p>
    <w:p w14:paraId="47C0B1AB" w14:textId="77777777">
      <w:pPr>
        <w:pStyle w:val="TOC1"/>
      </w:pPr>
    </w:p>
    <w:p w14:paraId="466CD5CC" w14:textId="77777777">
      <w:pPr>
        <w:spacing w:after="0" w:line="20" w:lineRule="exact"/>
        <w:rPr>
          <w:sz w:val="2"/>
        </w:rPr>
        <w:sectPr>
          <w:type w:val="oddPage"/>
          <w:pgSz w:w="9978" w:h="14173"/>
          <w:pgMar w:top="1417" w:right="850" w:bottom="1417" w:left="1134" w:header="567" w:footer="992" w:gutter="0"/>
          <w:cols w:space="708"/>
          <w:docGrid w:linePitch="360"/>
        </w:sectPr>
      </w:pPr>
    </w:p>
    <w:p w14:paraId="5852C36E" w14:textId="77777777">
      <w:pPr>
        <w:pStyle w:val="Glava"/>
      </w:pPr>
    </w:p>
    <w:p w14:paraId="7A20485F" w14:textId="77777777">
      <w:pPr>
        <w:pStyle w:val="Heading1"/>
      </w:pPr>
      <w:bookmarkStart w:id="0" w:name="_Toc239973917"/>
      <w:r>
        <w:t>Увод</w:t>
      </w:r>
      <w:bookmarkEnd w:id="0"/>
    </w:p>
    <w:p>
      <w:r>
        <w:t xml:space="preserve">Праћење личних финансија и дијељење трошкова унутар група — на путовањима, у заједничком становању или при изласцима — свакодневни су организациони и финансијски изазов. Када се трошкови биљеже ручно, у табелама, порукама или напамет, лако долази до грешака, заборављених дуговања и неспоразума међу члановима групе. Додатна потешкоћа настаје при самом раздуживању: ако свако дугује свакоме, број потребних уплата брзо расте, иако би се исти исход могао постићи са знатно мање трансакција.</w:t>
      </w:r>
    </w:p>
    <w:p>
      <w:r>
        <w:t xml:space="preserve">Постојеће глобалне апликације за дијељење трошкова по правилу нису прилагођене финансијском окружењу региона. Не подржавају плаћање путем локалних банковних стандарда, као што је IPS QR код, а раздуживање често усмјеравају преко страних платних институција, уз додатне провизије. Идеја за овај рад проистекла је из анализе ФинТек (</w:t>
      </w:r>
      <w:r>
        <w:rPr>
          <w:i/>
        </w:rPr>
        <w:t xml:space="preserve">FinTech</w:t>
      </w:r>
      <w:r>
        <w:t xml:space="preserve">) апликација које су у земљама западне Европе, прије свега у Шпанији, постале уобичајен начин за свакодневно рјешавање међусобних дуговања.</w:t>
      </w:r>
    </w:p>
    <w:p>
      <w:r>
        <w:t xml:space="preserve">Циљ рада је пројектовање и имплементација информационог система FairShare, који на једном мјесту обједињује праћење личне потрошње и управљање заједничким трошковима. Систем корисницима омогућава:</w:t>
      </w:r>
    </w:p>
    <w:p>
      <w:pPr>
        <w:pStyle w:val="Nabrajanje"/>
      </w:pPr>
      <w:r>
        <w:t xml:space="preserve">унос личних трошкова са категоријом, локацијом и фотографијом рачуна, планирање мјесечних буџета уз обавјештења о прекорачењу и аналитику потрошње кроз графиконе и приказ на мапи;</w:t>
      </w:r>
    </w:p>
    <w:p>
      <w:pPr>
        <w:pStyle w:val="Nabrajanje"/>
      </w:pPr>
      <w:r>
        <w:t xml:space="preserve">креирање група и унос заједничких трошкова уз три модела подјеле — једнако, процентуално и тачним износима — као и унос трошкова у различитим валутама;</w:t>
      </w:r>
    </w:p>
    <w:p>
      <w:pPr>
        <w:pStyle w:val="Nabrajanje"/>
      </w:pPr>
      <w:r>
        <w:t xml:space="preserve">алгоритамско поједностављивање дугова, које на основу нето салда чланова генерише што мањи број уплата потребних за потпуно раздуживање групе;</w:t>
      </w:r>
    </w:p>
    <w:p>
      <w:pPr>
        <w:pStyle w:val="Nabrajanje"/>
      </w:pPr>
      <w:r>
        <w:t xml:space="preserve">поравнање дуга путем QR кода по узору на IPS QR стандард, као и плаћање картицом кроз симулирани платни процесор;</w:t>
      </w:r>
    </w:p>
    <w:p>
      <w:pPr>
        <w:pStyle w:val="Nabrajanje"/>
      </w:pPr>
      <w:r>
        <w:t xml:space="preserve">обавјештавање у реалном времену и путем е-поште;</w:t>
      </w:r>
    </w:p>
    <w:p>
      <w:pPr>
        <w:pStyle w:val="Nabrajanje"/>
      </w:pPr>
      <w:r>
        <w:t xml:space="preserve">администрацију корисничких налога, ревизијски дневник, статистичку контролну таблу и одобравање категорија трошкова.</w:t>
      </w:r>
    </w:p>
    <w:p>
      <w:r>
        <w:t xml:space="preserve">Неколико појмова се у раду користи од самог почетка. </w:t>
      </w:r>
      <w:r>
        <w:rPr>
          <w:rStyle w:val="Pojam"/>
        </w:rPr>
        <w:t xml:space="preserve">Нето салдо</w:t>
      </w:r>
      <w:r>
        <w:t xml:space="preserve"> члана групе је разлика између укупног износа који је члан платио за групу и износа који му по подјели трошкова припада: позитиван салдо значи да група дугује члану, а негативан да члан дугује групи. </w:t>
      </w:r>
      <w:r>
        <w:rPr>
          <w:rStyle w:val="Pojam"/>
        </w:rPr>
        <w:t xml:space="preserve">Поједностављивање дугова</w:t>
      </w:r>
      <w:r>
        <w:t xml:space="preserve"> (</w:t>
      </w:r>
      <w:r>
        <w:rPr>
          <w:i/>
        </w:rPr>
        <w:t xml:space="preserve">debt simplification</w:t>
      </w:r>
      <w:r>
        <w:t xml:space="preserve">) је поступак којим се, на основу нето салда, мрежа међусобних дуговања своди на што мањи број уплата, при чему сваки члан на крају плати, односно прими, тачно свој салдо. </w:t>
      </w:r>
      <w:r>
        <w:rPr>
          <w:rStyle w:val="Pojam"/>
        </w:rPr>
        <w:t xml:space="preserve">Токенизација</w:t>
      </w:r>
      <w:r>
        <w:t xml:space="preserve"> платне картице је поступак у коме се осјетљиви подаци картице замјењују замјенском вриједношћу (токеном), тако да систем који обрађује плаћања никада не чува број картице ни сигурносни код.</w:t>
      </w:r>
    </w:p>
    <w:p>
      <w:r>
        <w:t xml:space="preserve">Систем се састоји од три компоненте. Централни REST API, развијен у радном оквиру ASP.NET Core на платформи .NET 10, садржи пословну логику, аутентификацију и обрачун дугова, а податке чува у релационој бази PostgreSQL. Веб апликација, развијена у библиотеци React са језиком TypeScript, намијењена је крајњим корисницима и администраторима. Симулатор плаћања (Payment Simulator) је издвојен сервис са сопственом базом података, који опонаша платни процесор и токенизацију картица, тако да се плаћање у систему никада не извршава стварно. Мобилна апликација није дио овог рада и наведена је као правац даљег развоја.</w:t>
      </w:r>
    </w:p>
    <w:p>
      <w:r>
        <w:t xml:space="preserve">Рад је организован у шест поглавља. У другом поглављу представљене су теоријске основе: постојећа рјешења за дијељење трошкова, проблем поједностављивања дугова, IPS QR стандард, токенизација платних картица, вишеслојна архитектура и коришћене технологије. У трећем поглављу дата је спецификација система — улоге корисника, функционални и нефункционални захтјеви, случајеви коришћења и модел података. Четврто поглавље описује имплементацију: архитектуру рјешења, најзанимљивије дијелове кода и карактеристичне екранске форме веб апликације. У петом поглављу приказано је тестирање система под оптерећењем, мјерење ефекта кеширања и провјера понашања при истовременим захтјевима, као и грешке које су тестирањем откривене и исправљене. Шесто поглавље сумира постигнуте резултате и наводи могуће правце даљег развоја. На крају рада налазе се спискови слика, листинга, табела, скраћеница и појмова, биографија и списак литературе.</w:t>
      </w:r>
    </w:p>
    <w:p w14:paraId="227E4DF7" w14:textId="77777777">
      <w:pPr>
        <w:spacing w:after="0" w:line="20" w:lineRule="exact"/>
        <w:rPr>
          <w:sz w:val="2"/>
        </w:rPr>
        <w:sectPr>
          <w:headerReference w:type="even" r:id="rId16"/>
          <w:headerReference w:type="default" r:id="rId17"/>
          <w:footerReference w:type="even" r:id="rId18"/>
          <w:footerReference w:type="default" r:id="rId19"/>
          <w:headerReference w:type="first" r:id="rId20"/>
          <w:footerReference w:type="first" r:id="rId21"/>
          <w:type w:val="oddPage"/>
          <w:pgSz w:w="9978" w:h="14173"/>
          <w:pgMar w:top="1417" w:right="850" w:bottom="1417" w:left="1134" w:header="567" w:footer="992" w:gutter="0"/>
          <w:pgNumType w:start="1"/>
          <w:cols w:space="708"/>
          <w:titlePg/>
          <w:docGrid w:linePitch="360"/>
        </w:sectPr>
      </w:pPr>
    </w:p>
    <w:p w14:paraId="6281C8C8" w14:textId="77777777">
      <w:pPr>
        <w:pStyle w:val="Glava"/>
      </w:pPr>
    </w:p>
    <w:p w14:paraId="28008882" w14:textId="77777777">
      <w:pPr>
        <w:pStyle w:val="Heading1"/>
      </w:pPr>
      <w:bookmarkStart w:id="1" w:name="_Toc239973918"/>
      <w:r>
        <w:t>Теоријске основе</w:t>
      </w:r>
      <w:bookmarkEnd w:id="1"/>
    </w:p>
    <w:p>
      <w:r>
        <w:t xml:space="preserve">У овом поглављу представљене су основе на којима се рад заснива. Најприје је дат кратак преглед постојећих апликација за дијељење трошкова и платних рјешења која су послужила као узор. Затим је описан проблем поједностављивања дугова, IPS QR стандард за плаћање, правила заштите података о платним картицама и токенизација, као и вишеслојна (</w:t>
      </w:r>
      <w:r>
        <w:rPr>
          <w:i/>
        </w:rPr>
        <w:t xml:space="preserve">Onion</w:t>
      </w:r>
      <w:r>
        <w:t xml:space="preserve">) архитектура по којој је систем организован. Поглавље се завршава прегледом коришћених технологија.</w:t>
      </w:r>
    </w:p>
    <w:p>
      <w:pPr>
        <w:pStyle w:val="Heading2"/>
      </w:pPr>
      <w:r>
        <w:t xml:space="preserve">Апликације за дијељење трошкова</w:t>
      </w:r>
    </w:p>
    <w:p>
      <w:r>
        <w:t xml:space="preserve">Апликације за дијељење трошкова омогућавају члановима групе да биљеже ко је шта платио и аутоматски израчунавају колико ко коме дугује. Међу најпознатијима су Splitwise </w:t>
      </w:r>
      <w:r>
        <w:t xml:space="preserve">[1]</w:t>
      </w:r>
      <w:r>
        <w:t xml:space="preserve"> и Tricount </w:t>
      </w:r>
      <w:r>
        <w:t xml:space="preserve">[2]</w:t>
      </w:r>
      <w:r>
        <w:t xml:space="preserve">. Tricount, који користи близу десет милиона корисника, постао је 2022. године дио холандске банке bunq, чиме је евидентирање заједничких трошкова повезано са банковним рачуном и плаћањем </w:t>
      </w:r>
      <w:r>
        <w:t xml:space="preserve">[2]</w:t>
      </w:r>
      <w:r>
        <w:t xml:space="preserve">.</w:t>
      </w:r>
    </w:p>
    <w:p>
      <w:r>
        <w:t xml:space="preserve">Овакве апликације имају сличан скуп основних функционалности: групе са члановима, унос трошка уз навођење ко је платио и како се трошак дијели (једнако, процентуално или тачним износима), преглед салда сваког члана и предлог уплата за раздуживање. Неке нуде и опцију поједностављивања дугова, која број потребних уплата своди на мањи број.</w:t>
      </w:r>
    </w:p>
    <w:p>
      <w:r>
        <w:t xml:space="preserve">Посебно је занимљив примјер Шпаније. Тамо је 2016. године, као заједничка иницијатива банкарског сектора, покренут сервис Bizum за тренутна плаћања између физичких лица, у коме број мобилног телефона замјењује број рачуна </w:t>
      </w:r>
      <w:r>
        <w:t xml:space="preserve">[3]</w:t>
      </w:r>
      <w:r>
        <w:t xml:space="preserve">. Комбинација апликације за евидентирање заједничких трошкова и тренутног плаћања показује како се раздуживање међу пријатељима може свести на неколико корака.</w:t>
      </w:r>
    </w:p>
    <w:p>
      <w:r>
        <w:t xml:space="preserve">У Србији сличну улогу има систем за инстант плаћања Народне банке Србије (IPS NBS), уз стандардизован QR код за плаћање </w:t>
      </w:r>
      <w:r>
        <w:t xml:space="preserve">[4]</w:t>
      </w:r>
      <w:r>
        <w:t xml:space="preserve">. Глобалне апликације за дијељење трошкова, међутим, не генеришу налог за плаћање по овом локалном стандарду. Систем FairShare зато на једном мјесту обједињује евидентирање личних и заједничких трошкова, поједностављивање дугова и раздуживање путем QR кода по узору на IPS стандард, уз симулирано плаћање картицом.</w:t>
      </w:r>
    </w:p>
    <w:p>
      <w:pPr>
        <w:pStyle w:val="Heading2"/>
      </w:pPr>
      <w:r>
        <w:t xml:space="preserve">Поједностављивање дугова</w:t>
      </w:r>
    </w:p>
    <w:p>
      <w:r>
        <w:t xml:space="preserve">Када више особа наизмјенично плаћа заједничке трошкове, између њих настаје мрежа међусобних дуговања. Ако би свако вратио дуг свакоме појединачно, у групи од n чланова могло би да буде потребно и до n(n − 1)/2 уплата. Поједностављивање дугова тражи мању листу уплата која даје исти крајњи резултат: послије ње нико никоме ништа не дугује.</w:t>
      </w:r>
    </w:p>
    <w:p>
      <w:pPr>
        <w:pStyle w:val="Heading3"/>
      </w:pPr>
      <w:r>
        <w:t xml:space="preserve">Нето салда чланова групе</w:t>
      </w:r>
    </w:p>
    <w:p>
      <w:r>
        <w:t xml:space="preserve">Полазна тачка је нето салдо сваког члана i групе:</w:t>
      </w:r>
    </w:p>
    <w:p>
      <w:pPr>
        <w:jc w:val="center"/>
      </w:pPr>
      <w:r>
        <w:t xml:space="preserve">b</w:t>
      </w:r>
      <w:r>
        <w:rPr>
          <w:vertAlign w:val="subscript"/>
        </w:rPr>
        <w:t xml:space="preserve">i</w:t>
      </w:r>
      <w:r>
        <w:t xml:space="preserve"> = p</w:t>
      </w:r>
      <w:r>
        <w:rPr>
          <w:vertAlign w:val="subscript"/>
        </w:rPr>
        <w:t xml:space="preserve">i</w:t>
      </w:r>
      <w:r>
        <w:t xml:space="preserve"> − d</w:t>
      </w:r>
      <w:r>
        <w:rPr>
          <w:vertAlign w:val="subscript"/>
        </w:rPr>
        <w:t xml:space="preserve">i</w:t>
      </w:r>
    </w:p>
    <w:p>
      <w:r>
        <w:t xml:space="preserve">гдје је p</w:t>
      </w:r>
      <w:r>
        <w:rPr>
          <w:vertAlign w:val="subscript"/>
        </w:rPr>
        <w:t xml:space="preserve">i</w:t>
      </w:r>
      <w:r>
        <w:t xml:space="preserve"> укупан износ који је члан i платио за трошкове групе, а d</w:t>
      </w:r>
      <w:r>
        <w:rPr>
          <w:vertAlign w:val="subscript"/>
        </w:rPr>
        <w:t xml:space="preserve">i</w:t>
      </w:r>
      <w:r>
        <w:t xml:space="preserve"> збир његових удјела у тим трошковима. Извршена поравнања се урачунавају тако што уплата повећава салдо онога ко плаћа, а смањује салдо онога ко прима. Позитиван салдо значи да члан треба да прими новац, а негативан да треба да плати.</w:t>
      </w:r>
    </w:p>
    <w:p>
      <w:r>
        <w:t xml:space="preserve">Пошто сваки трошак увећава салдо платиоца тачно за онолико за колико умањује салда чланова међу којима је подијељен, збир свих салда у групи увијек је нула (∑ b</w:t>
      </w:r>
      <w:r>
        <w:rPr>
          <w:vertAlign w:val="subscript"/>
        </w:rPr>
        <w:t xml:space="preserve">i</w:t>
      </w:r>
      <w:r>
        <w:t xml:space="preserve"> = 0). Модел подјеле трошка — једнако, процентуално или тачним износима — утиче само на удјеле d</w:t>
      </w:r>
      <w:r>
        <w:rPr>
          <w:vertAlign w:val="subscript"/>
        </w:rPr>
        <w:t xml:space="preserve">i</w:t>
      </w:r>
      <w:r>
        <w:t xml:space="preserve">, па поступак поравнања не зависи од њега.</w:t>
      </w:r>
    </w:p>
    <w:p>
      <w:r>
        <w:t xml:space="preserve">Важно запажање је да за поравнање није битно ко је коме конкретно позајмио, већ само салдо сваког члана: свака листа уплата послије које сви салди постану нула потпуно раздужује групу </w:t>
      </w:r>
      <w:r>
        <w:t xml:space="preserve">[5]</w:t>
      </w:r>
      <w:r>
        <w:t xml:space="preserve">. Проблем се тако своди на налажење што краће листе уплата за дате салде.</w:t>
      </w:r>
    </w:p>
    <w:p>
      <w:pPr>
        <w:pStyle w:val="Heading3"/>
      </w:pPr>
      <w:r>
        <w:t xml:space="preserve">Похлепни и тачан алгоритам</w:t>
      </w:r>
    </w:p>
    <w:p>
      <w:r>
        <w:t xml:space="preserve">Најједноставнији поступак је похлепни (</w:t>
      </w:r>
      <w:r>
        <w:rPr>
          <w:i/>
        </w:rPr>
        <w:t xml:space="preserve">greedy</w:t>
      </w:r>
      <w:r>
        <w:t xml:space="preserve">): у сваком кораку највећи дужник плаћа највећем повјериоцу мањи од два износа, након чега бар један од њих има салдо нула и излази из даљег разматрања. Пошто сваки корак елиминише бар једног учесника, а посљедњи корак два, похлепни алгоритам за n учесника са салдом различитим од нуле генерише највише n − 1 уплата </w:t>
      </w:r>
      <w:r>
        <w:t xml:space="preserve">[5]</w:t>
      </w:r>
      <w:r>
        <w:t xml:space="preserve">. Укупан пренесени износ при томе је најмањи могућ — једнак је збиру позитивних салда — а сложеност је O(n log n), због сортирања.</w:t>
      </w:r>
    </w:p>
    <w:p>
      <w:r>
        <w:t xml:space="preserve">Похлепни алгоритам, међутим, не даје увијек најмањи број уплата. Примјер из рада </w:t>
      </w:r>
      <w:r>
        <w:t xml:space="preserve">[5]</w:t>
      </w:r>
      <w:r>
        <w:t xml:space="preserve"> приказан је у табели </w:t>
      </w:r>
      <w:r>
        <w:fldChar w:fldCharType="begin"/>
      </w:r>
      <w:r>
        <w:instrText xml:space="preserve"> REF _Ref_tab_greedy \h </w:instrText>
      </w:r>
      <w:r>
        <w:fldChar w:fldCharType="separate"/>
      </w:r>
      <w:r>
        <w:rPr>
          <w:noProof/>
        </w:rPr>
        <w:t xml:space="preserve">1</w:t>
      </w:r>
      <w:r>
        <w:fldChar w:fldCharType="end"/>
      </w:r>
      <w:r>
        <w:t xml:space="preserve">: пет чланова има салде А +9, Б +8, В −3, Г −6 и Д −8. Похлепни поступак прво упари највећег дужника Д са највећим повјериоцем А и потроши четири уплате. Оптимално рјешење примјећује да чланови А, В и Г заједно имају збир салда нула, као и чланови Б и Д, па се свака од те двије подгрупе раздужи засебно, укупно са три уплате.</w:t>
      </w:r>
    </w:p>
    <w:p>
      <w:pPr>
        <w:pStyle w:val="Natpisiznad"/>
      </w:pPr>
      <w:r>
        <w:t xml:space="preserve">Табела </w:t>
      </w:r>
      <w:bookmarkStart w:id="5001" w:name="_Ref_tab_greedy"/>
      <w:r>
        <w:fldChar w:fldCharType="begin"/>
      </w:r>
      <w:r>
        <w:instrText xml:space="preserve"> SEQ Табела \* ARABIC </w:instrText>
      </w:r>
      <w:r>
        <w:fldChar w:fldCharType="separate"/>
      </w:r>
      <w:r>
        <w:rPr>
          <w:noProof/>
        </w:rPr>
        <w:t xml:space="preserve">1</w:t>
      </w:r>
      <w:r>
        <w:fldChar w:fldCharType="end"/>
      </w:r>
      <w:bookmarkEnd w:id="5001"/>
      <w:r>
        <w:t xml:space="preserve">: Похлепно и оптимално поравнање истих салда.</w:t>
      </w:r>
    </w:p>
    <w:tbl>
      <w:tblPr>
        <w:tblStyle w:val="TabelaFTN"/>
        <w:tblW w:w="7994" w:type="dxa"/>
        <w:jc w:val="center"/>
        <w:tblLayout w:type="fixed"/>
        <w:tblCellMar>
          <w:top w:w="28" w:type="dxa"/>
          <w:bottom w:w="28" w:type="dxa"/>
        </w:tblCellMar>
        <w:tblLook w:val="04A0" w:firstRow="1" w:lastRow="0" w:firstColumn="1" w:lastColumn="0" w:noHBand="0" w:noVBand="1"/>
      </w:tblPr>
      <w:tblGrid>
        <w:gridCol w:w="1599"/>
        <w:gridCol w:w="3198"/>
        <w:gridCol w:w="3197"/>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599" w:type="dxa"/>
          </w:tcPr>
          <w:p>
            <w:pPr>
              <w:pStyle w:val="Tabelazaglavlje"/>
            </w:pPr>
            <w:r>
              <w:t xml:space="preserve">Уплата</w:t>
            </w:r>
          </w:p>
        </w:tc>
        <w:tc>
          <w:tcPr>
            <w:tcW w:w="3198" w:type="dxa"/>
          </w:tcPr>
          <w:p>
            <w:pPr>
              <w:pStyle w:val="Tabelazaglavlje"/>
            </w:pPr>
            <w:r>
              <w:t xml:space="preserve">Похлепни алгоритам</w:t>
            </w:r>
          </w:p>
        </w:tc>
        <w:tc>
          <w:tcPr>
            <w:tcW w:w="3197" w:type="dxa"/>
          </w:tcPr>
          <w:p>
            <w:pPr>
              <w:pStyle w:val="Tabelazaglavlje"/>
            </w:pPr>
            <w:r>
              <w:t xml:space="preserve">Оптимално рјешење</w:t>
            </w:r>
          </w:p>
        </w:tc>
      </w:tr>
      <w:tr>
        <w:trPr>
          <w:cantSplit/>
          <w:jc w:val="center"/>
        </w:trPr>
        <w:tc>
          <w:tcPr>
            <w:tcW w:w="1599" w:type="dxa"/>
          </w:tcPr>
          <w:p>
            <w:pPr>
              <w:pStyle w:val="Tabelatekst"/>
            </w:pPr>
            <w:r>
              <w:t xml:space="preserve">1.</w:t>
            </w:r>
          </w:p>
        </w:tc>
        <w:tc>
          <w:tcPr>
            <w:tcW w:w="3198" w:type="dxa"/>
          </w:tcPr>
          <w:p>
            <w:pPr>
              <w:pStyle w:val="Tabelatekst"/>
            </w:pPr>
            <w:r>
              <w:t xml:space="preserve">Д → А: 8</w:t>
            </w:r>
          </w:p>
        </w:tc>
        <w:tc>
          <w:tcPr>
            <w:tcW w:w="3197" w:type="dxa"/>
          </w:tcPr>
          <w:p>
            <w:pPr>
              <w:pStyle w:val="Tabelatekst"/>
            </w:pPr>
            <w:r>
              <w:t xml:space="preserve">В → А: 3</w:t>
            </w:r>
          </w:p>
        </w:tc>
      </w:tr>
      <w:tr>
        <w:trPr>
          <w:cantSplit/>
          <w:jc w:val="center"/>
        </w:trPr>
        <w:tc>
          <w:tcPr>
            <w:tcW w:w="1599" w:type="dxa"/>
          </w:tcPr>
          <w:p>
            <w:pPr>
              <w:pStyle w:val="Tabelatekst"/>
            </w:pPr>
            <w:r>
              <w:t xml:space="preserve">2.</w:t>
            </w:r>
          </w:p>
        </w:tc>
        <w:tc>
          <w:tcPr>
            <w:tcW w:w="3198" w:type="dxa"/>
          </w:tcPr>
          <w:p>
            <w:pPr>
              <w:pStyle w:val="Tabelatekst"/>
            </w:pPr>
            <w:r>
              <w:t xml:space="preserve">Г → А: 1</w:t>
            </w:r>
          </w:p>
        </w:tc>
        <w:tc>
          <w:tcPr>
            <w:tcW w:w="3197" w:type="dxa"/>
          </w:tcPr>
          <w:p>
            <w:pPr>
              <w:pStyle w:val="Tabelatekst"/>
            </w:pPr>
            <w:r>
              <w:t xml:space="preserve">Г → А: 6</w:t>
            </w:r>
          </w:p>
        </w:tc>
      </w:tr>
      <w:tr>
        <w:trPr>
          <w:cantSplit/>
          <w:jc w:val="center"/>
        </w:trPr>
        <w:tc>
          <w:tcPr>
            <w:tcW w:w="1599" w:type="dxa"/>
          </w:tcPr>
          <w:p>
            <w:pPr>
              <w:pStyle w:val="Tabelatekst"/>
            </w:pPr>
            <w:r>
              <w:t xml:space="preserve">3.</w:t>
            </w:r>
          </w:p>
        </w:tc>
        <w:tc>
          <w:tcPr>
            <w:tcW w:w="3198" w:type="dxa"/>
          </w:tcPr>
          <w:p>
            <w:pPr>
              <w:pStyle w:val="Tabelatekst"/>
            </w:pPr>
            <w:r>
              <w:t xml:space="preserve">Г → Б: 5</w:t>
            </w:r>
          </w:p>
        </w:tc>
        <w:tc>
          <w:tcPr>
            <w:tcW w:w="3197" w:type="dxa"/>
          </w:tcPr>
          <w:p>
            <w:pPr>
              <w:pStyle w:val="Tabelatekst"/>
            </w:pPr>
            <w:r>
              <w:t xml:space="preserve">Д → Б: 8</w:t>
            </w:r>
          </w:p>
        </w:tc>
      </w:tr>
      <w:tr>
        <w:trPr>
          <w:cantSplit/>
          <w:jc w:val="center"/>
        </w:trPr>
        <w:tc>
          <w:tcPr>
            <w:tcW w:w="1599" w:type="dxa"/>
          </w:tcPr>
          <w:p>
            <w:pPr>
              <w:pStyle w:val="Tabelatekst"/>
            </w:pPr>
            <w:r>
              <w:t xml:space="preserve">4.</w:t>
            </w:r>
          </w:p>
        </w:tc>
        <w:tc>
          <w:tcPr>
            <w:tcW w:w="3198" w:type="dxa"/>
          </w:tcPr>
          <w:p>
            <w:pPr>
              <w:pStyle w:val="Tabelatekst"/>
            </w:pPr>
            <w:r>
              <w:t xml:space="preserve">В → Б: 3</w:t>
            </w:r>
          </w:p>
        </w:tc>
        <w:tc>
          <w:tcPr>
            <w:tcW w:w="3197" w:type="dxa"/>
          </w:tcPr>
          <w:p>
            <w:pPr>
              <w:pStyle w:val="Tabelatekst"/>
            </w:pPr>
            <w:r>
              <w:t xml:space="preserve">—</w:t>
            </w:r>
          </w:p>
        </w:tc>
      </w:tr>
    </w:tbl>
    <w:p>
      <w:r>
        <w:t xml:space="preserve"/>
      </w:r>
    </w:p>
    <w:p>
      <w:r>
        <w:t xml:space="preserve">Општије, ако се скуп учесника са салдом различитим од нуле може подијелити на k дисјунктних подскупова чији је збир салда нула, група се може раздужити са n − k уплата, јер се сваки подскуп раздужи независно, са бројем уплата за један мањим од броја својих чланова. Минималан број уплата зато одговара подјели на највећи могући број подскупова са нултим збиром </w:t>
      </w:r>
      <w:r>
        <w:t xml:space="preserve">[5]</w:t>
      </w:r>
      <w:r>
        <w:t xml:space="preserve"> </w:t>
      </w:r>
      <w:r>
        <w:t xml:space="preserve">[6]</w:t>
      </w:r>
      <w:r>
        <w:t xml:space="preserve">. Тај проблем је NP-тежак: већ одлука да ли постоји рјешење са n − 2 уплате еквивалентна је проблему збира подскупа (</w:t>
      </w:r>
      <w:r>
        <w:rPr>
          <w:i/>
        </w:rPr>
        <w:t xml:space="preserve">subset sum</w:t>
      </w:r>
      <w:r>
        <w:t xml:space="preserve">), а у општем случају проблем је бар толико тежак као проблем 3-подјеле (</w:t>
      </w:r>
      <w:r>
        <w:rPr>
          <w:i/>
        </w:rPr>
        <w:t xml:space="preserve">3-partition</w:t>
      </w:r>
      <w:r>
        <w:t xml:space="preserve">) </w:t>
      </w:r>
      <w:r>
        <w:t xml:space="preserve">[5]</w:t>
      </w:r>
      <w:r>
        <w:t xml:space="preserve">.</w:t>
      </w:r>
    </w:p>
    <w:p>
      <w:r>
        <w:t xml:space="preserve">Тачно рјешење се зато у пракси тражи претрагом са враћањем (</w:t>
      </w:r>
      <w:r>
        <w:rPr>
          <w:i/>
        </w:rPr>
        <w:t xml:space="preserve">backtracking</w:t>
      </w:r>
      <w:r>
        <w:t xml:space="preserve">) и одсијецањем грана које не могу дати бољи резултат од до тада најбољег. Сложеност такве претраге расте експоненцијално са бројем учесника, па је примјењива само на мање групе. Систем FairShare нуди оба приступа: похлепни алгоритам као подразумијевани и тачан алгоритам за групе са највише дванаест чланова са салдом различитим од нуле. Детаљи имплементације описани су у четвртом поглављу.</w:t>
      </w:r>
    </w:p>
    <w:p>
      <w:pPr>
        <w:pStyle w:val="Heading2"/>
      </w:pPr>
      <w:r>
        <w:t xml:space="preserve">IPS QR стандард</w:t>
      </w:r>
    </w:p>
    <w:p>
      <w:r>
        <w:t xml:space="preserve">Народна банка Србије развила је систем за инстант плаћања (IPS NBS), у коме се пренос новца између рачуна у различитим банкама извршава у реалном времену. За иницирање таквог плаћања прописан је стандардни садржај QR кода (NBS IPS QR код) </w:t>
      </w:r>
      <w:r>
        <w:t xml:space="preserve">[4]</w:t>
      </w:r>
      <w:r>
        <w:t xml:space="preserve">: корисник у апликацији своје банке скенира код, а налог за плаћање се попуни аутоматски.</w:t>
      </w:r>
    </w:p>
    <w:p>
      <w:r>
        <w:t xml:space="preserve">Садржај кода је текст у кодирању UTF-8, састављен од поља облика ОЗНАКА:вриједност која су међусобно раздвојена знаком „|“. Опциона поља без вриједности се изостављају, а на почетку и на крају текста не смије бити размака ни граничника </w:t>
      </w:r>
      <w:r>
        <w:t xml:space="preserve">[4]</w:t>
      </w:r>
      <w:r>
        <w:t xml:space="preserve">. Најважнија поља приказана су у табели </w:t>
      </w:r>
      <w:r>
        <w:fldChar w:fldCharType="begin"/>
      </w:r>
      <w:r>
        <w:instrText xml:space="preserve"> REF _Ref_tab_ips \h </w:instrText>
      </w:r>
      <w:r>
        <w:fldChar w:fldCharType="separate"/>
      </w:r>
      <w:r>
        <w:rPr>
          <w:noProof/>
        </w:rPr>
        <w:t xml:space="preserve">2</w:t>
      </w:r>
      <w:r>
        <w:fldChar w:fldCharType="end"/>
      </w:r>
      <w:r>
        <w:t xml:space="preserve">, а примјер садржаја у листингу </w:t>
      </w:r>
      <w:r>
        <w:fldChar w:fldCharType="begin"/>
      </w:r>
      <w:r>
        <w:instrText xml:space="preserve"> REF _Ref_lst_ips \h </w:instrText>
      </w:r>
      <w:r>
        <w:fldChar w:fldCharType="separate"/>
      </w:r>
      <w:r>
        <w:rPr>
          <w:noProof/>
        </w:rPr>
        <w:t xml:space="preserve">1</w:t>
      </w:r>
      <w:r>
        <w:fldChar w:fldCharType="end"/>
      </w:r>
      <w:r>
        <w:t xml:space="preserve">.</w:t>
      </w:r>
    </w:p>
    <w:p>
      <w:pPr>
        <w:pStyle w:val="Natpisiznad"/>
      </w:pPr>
      <w:r>
        <w:t xml:space="preserve">Табела </w:t>
      </w:r>
      <w:bookmarkStart w:id="5002" w:name="_Ref_tab_ips"/>
      <w:r>
        <w:fldChar w:fldCharType="begin"/>
      </w:r>
      <w:r>
        <w:instrText xml:space="preserve"> SEQ Табела \* ARABIC </w:instrText>
      </w:r>
      <w:r>
        <w:fldChar w:fldCharType="separate"/>
      </w:r>
      <w:r>
        <w:rPr>
          <w:noProof/>
        </w:rPr>
        <w:t xml:space="preserve">2</w:t>
      </w:r>
      <w:r>
        <w:fldChar w:fldCharType="end"/>
      </w:r>
      <w:bookmarkEnd w:id="5002"/>
      <w:r>
        <w:t xml:space="preserve">: Поља NBS IPS QR кода.</w:t>
      </w:r>
    </w:p>
    <w:tbl>
      <w:tblPr>
        <w:tblStyle w:val="TabelaFTN"/>
        <w:tblW w:w="7994" w:type="dxa"/>
        <w:jc w:val="center"/>
        <w:tblLayout w:type="fixed"/>
        <w:tblCellMar>
          <w:top w:w="28" w:type="dxa"/>
          <w:bottom w:w="28" w:type="dxa"/>
        </w:tblCellMar>
        <w:tblLook w:val="04A0" w:firstRow="1" w:lastRow="0" w:firstColumn="1" w:lastColumn="0" w:noHBand="0" w:noVBand="1"/>
      </w:tblPr>
      <w:tblGrid>
        <w:gridCol w:w="1279"/>
        <w:gridCol w:w="5276"/>
        <w:gridCol w:w="1439"/>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279" w:type="dxa"/>
          </w:tcPr>
          <w:p>
            <w:pPr>
              <w:pStyle w:val="Tabelazaglavlje"/>
            </w:pPr>
            <w:r>
              <w:t xml:space="preserve">Ознака</w:t>
            </w:r>
          </w:p>
        </w:tc>
        <w:tc>
          <w:tcPr>
            <w:tcW w:w="5276" w:type="dxa"/>
          </w:tcPr>
          <w:p>
            <w:pPr>
              <w:pStyle w:val="Tabelazaglavlje"/>
            </w:pPr>
            <w:r>
              <w:t xml:space="preserve">Значење</w:t>
            </w:r>
          </w:p>
        </w:tc>
        <w:tc>
          <w:tcPr>
            <w:tcW w:w="1439" w:type="dxa"/>
          </w:tcPr>
          <w:p>
            <w:pPr>
              <w:pStyle w:val="Tabelazaglavlje"/>
            </w:pPr>
            <w:r>
              <w:t xml:space="preserve">Обавезно</w:t>
            </w:r>
          </w:p>
        </w:tc>
      </w:tr>
      <w:tr>
        <w:trPr>
          <w:cantSplit/>
          <w:jc w:val="center"/>
        </w:trPr>
        <w:tc>
          <w:tcPr>
            <w:tcW w:w="1279" w:type="dxa"/>
          </w:tcPr>
          <w:p>
            <w:pPr>
              <w:pStyle w:val="Tabelatekst"/>
            </w:pPr>
            <w:r>
              <w:t xml:space="preserve">K</w:t>
            </w:r>
          </w:p>
        </w:tc>
        <w:tc>
          <w:tcPr>
            <w:tcW w:w="5276" w:type="dxa"/>
          </w:tcPr>
          <w:p>
            <w:pPr>
              <w:pStyle w:val="Tabelatekst"/>
            </w:pPr>
            <w:r>
              <w:t xml:space="preserve">Идентификациони код, вриједност „PR“</w:t>
            </w:r>
          </w:p>
        </w:tc>
        <w:tc>
          <w:tcPr>
            <w:tcW w:w="1439" w:type="dxa"/>
          </w:tcPr>
          <w:p>
            <w:pPr>
              <w:pStyle w:val="Tabelatekst"/>
            </w:pPr>
            <w:r>
              <w:t xml:space="preserve">да</w:t>
            </w:r>
          </w:p>
        </w:tc>
      </w:tr>
      <w:tr>
        <w:trPr>
          <w:cantSplit/>
          <w:jc w:val="center"/>
        </w:trPr>
        <w:tc>
          <w:tcPr>
            <w:tcW w:w="1279" w:type="dxa"/>
          </w:tcPr>
          <w:p>
            <w:pPr>
              <w:pStyle w:val="Tabelatekst"/>
            </w:pPr>
            <w:r>
              <w:t xml:space="preserve">V</w:t>
            </w:r>
          </w:p>
        </w:tc>
        <w:tc>
          <w:tcPr>
            <w:tcW w:w="5276" w:type="dxa"/>
          </w:tcPr>
          <w:p>
            <w:pPr>
              <w:pStyle w:val="Tabelatekst"/>
            </w:pPr>
            <w:r>
              <w:t xml:space="preserve">Верзија, вриједност „01“</w:t>
            </w:r>
          </w:p>
        </w:tc>
        <w:tc>
          <w:tcPr>
            <w:tcW w:w="1439" w:type="dxa"/>
          </w:tcPr>
          <w:p>
            <w:pPr>
              <w:pStyle w:val="Tabelatekst"/>
            </w:pPr>
            <w:r>
              <w:t xml:space="preserve">да</w:t>
            </w:r>
          </w:p>
        </w:tc>
      </w:tr>
      <w:tr>
        <w:trPr>
          <w:cantSplit/>
          <w:jc w:val="center"/>
        </w:trPr>
        <w:tc>
          <w:tcPr>
            <w:tcW w:w="1279" w:type="dxa"/>
          </w:tcPr>
          <w:p>
            <w:pPr>
              <w:pStyle w:val="Tabelatekst"/>
            </w:pPr>
            <w:r>
              <w:t xml:space="preserve">C</w:t>
            </w:r>
          </w:p>
        </w:tc>
        <w:tc>
          <w:tcPr>
            <w:tcW w:w="5276" w:type="dxa"/>
          </w:tcPr>
          <w:p>
            <w:pPr>
              <w:pStyle w:val="Tabelatekst"/>
            </w:pPr>
            <w:r>
              <w:t xml:space="preserve">Скуп знакова, „1“ означава UTF-8</w:t>
            </w:r>
          </w:p>
        </w:tc>
        <w:tc>
          <w:tcPr>
            <w:tcW w:w="1439" w:type="dxa"/>
          </w:tcPr>
          <w:p>
            <w:pPr>
              <w:pStyle w:val="Tabelatekst"/>
            </w:pPr>
            <w:r>
              <w:t xml:space="preserve">да</w:t>
            </w:r>
          </w:p>
        </w:tc>
      </w:tr>
      <w:tr>
        <w:trPr>
          <w:cantSplit/>
          <w:jc w:val="center"/>
        </w:trPr>
        <w:tc>
          <w:tcPr>
            <w:tcW w:w="1279" w:type="dxa"/>
          </w:tcPr>
          <w:p>
            <w:pPr>
              <w:pStyle w:val="Tabelatekst"/>
            </w:pPr>
            <w:r>
              <w:t xml:space="preserve">R</w:t>
            </w:r>
          </w:p>
        </w:tc>
        <w:tc>
          <w:tcPr>
            <w:tcW w:w="5276" w:type="dxa"/>
          </w:tcPr>
          <w:p>
            <w:pPr>
              <w:pStyle w:val="Tabelatekst"/>
            </w:pPr>
            <w:r>
              <w:t xml:space="preserve">Рачун примаоца, 18 цифара без цртица</w:t>
            </w:r>
          </w:p>
        </w:tc>
        <w:tc>
          <w:tcPr>
            <w:tcW w:w="1439" w:type="dxa"/>
          </w:tcPr>
          <w:p>
            <w:pPr>
              <w:pStyle w:val="Tabelatekst"/>
            </w:pPr>
            <w:r>
              <w:t xml:space="preserve">да</w:t>
            </w:r>
          </w:p>
        </w:tc>
      </w:tr>
      <w:tr>
        <w:trPr>
          <w:cantSplit/>
          <w:jc w:val="center"/>
        </w:trPr>
        <w:tc>
          <w:tcPr>
            <w:tcW w:w="1279" w:type="dxa"/>
          </w:tcPr>
          <w:p>
            <w:pPr>
              <w:pStyle w:val="Tabelatekst"/>
            </w:pPr>
            <w:r>
              <w:t xml:space="preserve">N</w:t>
            </w:r>
          </w:p>
        </w:tc>
        <w:tc>
          <w:tcPr>
            <w:tcW w:w="5276" w:type="dxa"/>
          </w:tcPr>
          <w:p>
            <w:pPr>
              <w:pStyle w:val="Tabelatekst"/>
            </w:pPr>
            <w:r>
              <w:t xml:space="preserve">Назив примаоца, до 70 знакова</w:t>
            </w:r>
          </w:p>
        </w:tc>
        <w:tc>
          <w:tcPr>
            <w:tcW w:w="1439" w:type="dxa"/>
          </w:tcPr>
          <w:p>
            <w:pPr>
              <w:pStyle w:val="Tabelatekst"/>
            </w:pPr>
            <w:r>
              <w:t xml:space="preserve">да</w:t>
            </w:r>
          </w:p>
        </w:tc>
      </w:tr>
      <w:tr>
        <w:trPr>
          <w:cantSplit/>
          <w:jc w:val="center"/>
        </w:trPr>
        <w:tc>
          <w:tcPr>
            <w:tcW w:w="1279" w:type="dxa"/>
          </w:tcPr>
          <w:p>
            <w:pPr>
              <w:pStyle w:val="Tabelatekst"/>
            </w:pPr>
            <w:r>
              <w:t xml:space="preserve">I</w:t>
            </w:r>
          </w:p>
        </w:tc>
        <w:tc>
          <w:tcPr>
            <w:tcW w:w="5276" w:type="dxa"/>
          </w:tcPr>
          <w:p>
            <w:pPr>
              <w:pStyle w:val="Tabelatekst"/>
            </w:pPr>
            <w:r>
              <w:t xml:space="preserve">Валута и износ са децималним зарезом, нпр. RSD1025,50</w:t>
            </w:r>
          </w:p>
        </w:tc>
        <w:tc>
          <w:tcPr>
            <w:tcW w:w="1439" w:type="dxa"/>
          </w:tcPr>
          <w:p>
            <w:pPr>
              <w:pStyle w:val="Tabelatekst"/>
            </w:pPr>
            <w:r>
              <w:t xml:space="preserve">да</w:t>
            </w:r>
          </w:p>
        </w:tc>
      </w:tr>
      <w:tr>
        <w:trPr>
          <w:cantSplit/>
          <w:jc w:val="center"/>
        </w:trPr>
        <w:tc>
          <w:tcPr>
            <w:tcW w:w="1279" w:type="dxa"/>
          </w:tcPr>
          <w:p>
            <w:pPr>
              <w:pStyle w:val="Tabelatekst"/>
            </w:pPr>
            <w:r>
              <w:t xml:space="preserve">SF</w:t>
            </w:r>
          </w:p>
        </w:tc>
        <w:tc>
          <w:tcPr>
            <w:tcW w:w="5276" w:type="dxa"/>
          </w:tcPr>
          <w:p>
            <w:pPr>
              <w:pStyle w:val="Tabelatekst"/>
            </w:pPr>
            <w:r>
              <w:t xml:space="preserve">Шифра плаћања, три цифре (нпр. 289)</w:t>
            </w:r>
          </w:p>
        </w:tc>
        <w:tc>
          <w:tcPr>
            <w:tcW w:w="1439" w:type="dxa"/>
          </w:tcPr>
          <w:p>
            <w:pPr>
              <w:pStyle w:val="Tabelatekst"/>
            </w:pPr>
            <w:r>
              <w:t xml:space="preserve">да</w:t>
            </w:r>
          </w:p>
        </w:tc>
      </w:tr>
      <w:tr>
        <w:trPr>
          <w:cantSplit/>
          <w:jc w:val="center"/>
        </w:trPr>
        <w:tc>
          <w:tcPr>
            <w:tcW w:w="1279" w:type="dxa"/>
          </w:tcPr>
          <w:p>
            <w:pPr>
              <w:pStyle w:val="Tabelatekst"/>
            </w:pPr>
            <w:r>
              <w:t xml:space="preserve">S</w:t>
            </w:r>
          </w:p>
        </w:tc>
        <w:tc>
          <w:tcPr>
            <w:tcW w:w="5276" w:type="dxa"/>
          </w:tcPr>
          <w:p>
            <w:pPr>
              <w:pStyle w:val="Tabelatekst"/>
            </w:pPr>
            <w:r>
              <w:t xml:space="preserve">Сврха плаћања, до 35 знакова</w:t>
            </w:r>
          </w:p>
        </w:tc>
        <w:tc>
          <w:tcPr>
            <w:tcW w:w="1439" w:type="dxa"/>
          </w:tcPr>
          <w:p>
            <w:pPr>
              <w:pStyle w:val="Tabelatekst"/>
            </w:pPr>
            <w:r>
              <w:t xml:space="preserve">не</w:t>
            </w:r>
          </w:p>
        </w:tc>
      </w:tr>
      <w:tr>
        <w:trPr>
          <w:cantSplit/>
          <w:jc w:val="center"/>
        </w:trPr>
        <w:tc>
          <w:tcPr>
            <w:tcW w:w="1279" w:type="dxa"/>
          </w:tcPr>
          <w:p>
            <w:pPr>
              <w:pStyle w:val="Tabelatekst"/>
            </w:pPr>
            <w:r>
              <w:t xml:space="preserve">RO</w:t>
            </w:r>
          </w:p>
        </w:tc>
        <w:tc>
          <w:tcPr>
            <w:tcW w:w="5276" w:type="dxa"/>
          </w:tcPr>
          <w:p>
            <w:pPr>
              <w:pStyle w:val="Tabelatekst"/>
            </w:pPr>
            <w:r>
              <w:t xml:space="preserve">Модел и позив на број, до 25 знакова</w:t>
            </w:r>
          </w:p>
        </w:tc>
        <w:tc>
          <w:tcPr>
            <w:tcW w:w="1439" w:type="dxa"/>
          </w:tcPr>
          <w:p>
            <w:pPr>
              <w:pStyle w:val="Tabelatekst"/>
            </w:pPr>
            <w:r>
              <w:t xml:space="preserve">не</w:t>
            </w:r>
          </w:p>
        </w:tc>
      </w:tr>
    </w:tbl>
    <w:p>
      <w:r>
        <w:t xml:space="preserve"/>
      </w:r>
    </w:p>
    <w:p>
      <w:pPr>
        <w:pStyle w:val="Listing"/>
        <w:keepNext/>
        <w:keepLines/>
      </w:pPr>
      <w:r>
        <w:t xml:space="preserve">K:PR|V:01|C:1|R:160000000012345678|N:Петар Петровић</w:t>
      </w:r>
    </w:p>
    <w:p>
      <w:pPr>
        <w:pStyle w:val="Listing"/>
        <w:keepNext/>
        <w:keepLines/>
      </w:pPr>
      <w:r>
        <w:t xml:space="preserve">|I:RSD1025,50|SF:289|S:Поравнање трошкова|RO:00123456</w:t>
      </w:r>
    </w:p>
    <w:p>
      <w:pPr>
        <w:pStyle w:val="Caption"/>
      </w:pPr>
      <w:r>
        <w:t xml:space="preserve">Листинг </w:t>
      </w:r>
      <w:bookmarkStart w:id="5003" w:name="_Ref_lst_ips"/>
      <w:r>
        <w:fldChar w:fldCharType="begin"/>
      </w:r>
      <w:r>
        <w:instrText xml:space="preserve"> SEQ Листинг \* ARABIC </w:instrText>
      </w:r>
      <w:r>
        <w:fldChar w:fldCharType="separate"/>
      </w:r>
      <w:r>
        <w:rPr>
          <w:noProof/>
        </w:rPr>
        <w:t xml:space="preserve">1</w:t>
      </w:r>
      <w:r>
        <w:fldChar w:fldCharType="end"/>
      </w:r>
      <w:bookmarkEnd w:id="5003"/>
      <w:r>
        <w:t xml:space="preserve">: Примјер садржаја IPS QR кода (измишљени подаци; један ред, приказан у два ради прегледности).</w:t>
      </w:r>
    </w:p>
    <w:p>
      <w:r>
        <w:t xml:space="preserve">Систем FairShare генерише QR код по узору на овај стандард, уз неколико свјесних поједностављења: поред рачуна са 18 цифара (Србија) прихвата и рачуне са 16 цифара (Босна и Херцеговина), износ се исказује у валути групе, а поље RO садржи интерни идентификатор поравнања, без модела и контролних цифара. Тако генерисан код служи и за аутоматско препознавање поравнања када се скенира у апликацији, али га банкарске апликације које строго провјеравају стандард не морају прихватити.</w:t>
      </w:r>
    </w:p>
    <w:p>
      <w:pPr>
        <w:pStyle w:val="Heading2"/>
      </w:pPr>
      <w:r>
        <w:t xml:space="preserve">Платне картице и токенизација</w:t>
      </w:r>
    </w:p>
    <w:p>
      <w:r>
        <w:t xml:space="preserve">Подаци о платним картицама заштићени су стандардом PCI DSS (</w:t>
      </w:r>
      <w:r>
        <w:rPr>
          <w:i/>
        </w:rPr>
        <w:t xml:space="preserve">Payment Card Industry Data Security Standard</w:t>
      </w:r>
      <w:r>
        <w:t xml:space="preserve">), који издаје Савјет за стандарде безбједности индустрије платних картица (PCI Security Standards Council). Тренутно важећа верзија 4.0.1 објављена је у јуну 2024. године </w:t>
      </w:r>
      <w:r>
        <w:t xml:space="preserve">[7]</w:t>
      </w:r>
      <w:r>
        <w:t xml:space="preserve">. Стандард се примјењује на сваки систем који чува, обрађује или преноси податке о картици и, између осталог, забрањује чување осјетљивих података за аутентификацију, као што је сигурносни код картице (CVV), након ауторизације плаћања </w:t>
      </w:r>
      <w:r>
        <w:t xml:space="preserve">[7]</w:t>
      </w:r>
      <w:r>
        <w:t xml:space="preserve">.</w:t>
      </w:r>
    </w:p>
    <w:p>
      <w:r>
        <w:t xml:space="preserve">Најефикаснији начин да се обим примјене стандарда смањи јесте токенизација </w:t>
      </w:r>
      <w:r>
        <w:t xml:space="preserve">[8]</w:t>
      </w:r>
      <w:r>
        <w:t xml:space="preserve">: број картице замјењује се токеном — вриједношћу која нема значење ван система који ју је издао — тако да апликација трговца никада не види ни не чува прави број картице. Пружалац платних услуга чува везу између токена и картице, а трговац при сваком плаћању шаље само токен.</w:t>
      </w:r>
    </w:p>
    <w:p>
      <w:r>
        <w:t xml:space="preserve">Прије токенизације провјерава се исправност броја картице контролном цифром по Луновом (</w:t>
      </w:r>
      <w:r>
        <w:rPr>
          <w:i/>
        </w:rPr>
        <w:t xml:space="preserve">Luhn</w:t>
      </w:r>
      <w:r>
        <w:t xml:space="preserve">) алгоритму, који је дио стандарда ISO/IEC 7812 за нумерацију идентификационих картица </w:t>
      </w:r>
      <w:r>
        <w:t xml:space="preserve">[9]</w:t>
      </w:r>
      <w:r>
        <w:t xml:space="preserve">: удвостручава се свака друга цифра здесна, од производа већих од 9 одузима се 9, а збир свих цифара мора бити дјељив са 10. Тако се откривају све грешке при уносу једне цифре и већина замјена сусједних цифара.</w:t>
      </w:r>
    </w:p>
    <w:p>
      <w:r>
        <w:t xml:space="preserve">Код стварних пружалаца платних услуга исход плаћања често није познат одмах: захтјев се прихвати, а резултат се накнадно јавља апликацији трговца HTTP позивом (</w:t>
      </w:r>
      <w:r>
        <w:rPr>
          <w:i/>
        </w:rPr>
        <w:t xml:space="preserve">webhook</w:t>
      </w:r>
      <w:r>
        <w:t xml:space="preserve">). Да би трговац могао да провјери да обавјештење заиста долази од пружаоца, оно се потписује кодом за аутентификацију поруке HMAC </w:t>
      </w:r>
      <w:r>
        <w:t xml:space="preserve">[10]</w:t>
      </w:r>
      <w:r>
        <w:t xml:space="preserve">, израчунатим над садржајем поруке тајним кључем који знају само двије стране. Исто обавјештење може стићи више пута, па га трговац мора обрадити само једном (идемпотентност).</w:t>
      </w:r>
    </w:p>
    <w:p>
      <w:r>
        <w:t xml:space="preserve">Симулатор плаћања у систему FairShare опонаша управо овакво понашање: токенизује тест картице, наплату обрађује асинхроно и исход јавља потписаним обавјештењем. Сам FairShare о картици чува само токен, посљедње четири цифре, бренд и датум истека.</w:t>
      </w:r>
    </w:p>
    <w:p>
      <w:pPr>
        <w:pStyle w:val="Heading2"/>
      </w:pPr>
      <w:r>
        <w:t xml:space="preserve">Вишеслојна (Onion) архитектура</w:t>
      </w:r>
    </w:p>
    <w:p>
      <w:r>
        <w:t xml:space="preserve">Архитектуру </w:t>
      </w:r>
      <w:r>
        <w:rPr>
          <w:i/>
        </w:rPr>
        <w:t xml:space="preserve">Onion</w:t>
      </w:r>
      <w:r>
        <w:t xml:space="preserve"> (луковица) предложио је Џефри Палермо (Jeffrey Palermo) 2008. године </w:t>
      </w:r>
      <w:r>
        <w:t xml:space="preserve">[11]</w:t>
      </w:r>
      <w:r>
        <w:t xml:space="preserve">. Систем се организује у концентричне слојеве, у чијем је средишту доменски модел — ентитети и пословна правила — који не зависи ни од једног другог дијела система. Око њега су апликациони сервиси, а на спољашњем прстену налазе се инфраструктура (база података, слање е-поште, спољни сервиси) и кориснички интерфејс, односно API.</w:t>
      </w:r>
    </w:p>
    <w:p>
      <w:r>
        <w:t xml:space="preserve">Основно правило је да су зависности усмјерене искључиво ка средишту: унутрашњи слојеви дефинишу интерфејсе, на примјер репозиторијум или сервис за слање е-поште, а спољашњи их имплементирају. Пословна логика зато не зависи од конкретне базе података или радног оквира, може се тестирати без инфраструктуре, а технологија на спољашњем прстену може се замијенити без измјене језгра </w:t>
      </w:r>
      <w:r>
        <w:t xml:space="preserve">[11]</w:t>
      </w:r>
      <w:r>
        <w:t xml:space="preserve">.</w:t>
      </w:r>
    </w:p>
    <w:p>
      <w:r>
        <w:t xml:space="preserve">Серверски дио система FairShare подијељен је на четири пројекта која одговарају овим слојевима. Пројекат Domain садржи ентитете, доменска правила (нпр. обрачун салда и поједностављивање дугова) и интерфејсе репозиторијума. Application садржи апликационе сервисе, објекте за пренос података (DTO), валидацију и интерфејсе спољних сервиса. Infrastructure имплементира приступ бази, кеш, слање е-поште, PDF извјештаје и комуникацију са симулатором плаћања, а API садржи контролере, обраду грешака и аутентификацију. Распоред слојева детаљније је описан у четвртом поглављу.</w:t>
      </w:r>
    </w:p>
    <w:p>
      <w:pPr>
        <w:pStyle w:val="Heading2"/>
      </w:pPr>
      <w:r>
        <w:t xml:space="preserve">Коришћене технологије</w:t>
      </w:r>
    </w:p>
    <w:p>
      <w:r>
        <w:t xml:space="preserve">Технологије коришћене у изради система, са својом намјеном, наведене су у табели </w:t>
      </w:r>
      <w:r>
        <w:fldChar w:fldCharType="begin"/>
      </w:r>
      <w:r>
        <w:instrText xml:space="preserve"> REF _Ref_tab_tech \h </w:instrText>
      </w:r>
      <w:r>
        <w:fldChar w:fldCharType="separate"/>
      </w:r>
      <w:r>
        <w:rPr>
          <w:noProof/>
        </w:rPr>
        <w:t xml:space="preserve">3</w:t>
      </w:r>
      <w:r>
        <w:fldChar w:fldCharType="end"/>
      </w:r>
      <w:r>
        <w:t xml:space="preserve">.</w:t>
      </w:r>
    </w:p>
    <w:p>
      <w:pPr>
        <w:pStyle w:val="Natpisiznad"/>
      </w:pPr>
      <w:r>
        <w:t xml:space="preserve">Табела </w:t>
      </w:r>
      <w:bookmarkStart w:id="5004" w:name="_Ref_tab_tech"/>
      <w:r>
        <w:fldChar w:fldCharType="begin"/>
      </w:r>
      <w:r>
        <w:instrText xml:space="preserve"> SEQ Табела \* ARABIC </w:instrText>
      </w:r>
      <w:r>
        <w:fldChar w:fldCharType="separate"/>
      </w:r>
      <w:r>
        <w:rPr>
          <w:noProof/>
        </w:rPr>
        <w:t xml:space="preserve">3</w:t>
      </w:r>
      <w:r>
        <w:fldChar w:fldCharType="end"/>
      </w:r>
      <w:bookmarkEnd w:id="5004"/>
      <w:r>
        <w:t xml:space="preserve">: Коришћене технологије.</w:t>
      </w:r>
    </w:p>
    <w:tbl>
      <w:tblPr>
        <w:tblStyle w:val="TabelaFTN"/>
        <w:tblW w:w="7994" w:type="dxa"/>
        <w:jc w:val="center"/>
        <w:tblLayout w:type="fixed"/>
        <w:tblCellMar>
          <w:top w:w="28" w:type="dxa"/>
          <w:bottom w:w="28" w:type="dxa"/>
        </w:tblCellMar>
        <w:tblLook w:val="04A0" w:firstRow="1" w:lastRow="0" w:firstColumn="1" w:lastColumn="0" w:noHBand="0" w:noVBand="1"/>
      </w:tblPr>
      <w:tblGrid>
        <w:gridCol w:w="3597"/>
        <w:gridCol w:w="4397"/>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3597" w:type="dxa"/>
          </w:tcPr>
          <w:p>
            <w:pPr>
              <w:pStyle w:val="Tabelazaglavlje"/>
            </w:pPr>
            <w:r>
              <w:t xml:space="preserve">Технологија</w:t>
            </w:r>
          </w:p>
        </w:tc>
        <w:tc>
          <w:tcPr>
            <w:tcW w:w="4397" w:type="dxa"/>
          </w:tcPr>
          <w:p>
            <w:pPr>
              <w:pStyle w:val="Tabelazaglavlje"/>
            </w:pPr>
            <w:r>
              <w:t xml:space="preserve">Намјена</w:t>
            </w:r>
          </w:p>
        </w:tc>
      </w:tr>
      <w:tr>
        <w:trPr>
          <w:cantSplit/>
          <w:jc w:val="center"/>
        </w:trPr>
        <w:tc>
          <w:tcPr>
            <w:tcW w:w="3597" w:type="dxa"/>
          </w:tcPr>
          <w:p>
            <w:pPr>
              <w:pStyle w:val="Tabelatekst"/>
            </w:pPr>
            <w:r>
              <w:t xml:space="preserve">.NET 10, ASP.NET Core </w:t>
            </w:r>
            <w:r>
              <w:t xml:space="preserve">[12]</w:t>
            </w:r>
          </w:p>
        </w:tc>
        <w:tc>
          <w:tcPr>
            <w:tcW w:w="4397" w:type="dxa"/>
          </w:tcPr>
          <w:p>
            <w:pPr>
              <w:pStyle w:val="Tabelatekst"/>
            </w:pPr>
            <w:r>
              <w:t xml:space="preserve">серверска платформа и радни оквир за REST API</w:t>
            </w:r>
          </w:p>
        </w:tc>
      </w:tr>
      <w:tr>
        <w:trPr>
          <w:cantSplit/>
          <w:jc w:val="center"/>
        </w:trPr>
        <w:tc>
          <w:tcPr>
            <w:tcW w:w="3597" w:type="dxa"/>
          </w:tcPr>
          <w:p>
            <w:pPr>
              <w:pStyle w:val="Tabelatekst"/>
            </w:pPr>
            <w:r>
              <w:t xml:space="preserve">JWT </w:t>
            </w:r>
            <w:r>
              <w:t xml:space="preserve">[13]</w:t>
            </w:r>
          </w:p>
        </w:tc>
        <w:tc>
          <w:tcPr>
            <w:tcW w:w="4397" w:type="dxa"/>
          </w:tcPr>
          <w:p>
            <w:pPr>
              <w:pStyle w:val="Tabelatekst"/>
            </w:pPr>
            <w:r>
              <w:t xml:space="preserve">аутентификација корисника токенима</w:t>
            </w:r>
          </w:p>
        </w:tc>
      </w:tr>
      <w:tr>
        <w:trPr>
          <w:cantSplit/>
          <w:jc w:val="center"/>
        </w:trPr>
        <w:tc>
          <w:tcPr>
            <w:tcW w:w="3597" w:type="dxa"/>
          </w:tcPr>
          <w:p>
            <w:pPr>
              <w:pStyle w:val="Tabelatekst"/>
            </w:pPr>
            <w:r>
              <w:t xml:space="preserve">Entity Framework Core </w:t>
            </w:r>
            <w:r>
              <w:t xml:space="preserve">[14]</w:t>
            </w:r>
          </w:p>
        </w:tc>
        <w:tc>
          <w:tcPr>
            <w:tcW w:w="4397" w:type="dxa"/>
          </w:tcPr>
          <w:p>
            <w:pPr>
              <w:pStyle w:val="Tabelatekst"/>
            </w:pPr>
            <w:r>
              <w:t xml:space="preserve">објектно-релационо мапирање, миграције, оптимистичка контрола конкурентности</w:t>
            </w:r>
          </w:p>
        </w:tc>
      </w:tr>
      <w:tr>
        <w:trPr>
          <w:cantSplit/>
          <w:jc w:val="center"/>
        </w:trPr>
        <w:tc>
          <w:tcPr>
            <w:tcW w:w="3597" w:type="dxa"/>
          </w:tcPr>
          <w:p>
            <w:pPr>
              <w:pStyle w:val="Tabelatekst"/>
            </w:pPr>
            <w:r>
              <w:t xml:space="preserve">PostgreSQL </w:t>
            </w:r>
            <w:r>
              <w:t xml:space="preserve">[15]</w:t>
            </w:r>
          </w:p>
        </w:tc>
        <w:tc>
          <w:tcPr>
            <w:tcW w:w="4397" w:type="dxa"/>
          </w:tcPr>
          <w:p>
            <w:pPr>
              <w:pStyle w:val="Tabelatekst"/>
            </w:pPr>
            <w:r>
              <w:t xml:space="preserve">релациона база података</w:t>
            </w:r>
          </w:p>
        </w:tc>
      </w:tr>
      <w:tr>
        <w:trPr>
          <w:cantSplit/>
          <w:jc w:val="center"/>
        </w:trPr>
        <w:tc>
          <w:tcPr>
            <w:tcW w:w="3597" w:type="dxa"/>
          </w:tcPr>
          <w:p>
            <w:pPr>
              <w:pStyle w:val="Tabelatekst"/>
            </w:pPr>
            <w:r>
              <w:t xml:space="preserve">SignalR </w:t>
            </w:r>
            <w:r>
              <w:t xml:space="preserve">[16]</w:t>
            </w:r>
          </w:p>
        </w:tc>
        <w:tc>
          <w:tcPr>
            <w:tcW w:w="4397" w:type="dxa"/>
          </w:tcPr>
          <w:p>
            <w:pPr>
              <w:pStyle w:val="Tabelatekst"/>
            </w:pPr>
            <w:r>
              <w:t xml:space="preserve">обавјештења у реалном времену</w:t>
            </w:r>
          </w:p>
        </w:tc>
      </w:tr>
      <w:tr>
        <w:trPr>
          <w:cantSplit/>
          <w:jc w:val="center"/>
        </w:trPr>
        <w:tc>
          <w:tcPr>
            <w:tcW w:w="3597" w:type="dxa"/>
          </w:tcPr>
          <w:p>
            <w:pPr>
              <w:pStyle w:val="Tabelatekst"/>
            </w:pPr>
            <w:r>
              <w:t xml:space="preserve">HybridCache </w:t>
            </w:r>
            <w:r>
              <w:t xml:space="preserve">[17]</w:t>
            </w:r>
          </w:p>
        </w:tc>
        <w:tc>
          <w:tcPr>
            <w:tcW w:w="4397" w:type="dxa"/>
          </w:tcPr>
          <w:p>
            <w:pPr>
              <w:pStyle w:val="Tabelatekst"/>
            </w:pPr>
            <w:r>
              <w:t xml:space="preserve">кеширање резултата уз брисање по ознакама</w:t>
            </w:r>
          </w:p>
        </w:tc>
      </w:tr>
      <w:tr>
        <w:trPr>
          <w:cantSplit/>
          <w:jc w:val="center"/>
        </w:trPr>
        <w:tc>
          <w:tcPr>
            <w:tcW w:w="3597" w:type="dxa"/>
          </w:tcPr>
          <w:p>
            <w:pPr>
              <w:pStyle w:val="Tabelatekst"/>
            </w:pPr>
            <w:r>
              <w:t xml:space="preserve">QuestPDF </w:t>
            </w:r>
            <w:r>
              <w:t xml:space="preserve">[18]</w:t>
            </w:r>
          </w:p>
        </w:tc>
        <w:tc>
          <w:tcPr>
            <w:tcW w:w="4397" w:type="dxa"/>
          </w:tcPr>
          <w:p>
            <w:pPr>
              <w:pStyle w:val="Tabelatekst"/>
            </w:pPr>
            <w:r>
              <w:t xml:space="preserve">генерисање PDF извјештаја</w:t>
            </w:r>
          </w:p>
        </w:tc>
      </w:tr>
      <w:tr>
        <w:trPr>
          <w:cantSplit/>
          <w:jc w:val="center"/>
        </w:trPr>
        <w:tc>
          <w:tcPr>
            <w:tcW w:w="3597" w:type="dxa"/>
          </w:tcPr>
          <w:p>
            <w:pPr>
              <w:pStyle w:val="Tabelatekst"/>
            </w:pPr>
            <w:r>
              <w:t xml:space="preserve">FluentValidation, AutoMapper, QRCoder, MailKit, BCrypt</w:t>
            </w:r>
          </w:p>
        </w:tc>
        <w:tc>
          <w:tcPr>
            <w:tcW w:w="4397" w:type="dxa"/>
          </w:tcPr>
          <w:p>
            <w:pPr>
              <w:pStyle w:val="Tabelatekst"/>
            </w:pPr>
            <w:r>
              <w:t xml:space="preserve">валидација захтјева, мапирање објеката, слика QR кода, слање е-поште, хеширање лозинки</w:t>
            </w:r>
          </w:p>
        </w:tc>
      </w:tr>
      <w:tr>
        <w:trPr>
          <w:cantSplit/>
          <w:jc w:val="center"/>
        </w:trPr>
        <w:tc>
          <w:tcPr>
            <w:tcW w:w="3597" w:type="dxa"/>
          </w:tcPr>
          <w:p>
            <w:pPr>
              <w:pStyle w:val="Tabelatekst"/>
            </w:pPr>
            <w:r>
              <w:t xml:space="preserve">React </w:t>
            </w:r>
            <w:r>
              <w:t xml:space="preserve">[19]</w:t>
            </w:r>
            <w:r>
              <w:t xml:space="preserve">, TypeScript </w:t>
            </w:r>
            <w:r>
              <w:t xml:space="preserve">[20]</w:t>
            </w:r>
            <w:r>
              <w:t xml:space="preserve">, Vite </w:t>
            </w:r>
            <w:r>
              <w:t xml:space="preserve">[21]</w:t>
            </w:r>
          </w:p>
        </w:tc>
        <w:tc>
          <w:tcPr>
            <w:tcW w:w="4397" w:type="dxa"/>
          </w:tcPr>
          <w:p>
            <w:pPr>
              <w:pStyle w:val="Tabelatekst"/>
            </w:pPr>
            <w:r>
              <w:t xml:space="preserve">веб апликација, статичко типизирање, алат за развој и изградњу</w:t>
            </w:r>
          </w:p>
        </w:tc>
      </w:tr>
      <w:tr>
        <w:trPr>
          <w:cantSplit/>
          <w:jc w:val="center"/>
        </w:trPr>
        <w:tc>
          <w:tcPr>
            <w:tcW w:w="3597" w:type="dxa"/>
          </w:tcPr>
          <w:p>
            <w:pPr>
              <w:pStyle w:val="Tabelatekst"/>
            </w:pPr>
            <w:r>
              <w:t xml:space="preserve">Leaflet </w:t>
            </w:r>
            <w:r>
              <w:t xml:space="preserve">[22]</w:t>
            </w:r>
            <w:r>
              <w:t xml:space="preserve">, i18next, jsQR</w:t>
            </w:r>
          </w:p>
        </w:tc>
        <w:tc>
          <w:tcPr>
            <w:tcW w:w="4397" w:type="dxa"/>
          </w:tcPr>
          <w:p>
            <w:pPr>
              <w:pStyle w:val="Tabelatekst"/>
            </w:pPr>
            <w:r>
              <w:t xml:space="preserve">мапа трошкова, вишејезичност (ћирилица и енглески), скенирање QR кода камером</w:t>
            </w:r>
          </w:p>
        </w:tc>
      </w:tr>
    </w:tbl>
    <w:p>
      <w:r>
        <w:t xml:space="preserve"/>
      </w:r>
    </w:p>
    <w:p>
      <w:r>
        <w:t xml:space="preserve">Серверски дио и симулатор плаћања написани су у језику C# на платформи .NET 10, која има статус издања са дугорочном подршком (</w:t>
      </w:r>
      <w:r>
        <w:rPr>
          <w:i/>
        </w:rPr>
        <w:t xml:space="preserve">long-term support</w:t>
      </w:r>
      <w:r>
        <w:t xml:space="preserve">). Веб апликација је једнострана апликација (</w:t>
      </w:r>
      <w:r>
        <w:rPr>
          <w:i/>
        </w:rPr>
        <w:t xml:space="preserve">single-page application</w:t>
      </w:r>
      <w:r>
        <w:t xml:space="preserve">) развијена у библиотеци React, а за тестирање под оптерећењем коришћен је алат Locust, о чему је више ријечи у петом поглављу.</w:t>
      </w:r>
    </w:p>
    <w:p w14:paraId="40B5D27D" w14:textId="77777777">
      <w:pPr>
        <w:spacing w:after="0" w:line="20" w:lineRule="exact"/>
        <w:rPr>
          <w:sz w:val="2"/>
        </w:rPr>
        <w:sectPr>
          <w:headerReference w:type="even" r:id="rId22"/>
          <w:headerReference w:type="first" r:id="rId23"/>
          <w:type w:val="oddPage"/>
          <w:pgSz w:w="9978" w:h="14173"/>
          <w:pgMar w:top="1417" w:right="850" w:bottom="1417" w:left="1134" w:header="567" w:footer="992" w:gutter="0"/>
          <w:cols w:space="708"/>
          <w:titlePg/>
          <w:docGrid w:linePitch="360"/>
        </w:sectPr>
      </w:pPr>
    </w:p>
    <w:p w14:paraId="1A58E998" w14:textId="77777777">
      <w:pPr>
        <w:pStyle w:val="Glava"/>
      </w:pPr>
    </w:p>
    <w:p w14:paraId="60061A13" w14:textId="77777777">
      <w:pPr>
        <w:pStyle w:val="Heading1"/>
      </w:pPr>
      <w:bookmarkStart w:id="5" w:name="_Toc239973922"/>
      <w:r>
        <w:t>Спецификација и модел система</w:t>
      </w:r>
      <w:bookmarkEnd w:id="5"/>
    </w:p>
    <w:p>
      <w:r>
        <w:t xml:space="preserve">У овом поглављу дата је спецификација система FairShare. Најприје су описане улоге корисника, затим функционални и нефункционални захтјеви, а потом случајеви коришћења и модел података. Захтјеви су формулисани на основу пријаве теме и прецизирани током израде, тако да одговарају имплементираном систему.</w:t>
      </w:r>
    </w:p>
    <w:p>
      <w:pPr>
        <w:pStyle w:val="Heading2"/>
      </w:pPr>
      <w:r>
        <w:t xml:space="preserve">Улоге корисника</w:t>
      </w:r>
    </w:p>
    <w:p>
      <w:r>
        <w:t xml:space="preserve">Систем разликује улоге приказане у табели </w:t>
      </w:r>
      <w:r>
        <w:fldChar w:fldCharType="begin"/>
      </w:r>
      <w:r>
        <w:instrText xml:space="preserve"> REF _Ref_tab_roles \h </w:instrText>
      </w:r>
      <w:r>
        <w:fldChar w:fldCharType="separate"/>
      </w:r>
      <w:r>
        <w:rPr>
          <w:noProof/>
        </w:rPr>
        <w:t xml:space="preserve">4</w:t>
      </w:r>
      <w:r>
        <w:fldChar w:fldCharType="end"/>
      </w:r>
      <w:r>
        <w:t xml:space="preserve">.</w:t>
      </w:r>
    </w:p>
    <w:p>
      <w:pPr>
        <w:pStyle w:val="Natpisiznad"/>
      </w:pPr>
      <w:r>
        <w:t xml:space="preserve">Табела </w:t>
      </w:r>
      <w:bookmarkStart w:id="5005" w:name="_Ref_tab_roles"/>
      <w:r>
        <w:fldChar w:fldCharType="begin"/>
      </w:r>
      <w:r>
        <w:instrText xml:space="preserve"> SEQ Табела \* ARABIC </w:instrText>
      </w:r>
      <w:r>
        <w:fldChar w:fldCharType="separate"/>
      </w:r>
      <w:r>
        <w:rPr>
          <w:noProof/>
        </w:rPr>
        <w:t xml:space="preserve">4</w:t>
      </w:r>
      <w:r>
        <w:fldChar w:fldCharType="end"/>
      </w:r>
      <w:bookmarkEnd w:id="5005"/>
      <w:r>
        <w:t xml:space="preserve">: Улоге корисника.</w:t>
      </w:r>
    </w:p>
    <w:tbl>
      <w:tblPr>
        <w:tblStyle w:val="TabelaFTN"/>
        <w:tblW w:w="7994" w:type="dxa"/>
        <w:jc w:val="center"/>
        <w:tblLayout w:type="fixed"/>
        <w:tblCellMar>
          <w:top w:w="28" w:type="dxa"/>
          <w:bottom w:w="28" w:type="dxa"/>
        </w:tblCellMar>
        <w:tblLook w:val="04A0" w:firstRow="1" w:lastRow="0" w:firstColumn="1" w:lastColumn="0" w:noHBand="0" w:noVBand="1"/>
      </w:tblPr>
      <w:tblGrid>
        <w:gridCol w:w="2398"/>
        <w:gridCol w:w="5596"/>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2398" w:type="dxa"/>
          </w:tcPr>
          <w:p>
            <w:pPr>
              <w:pStyle w:val="Tabelazaglavlje"/>
            </w:pPr>
            <w:r>
              <w:t xml:space="preserve">Улога</w:t>
            </w:r>
          </w:p>
        </w:tc>
        <w:tc>
          <w:tcPr>
            <w:tcW w:w="5596" w:type="dxa"/>
          </w:tcPr>
          <w:p>
            <w:pPr>
              <w:pStyle w:val="Tabelazaglavlje"/>
            </w:pPr>
            <w:r>
              <w:t xml:space="preserve">Опис</w:t>
            </w:r>
          </w:p>
        </w:tc>
      </w:tr>
      <w:tr>
        <w:trPr>
          <w:cantSplit/>
          <w:jc w:val="center"/>
        </w:trPr>
        <w:tc>
          <w:tcPr>
            <w:tcW w:w="2398" w:type="dxa"/>
          </w:tcPr>
          <w:p>
            <w:pPr>
              <w:pStyle w:val="Tabelatekst"/>
            </w:pPr>
            <w:r>
              <w:t xml:space="preserve">Неаутентификовани корисник</w:t>
            </w:r>
          </w:p>
        </w:tc>
        <w:tc>
          <w:tcPr>
            <w:tcW w:w="5596" w:type="dxa"/>
          </w:tcPr>
          <w:p>
            <w:pPr>
              <w:pStyle w:val="Tabelatekst"/>
            </w:pPr>
            <w:r>
              <w:t xml:space="preserve">Може да се региструје, активира налог путем линка из е-поште, пријави се и затражи опоравак лозинке.</w:t>
            </w:r>
          </w:p>
        </w:tc>
      </w:tr>
      <w:tr>
        <w:trPr>
          <w:cantSplit/>
          <w:jc w:val="center"/>
        </w:trPr>
        <w:tc>
          <w:tcPr>
            <w:tcW w:w="2398" w:type="dxa"/>
          </w:tcPr>
          <w:p>
            <w:pPr>
              <w:pStyle w:val="Tabelatekst"/>
            </w:pPr>
            <w:r>
              <w:t xml:space="preserve">Корисник</w:t>
            </w:r>
          </w:p>
        </w:tc>
        <w:tc>
          <w:tcPr>
            <w:tcW w:w="5596" w:type="dxa"/>
          </w:tcPr>
          <w:p>
            <w:pPr>
              <w:pStyle w:val="Tabelatekst"/>
            </w:pPr>
            <w:r>
              <w:t xml:space="preserve">Регистрован и активиран корисник који води личне трошкове и буџете и учествује у групама. Унутар сваке групе има улогу члана или власника.</w:t>
            </w:r>
          </w:p>
        </w:tc>
      </w:tr>
      <w:tr>
        <w:trPr>
          <w:cantSplit/>
          <w:jc w:val="center"/>
        </w:trPr>
        <w:tc>
          <w:tcPr>
            <w:tcW w:w="2398" w:type="dxa"/>
          </w:tcPr>
          <w:p>
            <w:pPr>
              <w:pStyle w:val="Tabelatekst"/>
            </w:pPr>
            <w:r>
              <w:t xml:space="preserve">Власник групе</w:t>
            </w:r>
          </w:p>
        </w:tc>
        <w:tc>
          <w:tcPr>
            <w:tcW w:w="5596" w:type="dxa"/>
          </w:tcPr>
          <w:p>
            <w:pPr>
              <w:pStyle w:val="Tabelatekst"/>
            </w:pPr>
            <w:r>
              <w:t xml:space="preserve">Корисник који је креирао групу или је власништво преузео. Поред права члана, мијења податке групе, уклања чланове и брише групу.</w:t>
            </w:r>
          </w:p>
        </w:tc>
      </w:tr>
      <w:tr>
        <w:trPr>
          <w:cantSplit/>
          <w:jc w:val="center"/>
        </w:trPr>
        <w:tc>
          <w:tcPr>
            <w:tcW w:w="2398" w:type="dxa"/>
          </w:tcPr>
          <w:p>
            <w:pPr>
              <w:pStyle w:val="Tabelatekst"/>
            </w:pPr>
            <w:r>
              <w:t xml:space="preserve">Администратор</w:t>
            </w:r>
          </w:p>
        </w:tc>
        <w:tc>
          <w:tcPr>
            <w:tcW w:w="5596" w:type="dxa"/>
          </w:tcPr>
          <w:p>
            <w:pPr>
              <w:pStyle w:val="Tabelatekst"/>
            </w:pPr>
            <w:r>
              <w:t xml:space="preserve">Управља корисничким налозима, одобрава категорије и има увид у статистику и ревизијски дневник. Не види садржај личних трошкова корисника.</w:t>
            </w:r>
          </w:p>
        </w:tc>
      </w:tr>
    </w:tbl>
    <w:p>
      <w:r>
        <w:t xml:space="preserve"/>
      </w:r>
    </w:p>
    <w:p>
      <w:r>
        <w:t xml:space="preserve">Улога на нивоу система (корисник или администратор) чува се уз налог, а улога у групи (власник или члан) уз чланство, па исти корисник може бити власник једне, а члан друге групе. Група увијек има власника: ако власник напусти групу, власништво аутоматски преузима члан који је најдуже у њој.</w:t>
      </w:r>
    </w:p>
    <w:p>
      <w:pPr>
        <w:pStyle w:val="Heading2"/>
      </w:pPr>
      <w:r>
        <w:t xml:space="preserve">Функционални захтјеви</w:t>
      </w:r>
    </w:p>
    <w:p>
      <w:r>
        <w:t xml:space="preserve">Функционални захтјеви су груписани по цјелинама система.</w:t>
      </w:r>
    </w:p>
    <w:p>
      <w:pPr>
        <w:pStyle w:val="Heading3"/>
      </w:pPr>
      <w:r>
        <w:t xml:space="preserve">Налог и профил</w:t>
      </w:r>
    </w:p>
    <w:p>
      <w:pPr>
        <w:pStyle w:val="Nabrajanje"/>
      </w:pPr>
      <w:r>
        <w:t xml:space="preserve">Регистрација са именом, презименом, адресом е-поште, лозинком и подразумијеваном валутом. Налог није активан док корисник не потврди адресу е-поште преко линка ограниченог трајања; линк се може затражити поново.</w:t>
      </w:r>
    </w:p>
    <w:p>
      <w:pPr>
        <w:pStyle w:val="Nabrajanje"/>
      </w:pPr>
      <w:r>
        <w:t xml:space="preserve">Пријава и одјава. Послије пријаве корисник добија приступни токен кратког трајања и токен за обнову, који се при свакој употреби замјењује новим.</w:t>
      </w:r>
    </w:p>
    <w:p>
      <w:pPr>
        <w:pStyle w:val="Nabrajanje"/>
      </w:pPr>
      <w:r>
        <w:t xml:space="preserve">Опоравак заборављене лозинке путем е-поште и промјена лозинке.</w:t>
      </w:r>
    </w:p>
    <w:p>
      <w:pPr>
        <w:pStyle w:val="Nabrajanje"/>
      </w:pPr>
      <w:r>
        <w:t xml:space="preserve">Измјена профила: име и презиме, профилна слика, подразумијевана валута и број рачуна на који корисник прима уплате (користи се у QR коду).</w:t>
      </w:r>
    </w:p>
    <w:p>
      <w:pPr>
        <w:pStyle w:val="Nabrajanje"/>
      </w:pPr>
      <w:r>
        <w:t xml:space="preserve">При првом покретању система аутоматски се креира администраторски налог са насумично генерисаном лозинком, која се уписује у датотеку. Администратор мора да је промијени при првој пријави.</w:t>
      </w:r>
    </w:p>
    <w:p>
      <w:pPr>
        <w:pStyle w:val="Heading3"/>
      </w:pPr>
      <w:r>
        <w:t xml:space="preserve">Лични трошкови, категорије и буџети</w:t>
      </w:r>
    </w:p>
    <w:p>
      <w:pPr>
        <w:pStyle w:val="Nabrajanje"/>
      </w:pPr>
      <w:r>
        <w:t xml:space="preserve">Унос, преглед, измјена и брисање личних трошкова. Трошак има износ, валуту, датум, категорију, опис, опционо локацију означену на мапи и фотографију рачуна.</w:t>
      </w:r>
    </w:p>
    <w:p>
      <w:pPr>
        <w:pStyle w:val="Nabrajanje"/>
      </w:pPr>
      <w:r>
        <w:t xml:space="preserve">Претрага и филтрирање трошкова по тексту, категорији, периоду и износу, уз сортирање и страничење.</w:t>
      </w:r>
    </w:p>
    <w:p>
      <w:pPr>
        <w:pStyle w:val="Nabrajanje"/>
      </w:pPr>
      <w:r>
        <w:t xml:space="preserve">Понављајући трошкови (дневно, седмично, мјесечно или годишње), чије копије систем аутоматски креира у позадини.</w:t>
      </w:r>
    </w:p>
    <w:p>
      <w:pPr>
        <w:pStyle w:val="Nabrajanje"/>
      </w:pPr>
      <w:r>
        <w:t xml:space="preserve">Категорије трошкова: систем има предефинисан скуп категорија. Корисник може предложити нову категорију (највише пет приједлога на чекању), а администратор је одобрава или одбија уз образложење. Администратор може и директно креирати, мијењати и брисати категорије; категорија која се користи не може се обрисати.</w:t>
      </w:r>
    </w:p>
    <w:p>
      <w:pPr>
        <w:pStyle w:val="Nabrajanje"/>
      </w:pPr>
      <w:r>
        <w:t xml:space="preserve">Мјесечни буџет по категорији, уз обавјештење када потрошња достигне 80 % и 100 % лимита. Буџет протеклог мјесеца се не може мијењати, а нови се може планирати највише 12 мјесеци унапријед.</w:t>
      </w:r>
    </w:p>
    <w:p>
      <w:pPr>
        <w:pStyle w:val="Heading3"/>
      </w:pPr>
      <w:r>
        <w:t xml:space="preserve">Аналитика и извјештаји</w:t>
      </w:r>
    </w:p>
    <w:p>
      <w:pPr>
        <w:pStyle w:val="Nabrajanje"/>
      </w:pPr>
      <w:r>
        <w:t xml:space="preserve">Графикон потрошње кроз вријеме и расподјела по категоријама за изабрани период: посљедња седмица, мјесец, три мјесеца, шест мјесеци, година или произвољан период до годину дана. Ниво детаља (дан, седмица или мјесец) бира се аутоматски према дужини периода.</w:t>
      </w:r>
    </w:p>
    <w:p>
      <w:pPr>
        <w:pStyle w:val="Nabrajanje"/>
      </w:pPr>
      <w:r>
        <w:t xml:space="preserve">Поређење са претходним периодом исте дужине и приказ трошкова на мапи.</w:t>
      </w:r>
    </w:p>
    <w:p>
      <w:pPr>
        <w:pStyle w:val="Nabrajanje"/>
      </w:pPr>
      <w:r>
        <w:t xml:space="preserve">Приказ свих износа у изабраној валути, по актуелном курсу.</w:t>
      </w:r>
    </w:p>
    <w:p>
      <w:pPr>
        <w:pStyle w:val="Nabrajanje"/>
      </w:pPr>
      <w:r>
        <w:t xml:space="preserve">Преузимање извјештаја о личној потрошњи и о дуговањима у групи, у формату PDF или CSV.</w:t>
      </w:r>
    </w:p>
    <w:p>
      <w:pPr>
        <w:pStyle w:val="Heading3"/>
      </w:pPr>
      <w:r>
        <w:t xml:space="preserve">Групе и групни трошкови</w:t>
      </w:r>
    </w:p>
    <w:p>
      <w:pPr>
        <w:pStyle w:val="Nabrajanje"/>
      </w:pPr>
      <w:r>
        <w:t xml:space="preserve">Креирање групе са називом, описом и валутом; креатор постаје власник групе.</w:t>
      </w:r>
    </w:p>
    <w:p>
      <w:pPr>
        <w:pStyle w:val="Nabrajanje"/>
      </w:pPr>
      <w:r>
        <w:t xml:space="preserve">Додавање члана преко адресе е-поште (то може сваки члан), уклањање члана (само власник) и напуштање групе. Члан може напустити групу, односно бити уклоњен, само ако му је салдо измирен.</w:t>
      </w:r>
    </w:p>
    <w:p>
      <w:pPr>
        <w:pStyle w:val="Nabrajanje"/>
      </w:pPr>
      <w:r>
        <w:t xml:space="preserve">Брисање групе (само власник), дозвољено само ако у групи нема неизмирених дугова.</w:t>
      </w:r>
    </w:p>
    <w:p>
      <w:pPr>
        <w:pStyle w:val="Nabrajanje"/>
      </w:pPr>
      <w:r>
        <w:t xml:space="preserve">Унос, измјена и брисање групног трошка уз један од модела подјеле: једнако, процентуално (збир процената мора бити 100 %) или тачним износима (збир мора бити једнак укупном износу). Износи се рачунају у децималном типу, а остатак при заокруживању распоређује се тако да збир удјела увијек буде тачно једнак износу трошка.</w:t>
      </w:r>
    </w:p>
    <w:p>
      <w:pPr>
        <w:pStyle w:val="Nabrajanje"/>
      </w:pPr>
      <w:r>
        <w:t xml:space="preserve">Трошак у валути различитој од валуте групе претвара се у валуту групе по курсу на дан уноса, а оригинални износ и курс се памте, тако да се салда не мијењају са промјеном курса.</w:t>
      </w:r>
    </w:p>
    <w:p>
      <w:pPr>
        <w:pStyle w:val="Nabrajanje"/>
      </w:pPr>
      <w:r>
        <w:t xml:space="preserve">Фотографија рачуна и коментари на групном трошку, претрага и страничење трошкова групе.</w:t>
      </w:r>
    </w:p>
    <w:p>
      <w:pPr>
        <w:pStyle w:val="Heading3"/>
      </w:pPr>
      <w:r>
        <w:t xml:space="preserve">Салда и поравнање дугова</w:t>
      </w:r>
    </w:p>
    <w:p>
      <w:pPr>
        <w:pStyle w:val="Nabrajanje"/>
      </w:pPr>
      <w:r>
        <w:t xml:space="preserve">Приказ нето салда сваког члана групе.</w:t>
      </w:r>
    </w:p>
    <w:p>
      <w:pPr>
        <w:pStyle w:val="Nabrajanje"/>
      </w:pPr>
      <w:r>
        <w:t xml:space="preserve">Генерисање приједлога поравнања похлепним или тачним алгоритмом. Приједлози постају застарјели при свакој промјени трошкова или чланства и тада се бришу.</w:t>
      </w:r>
    </w:p>
    <w:p>
      <w:pPr>
        <w:pStyle w:val="Nabrajanje"/>
      </w:pPr>
      <w:r>
        <w:t xml:space="preserve">Поравнање путем QR кода по узору на IPS стандард: приказ и преузимање слике кода, скенирање камером или учитавањем слике и провјера исправности садржаја.</w:t>
      </w:r>
    </w:p>
    <w:p>
      <w:pPr>
        <w:pStyle w:val="Nabrajanje"/>
      </w:pPr>
      <w:r>
        <w:t xml:space="preserve">Означавање поравнања као измиреног (дужник или повјерилац) и слање подсјетника дужнику, највише једном у 24 сата.</w:t>
      </w:r>
    </w:p>
    <w:p>
      <w:pPr>
        <w:pStyle w:val="Nabrajanje"/>
      </w:pPr>
      <w:r>
        <w:t xml:space="preserve">Плаћање картицом преко симулатора плаћања: чување картице токенизацијом, плаћање уз кључ идемпотентности и асинхрони исход плаћања.</w:t>
      </w:r>
    </w:p>
    <w:p>
      <w:pPr>
        <w:pStyle w:val="Heading3"/>
      </w:pPr>
      <w:r>
        <w:t xml:space="preserve">Обавјештења</w:t>
      </w:r>
    </w:p>
    <w:p>
      <w:pPr>
        <w:pStyle w:val="Nabrajanje"/>
      </w:pPr>
      <w:r>
        <w:t xml:space="preserve">Обавјештења у апликацији (листа, број непрочитаних, означавање као прочитано), која стижу у реалном времену, без освјежавања странице.</w:t>
      </w:r>
    </w:p>
    <w:p>
      <w:pPr>
        <w:pStyle w:val="Nabrajanje"/>
      </w:pPr>
      <w:r>
        <w:t xml:space="preserve">Обавјештења путем е-поште за кључне догађаје (активација налога, опоравак лозинке, додавање у групу, плаћање, прекорачење буџета), по шаблону визуелно усклађеном са апликацијом.</w:t>
      </w:r>
    </w:p>
    <w:p>
      <w:pPr>
        <w:pStyle w:val="Heading3"/>
      </w:pPr>
      <w:r>
        <w:t xml:space="preserve">Администрација</w:t>
      </w:r>
    </w:p>
    <w:p>
      <w:pPr>
        <w:pStyle w:val="Nabrajanje"/>
      </w:pPr>
      <w:r>
        <w:t xml:space="preserve">Претрага корисника уз страничење и филтрирање, блокирање и одблокирање. Блокиран корисник губи приступ одмах, и са већ издатим токенима.</w:t>
      </w:r>
    </w:p>
    <w:p>
      <w:pPr>
        <w:pStyle w:val="Nabrajanje"/>
      </w:pPr>
      <w:r>
        <w:t xml:space="preserve">Контролна табла са статистиком система и ревизијски дневник кључних акција, уз претрагу и страничење.</w:t>
      </w:r>
    </w:p>
    <w:p>
      <w:pPr>
        <w:pStyle w:val="Nabrajanje"/>
      </w:pPr>
      <w:r>
        <w:t xml:space="preserve">Преглед и одобравање приједлога категорија.</w:t>
      </w:r>
    </w:p>
    <w:p>
      <w:pPr>
        <w:pStyle w:val="Heading2"/>
      </w:pPr>
      <w:r>
        <w:t xml:space="preserve">Нефункционални захтјеви</w:t>
      </w:r>
    </w:p>
    <w:p>
      <w:r>
        <w:rPr>
          <w:b/>
        </w:rPr>
        <w:t xml:space="preserve">Безбједност.</w:t>
      </w:r>
      <w:r>
        <w:t xml:space="preserve"> Аутентификација се заснива на JWT токенима: приступни токен важи 15 минута, а токен за обнову седам дана и замјењује се новим при свакој употреби. Лозинке се чувају искључиво као хеш алгоритма bcrypt. Ауторизација се провјерава на серверу, укључујући власништво над ресурсима: корисник не може приступити туђим трошковима ни групама у којима није члан. Сви улазни подаци се валидирају, а број захтјева је ограничен — највише десет покушаја пријаве у минути са једне IP адресе и 300 захтјева у минути по кориснику. Комуникација иде преко HTTPS-а. Број картице и сигурносни код никада се не чувају ван симулатора плаћања, а обавјештења симулатора потписана су кодом HMAC-SHA256.</w:t>
      </w:r>
    </w:p>
    <w:p>
      <w:r>
        <w:rPr>
          <w:b/>
        </w:rPr>
        <w:t xml:space="preserve">Конзистентност података.</w:t>
      </w:r>
      <w:r>
        <w:t xml:space="preserve"> Свака пословна операција снима се у једној трансакцији: на примјер, трошак, његови удјели и брисање застарјелих приједлога поравнања. Истовремене измјене истих података спречавају се оптимистичком контролом конкурентности (системска колона xmin у PostgreSQL-у), а конфликт се кориснику јавља као HTTP 409 са разумљивом поруком. Обавјештења о исходу плаћања обрађују се идемпотентно, тако да поновљена порука не може двапут измирити исто поравнање.</w:t>
      </w:r>
    </w:p>
    <w:p>
      <w:r>
        <w:rPr>
          <w:b/>
        </w:rPr>
        <w:t xml:space="preserve">Перформансе.</w:t>
      </w:r>
      <w:r>
        <w:t xml:space="preserve"> Листе се страниче, а агрегати за аналитику рачунају се на серверу. Категорије, аналитика и салда група се кеширају, уз аутоматско поништавање при свакој измјени података од којих зависе. Понашање система под оптерећењем провјерено је тестовима описаним у петом поглављу.</w:t>
      </w:r>
    </w:p>
    <w:p>
      <w:r>
        <w:rPr>
          <w:b/>
        </w:rPr>
        <w:t xml:space="preserve">Употребљивост.</w:t>
      </w:r>
      <w:r>
        <w:t xml:space="preserve"> Веб апликација је на српском (ћирилица, ијекавица) и енглеском језику, прилагођава се мањим екранима и не блокира интерфејс током учитавања већих количина података.</w:t>
      </w:r>
    </w:p>
    <w:p>
      <w:r>
        <w:rPr>
          <w:b/>
        </w:rPr>
        <w:t xml:space="preserve">Одрживост.</w:t>
      </w:r>
      <w:r>
        <w:t xml:space="preserve"> Серверски дио је организован по архитектури Onion, API је документован по спецификацији OpenAPI (Swagger UI), а грешке се враћају у јединственом формату Problem Details, са стабилним кодом грешке који апликација преводи на језик корисника.</w:t>
      </w:r>
    </w:p>
    <w:p>
      <w:pPr>
        <w:pStyle w:val="Heading2"/>
      </w:pPr>
      <w:r>
        <w:t xml:space="preserve">Случајеви коришћења</w:t>
      </w:r>
    </w:p>
    <w:p>
      <w:r>
        <w:t xml:space="preserve">Дијаграми случајева коришћења приказани су на сликама </w:t>
      </w:r>
      <w:r>
        <w:fldChar w:fldCharType="begin"/>
      </w:r>
      <w:r>
        <w:instrText xml:space="preserve"> REF _Ref_fig_uc1 \h </w:instrText>
      </w:r>
      <w:r>
        <w:fldChar w:fldCharType="separate"/>
      </w:r>
      <w:r>
        <w:rPr>
          <w:noProof/>
        </w:rPr>
        <w:t xml:space="preserve">1</w:t>
      </w:r>
      <w:r>
        <w:fldChar w:fldCharType="end"/>
      </w:r>
      <w:r>
        <w:t xml:space="preserve"> и </w:t>
      </w:r>
      <w:r>
        <w:fldChar w:fldCharType="begin"/>
      </w:r>
      <w:r>
        <w:instrText xml:space="preserve"> REF _Ref_fig_uc2 \h </w:instrText>
      </w:r>
      <w:r>
        <w:fldChar w:fldCharType="separate"/>
      </w:r>
      <w:r>
        <w:rPr>
          <w:noProof/>
        </w:rPr>
        <w:t xml:space="preserve">2</w:t>
      </w:r>
      <w:r>
        <w:fldChar w:fldCharType="end"/>
      </w:r>
      <w:r>
        <w:t xml:space="preserve">. Прва слика обухвата налог, личне финансије и администрацију, а друга рад у групама и поравнање дугова. Власник групе има сва права члана, што је на слици </w:t>
      </w:r>
      <w:r>
        <w:fldChar w:fldCharType="begin"/>
      </w:r>
      <w:r>
        <w:instrText xml:space="preserve"> REF _Ref_fig_uc2 \h </w:instrText>
      </w:r>
      <w:r>
        <w:fldChar w:fldCharType="separate"/>
      </w:r>
      <w:r>
        <w:rPr>
          <w:noProof/>
        </w:rPr>
        <w:t xml:space="preserve">2</w:t>
      </w:r>
      <w:r>
        <w:fldChar w:fldCharType="end"/>
      </w:r>
      <w:r>
        <w:t xml:space="preserve"> приказано генерализацијом.</w:t>
      </w:r>
    </w:p>
    <w:p xmlns:a="http://schemas.openxmlformats.org/drawingml/2006/main" xmlns:pic="http://schemas.openxmlformats.org/drawingml/2006/picture">
      <w:pPr>
        <w:pStyle w:val="Slika"/>
      </w:pPr>
      <w:r>
        <w:drawing>
          <wp:inline distT="0" distB="0" distL="0" distR="0">
            <wp:extent cx="5076190" cy="3642166"/>
            <wp:effectExtent l="0" t="0" r="0" b="0"/>
            <wp:docPr id="3001" name="Слика 3001"/>
            <wp:cNvGraphicFramePr>
              <a:graphicFrameLocks noChangeAspect="1"/>
            </wp:cNvGraphicFramePr>
            <a:graphic>
              <a:graphicData uri="http://schemas.openxmlformats.org/drawingml/2006/picture">
                <pic:pic>
                  <pic:nvPicPr>
                    <pic:cNvPr id="3001" name="fig1.png"/>
                    <pic:cNvPicPr/>
                  </pic:nvPicPr>
                  <pic:blipFill>
                    <a:blip r:embed="rIdFig1"/>
                    <a:stretch>
                      <a:fillRect/>
                    </a:stretch>
                  </pic:blipFill>
                  <pic:spPr>
                    <a:xfrm>
                      <a:off x="0" y="0"/>
                      <a:ext cx="5076190" cy="3642166"/>
                    </a:xfrm>
                    <a:prstGeom prst="rect">
                      <a:avLst/>
                    </a:prstGeom>
                  </pic:spPr>
                </pic:pic>
              </a:graphicData>
            </a:graphic>
          </wp:inline>
        </w:drawing>
      </w:r>
    </w:p>
    <w:p>
      <w:pPr>
        <w:pStyle w:val="Caption"/>
      </w:pPr>
      <w:r>
        <w:t xml:space="preserve">Слика </w:t>
      </w:r>
      <w:bookmarkStart w:id="5006" w:name="_Ref_fig_uc1"/>
      <w:r>
        <w:fldChar w:fldCharType="begin"/>
      </w:r>
      <w:r>
        <w:instrText xml:space="preserve"> SEQ Слика \* ARABIC </w:instrText>
      </w:r>
      <w:r>
        <w:fldChar w:fldCharType="separate"/>
      </w:r>
      <w:r>
        <w:rPr>
          <w:noProof/>
        </w:rPr>
        <w:t xml:space="preserve">1</w:t>
      </w:r>
      <w:r>
        <w:fldChar w:fldCharType="end"/>
      </w:r>
      <w:bookmarkEnd w:id="5006"/>
      <w:r>
        <w:t xml:space="preserve">: Случајеви коришћења: налог, лични трошкови и администрација.</w:t>
      </w:r>
    </w:p>
    <w:p xmlns:a="http://schemas.openxmlformats.org/drawingml/2006/main" xmlns:pic="http://schemas.openxmlformats.org/drawingml/2006/picture">
      <w:pPr>
        <w:pStyle w:val="Slika"/>
      </w:pPr>
      <w:r>
        <w:drawing>
          <wp:inline distT="0" distB="0" distL="0" distR="0">
            <wp:extent cx="5076190" cy="3015256"/>
            <wp:effectExtent l="0" t="0" r="0" b="0"/>
            <wp:docPr id="3002" name="Слика 3002"/>
            <wp:cNvGraphicFramePr>
              <a:graphicFrameLocks noChangeAspect="1"/>
            </wp:cNvGraphicFramePr>
            <a:graphic>
              <a:graphicData uri="http://schemas.openxmlformats.org/drawingml/2006/picture">
                <pic:pic>
                  <pic:nvPicPr>
                    <pic:cNvPr id="3002" name="fig2.png"/>
                    <pic:cNvPicPr/>
                  </pic:nvPicPr>
                  <pic:blipFill>
                    <a:blip r:embed="rIdFig2"/>
                    <a:stretch>
                      <a:fillRect/>
                    </a:stretch>
                  </pic:blipFill>
                  <pic:spPr>
                    <a:xfrm>
                      <a:off x="0" y="0"/>
                      <a:ext cx="5076190" cy="3015256"/>
                    </a:xfrm>
                    <a:prstGeom prst="rect">
                      <a:avLst/>
                    </a:prstGeom>
                  </pic:spPr>
                </pic:pic>
              </a:graphicData>
            </a:graphic>
          </wp:inline>
        </w:drawing>
      </w:r>
    </w:p>
    <w:p>
      <w:pPr>
        <w:pStyle w:val="Caption"/>
      </w:pPr>
      <w:r>
        <w:t xml:space="preserve">Слика </w:t>
      </w:r>
      <w:bookmarkStart w:id="5007" w:name="_Ref_fig_uc2"/>
      <w:r>
        <w:fldChar w:fldCharType="begin"/>
      </w:r>
      <w:r>
        <w:instrText xml:space="preserve"> SEQ Слика \* ARABIC </w:instrText>
      </w:r>
      <w:r>
        <w:fldChar w:fldCharType="separate"/>
      </w:r>
      <w:r>
        <w:rPr>
          <w:noProof/>
        </w:rPr>
        <w:t xml:space="preserve">2</w:t>
      </w:r>
      <w:r>
        <w:fldChar w:fldCharType="end"/>
      </w:r>
      <w:bookmarkEnd w:id="5007"/>
      <w:r>
        <w:t xml:space="preserve">: Случајеви коришћења: групе и поравнање дугова.</w:t>
      </w:r>
    </w:p>
    <w:p>
      <w:r>
        <w:t xml:space="preserve">Два најсложенија случаја коришћења описана су детаљније, у табелама </w:t>
      </w:r>
      <w:r>
        <w:fldChar w:fldCharType="begin"/>
      </w:r>
      <w:r>
        <w:instrText xml:space="preserve"> REF _Ref_tab_uc_expense \h </w:instrText>
      </w:r>
      <w:r>
        <w:fldChar w:fldCharType="separate"/>
      </w:r>
      <w:r>
        <w:rPr>
          <w:noProof/>
        </w:rPr>
        <w:t xml:space="preserve">5</w:t>
      </w:r>
      <w:r>
        <w:fldChar w:fldCharType="end"/>
      </w:r>
      <w:r>
        <w:t xml:space="preserve"> и </w:t>
      </w:r>
      <w:r>
        <w:fldChar w:fldCharType="begin"/>
      </w:r>
      <w:r>
        <w:instrText xml:space="preserve"> REF _Ref_tab_uc_pay \h </w:instrText>
      </w:r>
      <w:r>
        <w:fldChar w:fldCharType="separate"/>
      </w:r>
      <w:r>
        <w:rPr>
          <w:noProof/>
        </w:rPr>
        <w:t xml:space="preserve">6</w:t>
      </w:r>
      <w:r>
        <w:fldChar w:fldCharType="end"/>
      </w:r>
      <w:r>
        <w:t xml:space="preserve">.</w:t>
      </w:r>
    </w:p>
    <w:p>
      <w:pPr>
        <w:pStyle w:val="Natpisiznad"/>
      </w:pPr>
      <w:r>
        <w:t xml:space="preserve">Табела </w:t>
      </w:r>
      <w:bookmarkStart w:id="5008" w:name="_Ref_tab_uc_expense"/>
      <w:r>
        <w:fldChar w:fldCharType="begin"/>
      </w:r>
      <w:r>
        <w:instrText xml:space="preserve"> SEQ Табела \* ARABIC </w:instrText>
      </w:r>
      <w:r>
        <w:fldChar w:fldCharType="separate"/>
      </w:r>
      <w:r>
        <w:rPr>
          <w:noProof/>
        </w:rPr>
        <w:t xml:space="preserve">5</w:t>
      </w:r>
      <w:r>
        <w:fldChar w:fldCharType="end"/>
      </w:r>
      <w:bookmarkEnd w:id="5008"/>
      <w:r>
        <w:t xml:space="preserve">: Случај коришћења „Унос групног трошка“.</w:t>
      </w:r>
    </w:p>
    <w:tbl>
      <w:tblPr>
        <w:tblStyle w:val="TabelaFTN"/>
        <w:tblW w:w="7994" w:type="dxa"/>
        <w:jc w:val="center"/>
        <w:tblLayout w:type="fixed"/>
        <w:tblCellMar>
          <w:top w:w="28" w:type="dxa"/>
          <w:bottom w:w="28" w:type="dxa"/>
        </w:tblCellMar>
        <w:tblLook w:val="04A0" w:firstRow="1" w:lastRow="0" w:firstColumn="1" w:lastColumn="0" w:noHBand="0" w:noVBand="1"/>
      </w:tblPr>
      <w:tblGrid>
        <w:gridCol w:w="1998"/>
        <w:gridCol w:w="5996"/>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998" w:type="dxa"/>
          </w:tcPr>
          <w:p>
            <w:pPr>
              <w:pStyle w:val="Tabelazaglavlje"/>
            </w:pPr>
            <w:r>
              <w:t xml:space="preserve">Ставка</w:t>
            </w:r>
          </w:p>
        </w:tc>
        <w:tc>
          <w:tcPr>
            <w:tcW w:w="5996" w:type="dxa"/>
          </w:tcPr>
          <w:p>
            <w:pPr>
              <w:pStyle w:val="Tabelazaglavlje"/>
            </w:pPr>
            <w:r>
              <w:t xml:space="preserve">Опис</w:t>
            </w:r>
          </w:p>
        </w:tc>
      </w:tr>
      <w:tr>
        <w:trPr>
          <w:cantSplit/>
          <w:jc w:val="center"/>
        </w:trPr>
        <w:tc>
          <w:tcPr>
            <w:tcW w:w="1998" w:type="dxa"/>
          </w:tcPr>
          <w:p>
            <w:pPr>
              <w:pStyle w:val="Tabelatekst"/>
            </w:pPr>
            <w:r>
              <w:t xml:space="preserve">Актер</w:t>
            </w:r>
          </w:p>
        </w:tc>
        <w:tc>
          <w:tcPr>
            <w:tcW w:w="5996" w:type="dxa"/>
          </w:tcPr>
          <w:p>
            <w:pPr>
              <w:pStyle w:val="Tabelatekst"/>
            </w:pPr>
            <w:r>
              <w:t xml:space="preserve">Члан групе</w:t>
            </w:r>
          </w:p>
        </w:tc>
      </w:tr>
      <w:tr>
        <w:trPr>
          <w:cantSplit/>
          <w:jc w:val="center"/>
        </w:trPr>
        <w:tc>
          <w:tcPr>
            <w:tcW w:w="1998" w:type="dxa"/>
          </w:tcPr>
          <w:p>
            <w:pPr>
              <w:pStyle w:val="Tabelatekst"/>
            </w:pPr>
            <w:r>
              <w:t xml:space="preserve">Предуслов</w:t>
            </w:r>
          </w:p>
        </w:tc>
        <w:tc>
          <w:tcPr>
            <w:tcW w:w="5996" w:type="dxa"/>
          </w:tcPr>
          <w:p>
            <w:pPr>
              <w:pStyle w:val="Tabelatekst"/>
            </w:pPr>
            <w:r>
              <w:t xml:space="preserve">Корисник је пријављен и члан је групе која има бар још једног члана.</w:t>
            </w:r>
          </w:p>
        </w:tc>
      </w:tr>
      <w:tr>
        <w:trPr>
          <w:cantSplit/>
          <w:jc w:val="center"/>
        </w:trPr>
        <w:tc>
          <w:tcPr>
            <w:tcW w:w="1998" w:type="dxa"/>
          </w:tcPr>
          <w:p>
            <w:pPr>
              <w:pStyle w:val="Tabelatekst"/>
            </w:pPr>
            <w:r>
              <w:t xml:space="preserve">Основни ток</w:t>
            </w:r>
          </w:p>
        </w:tc>
        <w:tc>
          <w:tcPr>
            <w:tcW w:w="5996" w:type="dxa"/>
          </w:tcPr>
          <w:p>
            <w:pPr>
              <w:pStyle w:val="Tabelatekst"/>
            </w:pPr>
            <w:r>
              <w:t xml:space="preserve">1. Члан отвара групу и бира унос новог трошка.</w:t>
            </w:r>
          </w:p>
          <w:p>
            <w:pPr>
              <w:pStyle w:val="Tabelatekst"/>
            </w:pPr>
            <w:r>
              <w:t xml:space="preserve">2. Уноси износ, валуту, опис, датум и категорију, бира ко је платио и ко учествује.</w:t>
            </w:r>
          </w:p>
          <w:p>
            <w:pPr>
              <w:pStyle w:val="Tabelatekst"/>
            </w:pPr>
            <w:r>
              <w:t xml:space="preserve">3. Бира модел подјеле и, по потреби, уноси проценте или износе по учеснику.</w:t>
            </w:r>
          </w:p>
          <w:p>
            <w:pPr>
              <w:pStyle w:val="Tabelatekst"/>
            </w:pPr>
            <w:r>
              <w:t xml:space="preserve">4. Систем провјерава податке, укључујући збир процената, односно износа.</w:t>
            </w:r>
          </w:p>
          <w:p>
            <w:pPr>
              <w:pStyle w:val="Tabelatekst"/>
            </w:pPr>
            <w:r>
              <w:t xml:space="preserve">5. Систем у једној трансакцији снима трошак и удјеле и брише застарјеле приједлоге поравнања.</w:t>
            </w:r>
          </w:p>
          <w:p>
            <w:pPr>
              <w:pStyle w:val="Tabelatekst"/>
            </w:pPr>
            <w:r>
              <w:t xml:space="preserve">6. Учесници добијају обавјештење, а салда групе су ажурирана.</w:t>
            </w:r>
          </w:p>
        </w:tc>
      </w:tr>
      <w:tr>
        <w:trPr>
          <w:cantSplit/>
          <w:jc w:val="center"/>
        </w:trPr>
        <w:tc>
          <w:tcPr>
            <w:tcW w:w="1998" w:type="dxa"/>
          </w:tcPr>
          <w:p>
            <w:pPr>
              <w:pStyle w:val="Tabelatekst"/>
            </w:pPr>
            <w:r>
              <w:t xml:space="preserve">Алтернативни токови</w:t>
            </w:r>
          </w:p>
        </w:tc>
        <w:tc>
          <w:tcPr>
            <w:tcW w:w="5996" w:type="dxa"/>
          </w:tcPr>
          <w:p>
            <w:pPr>
              <w:pStyle w:val="Tabelatekst"/>
            </w:pPr>
            <w:r>
              <w:t xml:space="preserve">4а. Збир процената или износа није исправан: систем одбија унос и наводи разлог.</w:t>
            </w:r>
          </w:p>
          <w:p>
            <w:pPr>
              <w:pStyle w:val="Tabelatekst"/>
            </w:pPr>
            <w:r>
              <w:t xml:space="preserve">4б. Трошак је у другој валути: систем га претвара у валуту групе по курсу на дан уноса; ако курс није доступан, трошак се не снима.</w:t>
            </w:r>
          </w:p>
          <w:p>
            <w:pPr>
              <w:pStyle w:val="Tabelatekst"/>
            </w:pPr>
            <w:r>
              <w:t xml:space="preserve">5а. Други члан је истовремено измијенио исте податке: систем враћа конфликт и тражи освјежавање.</w:t>
            </w:r>
          </w:p>
        </w:tc>
      </w:tr>
      <w:tr>
        <w:trPr>
          <w:cantSplit/>
          <w:jc w:val="center"/>
        </w:trPr>
        <w:tc>
          <w:tcPr>
            <w:tcW w:w="1998" w:type="dxa"/>
          </w:tcPr>
          <w:p>
            <w:pPr>
              <w:pStyle w:val="Tabelatekst"/>
            </w:pPr>
            <w:r>
              <w:t xml:space="preserve">Постуслов</w:t>
            </w:r>
          </w:p>
        </w:tc>
        <w:tc>
          <w:tcPr>
            <w:tcW w:w="5996" w:type="dxa"/>
          </w:tcPr>
          <w:p>
            <w:pPr>
              <w:pStyle w:val="Tabelatekst"/>
            </w:pPr>
            <w:r>
              <w:t xml:space="preserve">Трошак је сачуван, а салда чланова одражавају нови трошак.</w:t>
            </w:r>
          </w:p>
        </w:tc>
      </w:tr>
    </w:tbl>
    <w:p>
      <w:r>
        <w:t xml:space="preserve"/>
      </w:r>
    </w:p>
    <w:p>
      <w:pPr>
        <w:pStyle w:val="Natpisiznad"/>
      </w:pPr>
      <w:r>
        <w:t xml:space="preserve">Табела </w:t>
      </w:r>
      <w:bookmarkStart w:id="5009" w:name="_Ref_tab_uc_pay"/>
      <w:r>
        <w:fldChar w:fldCharType="begin"/>
      </w:r>
      <w:r>
        <w:instrText xml:space="preserve"> SEQ Табела \* ARABIC </w:instrText>
      </w:r>
      <w:r>
        <w:fldChar w:fldCharType="separate"/>
      </w:r>
      <w:r>
        <w:rPr>
          <w:noProof/>
        </w:rPr>
        <w:t xml:space="preserve">6</w:t>
      </w:r>
      <w:r>
        <w:fldChar w:fldCharType="end"/>
      </w:r>
      <w:bookmarkEnd w:id="5009"/>
      <w:r>
        <w:t xml:space="preserve">: Случај коришћења „Плаћање поравнања картицом“.</w:t>
      </w:r>
    </w:p>
    <w:tbl>
      <w:tblPr>
        <w:tblStyle w:val="TabelaFTN"/>
        <w:tblW w:w="7994" w:type="dxa"/>
        <w:jc w:val="center"/>
        <w:tblLayout w:type="fixed"/>
        <w:tblCellMar>
          <w:top w:w="28" w:type="dxa"/>
          <w:bottom w:w="28" w:type="dxa"/>
        </w:tblCellMar>
        <w:tblLook w:val="04A0" w:firstRow="1" w:lastRow="0" w:firstColumn="1" w:lastColumn="0" w:noHBand="0" w:noVBand="1"/>
      </w:tblPr>
      <w:tblGrid>
        <w:gridCol w:w="1998"/>
        <w:gridCol w:w="5996"/>
      </w:tblGrid>
      <w:tr>
        <w:trPr>
          <w:cnfStyle w:val="100000000000" w:firstRow="1" w:lastRow="0" w:firstColumn="0" w:lastColumn="0" w:oddVBand="0" w:evenVBand="0" w:oddHBand="0" w:evenHBand="0" w:firstRowFirstColumn="0" w:firstRowLastColumn="0" w:lastRowFirstColumn="0" w:lastRowLastColumn="0"/>
          <w:cantSplit/>
          <w:tblHeader/>
          <w:jc w:val="center"/>
        </w:trPr>
        <w:tc>
          <w:tcPr>
            <w:tcW w:w="1998" w:type="dxa"/>
          </w:tcPr>
          <w:p>
            <w:pPr>
              <w:pStyle w:val="Tabelazaglavlje"/>
            </w:pPr>
            <w:r>
              <w:t xml:space="preserve">Ставка</w:t>
            </w:r>
          </w:p>
        </w:tc>
        <w:tc>
          <w:tcPr>
            <w:tcW w:w="5996" w:type="dxa"/>
          </w:tcPr>
          <w:p>
            <w:pPr>
              <w:pStyle w:val="Tabelazaglavlje"/>
            </w:pPr>
            <w:r>
              <w:t xml:space="preserve">Опис</w:t>
            </w:r>
          </w:p>
        </w:tc>
      </w:tr>
      <w:tr>
        <w:trPr>
          <w:cantSplit/>
          <w:jc w:val="center"/>
        </w:trPr>
        <w:tc>
          <w:tcPr>
            <w:tcW w:w="1998" w:type="dxa"/>
          </w:tcPr>
          <w:p>
            <w:pPr>
              <w:pStyle w:val="Tabelatekst"/>
            </w:pPr>
            <w:r>
              <w:t xml:space="preserve">Актери</w:t>
            </w:r>
          </w:p>
        </w:tc>
        <w:tc>
          <w:tcPr>
            <w:tcW w:w="5996" w:type="dxa"/>
          </w:tcPr>
          <w:p>
            <w:pPr>
              <w:pStyle w:val="Tabelatekst"/>
            </w:pPr>
            <w:r>
              <w:t xml:space="preserve">Дужник (члан групе), симулатор плаћања</w:t>
            </w:r>
          </w:p>
        </w:tc>
      </w:tr>
      <w:tr>
        <w:trPr>
          <w:cantSplit/>
          <w:jc w:val="center"/>
        </w:trPr>
        <w:tc>
          <w:tcPr>
            <w:tcW w:w="1998" w:type="dxa"/>
          </w:tcPr>
          <w:p>
            <w:pPr>
              <w:pStyle w:val="Tabelatekst"/>
            </w:pPr>
            <w:r>
              <w:t xml:space="preserve">Предуслов</w:t>
            </w:r>
          </w:p>
        </w:tc>
        <w:tc>
          <w:tcPr>
            <w:tcW w:w="5996" w:type="dxa"/>
          </w:tcPr>
          <w:p>
            <w:pPr>
              <w:pStyle w:val="Tabelatekst"/>
            </w:pPr>
            <w:r>
              <w:t xml:space="preserve">Постоји приједлог поравнања у коме је корисник дужник, а корисник има сачувану картицу.</w:t>
            </w:r>
          </w:p>
        </w:tc>
      </w:tr>
      <w:tr>
        <w:trPr>
          <w:cantSplit/>
          <w:jc w:val="center"/>
        </w:trPr>
        <w:tc>
          <w:tcPr>
            <w:tcW w:w="1998" w:type="dxa"/>
          </w:tcPr>
          <w:p>
            <w:pPr>
              <w:pStyle w:val="Tabelatekst"/>
            </w:pPr>
            <w:r>
              <w:t xml:space="preserve">Основни ток</w:t>
            </w:r>
          </w:p>
        </w:tc>
        <w:tc>
          <w:tcPr>
            <w:tcW w:w="5996" w:type="dxa"/>
          </w:tcPr>
          <w:p>
            <w:pPr>
              <w:pStyle w:val="Tabelatekst"/>
            </w:pPr>
            <w:r>
              <w:t xml:space="preserve">1. Дужник бира поравнање и сачувану картицу.</w:t>
            </w:r>
          </w:p>
          <w:p>
            <w:pPr>
              <w:pStyle w:val="Tabelatekst"/>
            </w:pPr>
            <w:r>
              <w:t xml:space="preserve">2. Систем креира плаћање у стању „на чекању“ и шаље захтјев симулатору са кључем идемпотентности.</w:t>
            </w:r>
          </w:p>
          <w:p>
            <w:pPr>
              <w:pStyle w:val="Tabelatekst"/>
            </w:pPr>
            <w:r>
              <w:t xml:space="preserve">3. Симулатор прихвата захтјев и, послије кратке обраде, наплаћује картицу.</w:t>
            </w:r>
          </w:p>
          <w:p>
            <w:pPr>
              <w:pStyle w:val="Tabelatekst"/>
            </w:pPr>
            <w:r>
              <w:t xml:space="preserve">4. Симулатор шаље потписано обавјештење о исходу.</w:t>
            </w:r>
          </w:p>
          <w:p>
            <w:pPr>
              <w:pStyle w:val="Tabelatekst"/>
            </w:pPr>
            <w:r>
              <w:t xml:space="preserve">5. Систем провјерава потпис, биљежи обавјештење као обрађено, означава плаћање као успјешно, а поравнање као измирено.</w:t>
            </w:r>
          </w:p>
          <w:p>
            <w:pPr>
              <w:pStyle w:val="Tabelatekst"/>
            </w:pPr>
            <w:r>
              <w:t xml:space="preserve">6. Дужник и повјерилац добијају обавјештење, а салда су ажурирана.</w:t>
            </w:r>
          </w:p>
        </w:tc>
      </w:tr>
      <w:tr>
        <w:trPr>
          <w:cantSplit/>
          <w:jc w:val="center"/>
        </w:trPr>
        <w:tc>
          <w:tcPr>
            <w:tcW w:w="1998" w:type="dxa"/>
          </w:tcPr>
          <w:p>
            <w:pPr>
              <w:pStyle w:val="Tabelatekst"/>
            </w:pPr>
            <w:r>
              <w:t xml:space="preserve">Алтернативни токови</w:t>
            </w:r>
          </w:p>
        </w:tc>
        <w:tc>
          <w:tcPr>
            <w:tcW w:w="5996" w:type="dxa"/>
          </w:tcPr>
          <w:p>
            <w:pPr>
              <w:pStyle w:val="Tabelatekst"/>
            </w:pPr>
            <w:r>
              <w:t xml:space="preserve">3а. Картица је одбијена: плаћање је неуспјешно, поравнање остаје неизмирено, а дужник може покушати поново.</w:t>
            </w:r>
          </w:p>
          <w:p>
            <w:pPr>
              <w:pStyle w:val="Tabelatekst"/>
            </w:pPr>
            <w:r>
              <w:t xml:space="preserve">4а. Исто обавјештење стигне више пута: обрађује се само једном.</w:t>
            </w:r>
          </w:p>
          <w:p>
            <w:pPr>
              <w:pStyle w:val="Tabelatekst"/>
            </w:pPr>
            <w:r>
              <w:t xml:space="preserve">1а. Два истовремена покушаја плаћања истог поравнања: само један може успјети.</w:t>
            </w:r>
          </w:p>
        </w:tc>
      </w:tr>
      <w:tr>
        <w:trPr>
          <w:cantSplit/>
          <w:jc w:val="center"/>
        </w:trPr>
        <w:tc>
          <w:tcPr>
            <w:tcW w:w="1998" w:type="dxa"/>
          </w:tcPr>
          <w:p>
            <w:pPr>
              <w:pStyle w:val="Tabelatekst"/>
            </w:pPr>
            <w:r>
              <w:t xml:space="preserve">Постуслов</w:t>
            </w:r>
          </w:p>
        </w:tc>
        <w:tc>
          <w:tcPr>
            <w:tcW w:w="5996" w:type="dxa"/>
          </w:tcPr>
          <w:p>
            <w:pPr>
              <w:pStyle w:val="Tabelatekst"/>
            </w:pPr>
            <w:r>
              <w:t xml:space="preserve">Поравнање је измирено тачно једном.</w:t>
            </w:r>
          </w:p>
        </w:tc>
      </w:tr>
    </w:tbl>
    <w:p>
      <w:r>
        <w:t xml:space="preserve"/>
      </w:r>
    </w:p>
    <w:p>
      <w:pPr>
        <w:pStyle w:val="Heading2"/>
      </w:pPr>
      <w:r>
        <w:t xml:space="preserve">Модел података</w:t>
      </w:r>
    </w:p>
    <w:p>
      <w:r>
        <w:t xml:space="preserve">Модел података приказан је дијаграмима класа на сликама </w:t>
      </w:r>
      <w:r>
        <w:fldChar w:fldCharType="begin"/>
      </w:r>
      <w:r>
        <w:instrText xml:space="preserve"> REF _Ref_fig_model_a \h </w:instrText>
      </w:r>
      <w:r>
        <w:fldChar w:fldCharType="separate"/>
      </w:r>
      <w:r>
        <w:rPr>
          <w:noProof/>
        </w:rPr>
        <w:t xml:space="preserve">3</w:t>
      </w:r>
      <w:r>
        <w:fldChar w:fldCharType="end"/>
      </w:r>
      <w:r>
        <w:t xml:space="preserve"> и </w:t>
      </w:r>
      <w:r>
        <w:fldChar w:fldCharType="begin"/>
      </w:r>
      <w:r>
        <w:instrText xml:space="preserve"> REF _Ref_fig_model_b \h </w:instrText>
      </w:r>
      <w:r>
        <w:fldChar w:fldCharType="separate"/>
      </w:r>
      <w:r>
        <w:rPr>
          <w:noProof/>
        </w:rPr>
        <w:t xml:space="preserve">4</w:t>
      </w:r>
      <w:r>
        <w:fldChar w:fldCharType="end"/>
      </w:r>
      <w:r>
        <w:t xml:space="preserve">. Прва слика обухвата кориснике и личне финансије, а друга групе, поравнање и плаћање. Приказани су сви атрибути и доменске методе ентитета, без навигационих својстава, као и набројиви типови. Сви ентитети насљеђују апстрактну класу </w:t>
      </w:r>
      <w:r>
        <w:rPr>
          <w:rStyle w:val="Kod"/>
        </w:rPr>
        <w:t xml:space="preserve">BaseEntity</w:t>
      </w:r>
      <w:r>
        <w:t xml:space="preserve">, која садржи идентификатор </w:t>
      </w:r>
      <w:r>
        <w:rPr>
          <w:rStyle w:val="Kod"/>
        </w:rPr>
        <w:t xml:space="preserve">Id</w:t>
      </w:r>
      <w:r>
        <w:t xml:space="preserve"> типа </w:t>
      </w:r>
      <w:r>
        <w:rPr>
          <w:rStyle w:val="Kod"/>
        </w:rPr>
        <w:t xml:space="preserve">Guid</w:t>
      </w:r>
      <w:r>
        <w:t xml:space="preserve"> и вријеме креирања </w:t>
      </w:r>
      <w:r>
        <w:rPr>
          <w:rStyle w:val="Kod"/>
        </w:rPr>
        <w:t xml:space="preserve">CreatedAt</w:t>
      </w:r>
      <w:r>
        <w:t xml:space="preserve">; ради прегледности, она није приказана на дијаграмима. Ознака {unique} означава јединствени индекс, а {xmin} верзију реда за оптимистичку контролу конкурентности. Новчани износи чувају се у типу decimal(18,2), а курс валуте у типу decimal(18,8). Комплетан дијаграм, са свим ентитетима на једном мјесту, дат је у прилогу А (слика </w:t>
      </w:r>
      <w:r>
        <w:fldChar w:fldCharType="begin"/>
      </w:r>
      <w:r>
        <w:instrText xml:space="preserve"> REF _Ref_fig_model_full \h </w:instrText>
      </w:r>
      <w:r>
        <w:fldChar w:fldCharType="separate"/>
      </w:r>
      <w:r>
        <w:rPr>
          <w:noProof/>
        </w:rPr>
        <w:t xml:space="preserve">18</w:t>
      </w:r>
      <w:r>
        <w:fldChar w:fldCharType="end"/>
      </w:r>
      <w:r>
        <w:t xml:space="preserve">).</w:t>
      </w:r>
    </w:p>
    <w:p xmlns:a="http://schemas.openxmlformats.org/drawingml/2006/main" xmlns:pic="http://schemas.openxmlformats.org/drawingml/2006/picture">
      <w:pPr>
        <w:pStyle w:val="Slika"/>
      </w:pPr>
      <w:r>
        <w:drawing>
          <wp:inline distT="0" distB="0" distL="0" distR="0">
            <wp:extent cx="5076190" cy="3695466"/>
            <wp:effectExtent l="0" t="0" r="0" b="0"/>
            <wp:docPr id="3003" name="Слика 3003"/>
            <wp:cNvGraphicFramePr>
              <a:graphicFrameLocks noChangeAspect="1"/>
            </wp:cNvGraphicFramePr>
            <a:graphic>
              <a:graphicData uri="http://schemas.openxmlformats.org/drawingml/2006/picture">
                <pic:pic>
                  <pic:nvPicPr>
                    <pic:cNvPr id="3003" name="fig3.png"/>
                    <pic:cNvPicPr/>
                  </pic:nvPicPr>
                  <pic:blipFill>
                    <a:blip r:embed="rIdFig3"/>
                    <a:stretch>
                      <a:fillRect/>
                    </a:stretch>
                  </pic:blipFill>
                  <pic:spPr>
                    <a:xfrm>
                      <a:off x="0" y="0"/>
                      <a:ext cx="5076190" cy="3695466"/>
                    </a:xfrm>
                    <a:prstGeom prst="rect">
                      <a:avLst/>
                    </a:prstGeom>
                  </pic:spPr>
                </pic:pic>
              </a:graphicData>
            </a:graphic>
          </wp:inline>
        </w:drawing>
      </w:r>
    </w:p>
    <w:p>
      <w:pPr>
        <w:pStyle w:val="Caption"/>
      </w:pPr>
      <w:r>
        <w:t xml:space="preserve">Слика </w:t>
      </w:r>
      <w:bookmarkStart w:id="5010" w:name="_Ref_fig_model_a"/>
      <w:r>
        <w:fldChar w:fldCharType="begin"/>
      </w:r>
      <w:r>
        <w:instrText xml:space="preserve"> SEQ Слика \* ARABIC </w:instrText>
      </w:r>
      <w:r>
        <w:fldChar w:fldCharType="separate"/>
      </w:r>
      <w:r>
        <w:rPr>
          <w:noProof/>
        </w:rPr>
        <w:t xml:space="preserve">3</w:t>
      </w:r>
      <w:r>
        <w:fldChar w:fldCharType="end"/>
      </w:r>
      <w:bookmarkEnd w:id="5010"/>
      <w:r>
        <w:t xml:space="preserve">: Модел података: корисници и личне финансије.</w:t>
      </w:r>
    </w:p>
    <w:p xmlns:a="http://schemas.openxmlformats.org/drawingml/2006/main" xmlns:pic="http://schemas.openxmlformats.org/drawingml/2006/picture">
      <w:pPr>
        <w:pStyle w:val="Slika"/>
      </w:pPr>
      <w:r>
        <w:drawing>
          <wp:inline distT="0" distB="0" distL="0" distR="0">
            <wp:extent cx="5076190" cy="2517790"/>
            <wp:effectExtent l="0" t="0" r="0" b="0"/>
            <wp:docPr id="3004" name="Слика 3004"/>
            <wp:cNvGraphicFramePr>
              <a:graphicFrameLocks noChangeAspect="1"/>
            </wp:cNvGraphicFramePr>
            <a:graphic>
              <a:graphicData uri="http://schemas.openxmlformats.org/drawingml/2006/picture">
                <pic:pic>
                  <pic:nvPicPr>
                    <pic:cNvPr id="3004" name="fig4.png"/>
                    <pic:cNvPicPr/>
                  </pic:nvPicPr>
                  <pic:blipFill>
                    <a:blip r:embed="rIdFig4"/>
                    <a:stretch>
                      <a:fillRect/>
                    </a:stretch>
                  </pic:blipFill>
                  <pic:spPr>
                    <a:xfrm>
                      <a:off x="0" y="0"/>
                      <a:ext cx="5076190" cy="2517790"/>
                    </a:xfrm>
                    <a:prstGeom prst="rect">
                      <a:avLst/>
                    </a:prstGeom>
                  </pic:spPr>
                </pic:pic>
              </a:graphicData>
            </a:graphic>
          </wp:inline>
        </w:drawing>
      </w:r>
    </w:p>
    <w:p>
      <w:pPr>
        <w:pStyle w:val="Caption"/>
      </w:pPr>
      <w:r>
        <w:t xml:space="preserve">Слика </w:t>
      </w:r>
      <w:bookmarkStart w:id="5011" w:name="_Ref_fig_model_b"/>
      <w:r>
        <w:fldChar w:fldCharType="begin"/>
      </w:r>
      <w:r>
        <w:instrText xml:space="preserve"> SEQ Слика \* ARABIC </w:instrText>
      </w:r>
      <w:r>
        <w:fldChar w:fldCharType="separate"/>
      </w:r>
      <w:r>
        <w:rPr>
          <w:noProof/>
        </w:rPr>
        <w:t xml:space="preserve">4</w:t>
      </w:r>
      <w:r>
        <w:fldChar w:fldCharType="end"/>
      </w:r>
      <w:bookmarkEnd w:id="5011"/>
      <w:r>
        <w:t xml:space="preserve">: Модел података: групе, поравнање и плаћање (класе User и Category приказане су на слици 3).</w:t>
      </w:r>
    </w:p>
    <w:p>
      <w:r>
        <w:t xml:space="preserve">Набројиви типови са слике </w:t>
      </w:r>
      <w:r>
        <w:fldChar w:fldCharType="begin"/>
      </w:r>
      <w:r>
        <w:instrText xml:space="preserve"> REF _Ref_fig_model_b \h </w:instrText>
      </w:r>
      <w:r>
        <w:fldChar w:fldCharType="separate"/>
      </w:r>
      <w:r>
        <w:rPr>
          <w:noProof/>
        </w:rPr>
        <w:t xml:space="preserve">4</w:t>
      </w:r>
      <w:r>
        <w:fldChar w:fldCharType="end"/>
      </w:r>
      <w:r>
        <w:t xml:space="preserve"> имају сљедеће вриједности: </w:t>
      </w:r>
      <w:r>
        <w:rPr>
          <w:rStyle w:val="Kod"/>
        </w:rPr>
        <w:t xml:space="preserve">GroupRole</w:t>
      </w:r>
      <w:r>
        <w:t xml:space="preserve"> (Owner, Member), </w:t>
      </w:r>
      <w:r>
        <w:rPr>
          <w:rStyle w:val="Kod"/>
        </w:rPr>
        <w:t xml:space="preserve">SplitType</w:t>
      </w:r>
      <w:r>
        <w:t xml:space="preserve"> (Equal, Percentage, ExactAmount), </w:t>
      </w:r>
      <w:r>
        <w:rPr>
          <w:rStyle w:val="Kod"/>
        </w:rPr>
        <w:t xml:space="preserve">SettlementStatus</w:t>
      </w:r>
      <w:r>
        <w:t xml:space="preserve"> (Proposed, Settled) и </w:t>
      </w:r>
      <w:r>
        <w:rPr>
          <w:rStyle w:val="Kod"/>
        </w:rPr>
        <w:t xml:space="preserve">PaymentStatus</w:t>
      </w:r>
      <w:r>
        <w:t xml:space="preserve"> (Pending, Succeeded, Failed).</w:t>
      </w:r>
    </w:p>
    <w:p>
      <w:r>
        <w:t xml:space="preserve">Ентитети се могу подијелити у четири цјелине:</w:t>
      </w:r>
    </w:p>
    <w:p>
      <w:pPr>
        <w:pStyle w:val="Nabrajanje"/>
      </w:pPr>
      <w:r>
        <w:rPr>
          <w:b/>
        </w:rPr>
        <w:t xml:space="preserve">Корисници.</w:t>
      </w:r>
      <w:r>
        <w:t xml:space="preserve"> </w:t>
      </w:r>
      <w:r>
        <w:rPr>
          <w:rStyle w:val="Kod"/>
        </w:rPr>
        <w:t xml:space="preserve">User</w:t>
      </w:r>
      <w:r>
        <w:t xml:space="preserve"> садржи податке о налогу, улогу у систему, број рачуна за уплате и ознаке блокираности, обавезне промјене лозинке и непотврђене е-поште. </w:t>
      </w:r>
      <w:r>
        <w:rPr>
          <w:rStyle w:val="Kod"/>
        </w:rPr>
        <w:t xml:space="preserve">UserToken</w:t>
      </w:r>
      <w:r>
        <w:t xml:space="preserve"> чува токене за потврду е-поште, опоравак лозинке и обнову сесије, и то само као хеш, уз вријеме истека и употребе. </w:t>
      </w:r>
      <w:r>
        <w:rPr>
          <w:rStyle w:val="Kod"/>
        </w:rPr>
        <w:t xml:space="preserve">Notification</w:t>
      </w:r>
      <w:r>
        <w:t xml:space="preserve"> и </w:t>
      </w:r>
      <w:r>
        <w:rPr>
          <w:rStyle w:val="Kod"/>
        </w:rPr>
        <w:t xml:space="preserve">AuditLog</w:t>
      </w:r>
      <w:r>
        <w:t xml:space="preserve"> су обавјештење кориснику и запис ревизијског дневника.</w:t>
      </w:r>
    </w:p>
    <w:p>
      <w:pPr>
        <w:pStyle w:val="Nabrajanje"/>
      </w:pPr>
      <w:r>
        <w:rPr>
          <w:b/>
        </w:rPr>
        <w:t xml:space="preserve">Личне финансије.</w:t>
      </w:r>
      <w:r>
        <w:t xml:space="preserve"> </w:t>
      </w:r>
      <w:r>
        <w:rPr>
          <w:rStyle w:val="Kod"/>
        </w:rPr>
        <w:t xml:space="preserve">Expense</w:t>
      </w:r>
      <w:r>
        <w:t xml:space="preserve"> је лични трошак са локацијом, фотографијом рачуна и подацима о понављању. </w:t>
      </w:r>
      <w:r>
        <w:rPr>
          <w:rStyle w:val="Kod"/>
        </w:rPr>
        <w:t xml:space="preserve">Category</w:t>
      </w:r>
      <w:r>
        <w:t xml:space="preserve"> има статус (одобрена, на чекању, одбијена) и, ако ју је предложио корисник, везу ка њему (0..1); јединственост назива провјерава се само међу категоријама које нису одбијене. </w:t>
      </w:r>
      <w:r>
        <w:rPr>
          <w:rStyle w:val="Kod"/>
        </w:rPr>
        <w:t xml:space="preserve">Budget</w:t>
      </w:r>
      <w:r>
        <w:t xml:space="preserve"> је лимит за једну категорију у једном мјесецу, а комбинација корисника, категорије и мјесеца је јединствена.</w:t>
      </w:r>
    </w:p>
    <w:p>
      <w:pPr>
        <w:pStyle w:val="Nabrajanje"/>
      </w:pPr>
      <w:r>
        <w:rPr>
          <w:b/>
        </w:rPr>
        <w:t xml:space="preserve">Групе.</w:t>
      </w:r>
      <w:r>
        <w:t xml:space="preserve"> </w:t>
      </w:r>
      <w:r>
        <w:rPr>
          <w:rStyle w:val="Kod"/>
        </w:rPr>
        <w:t xml:space="preserve">Group</w:t>
      </w:r>
      <w:r>
        <w:t xml:space="preserve"> има валуту у којој се воде салда и садржи бар једно чланство (</w:t>
      </w:r>
      <w:r>
        <w:rPr>
          <w:rStyle w:val="Kod"/>
        </w:rPr>
        <w:t xml:space="preserve">GroupMember</w:t>
      </w:r>
      <w:r>
        <w:t xml:space="preserve">), које повезује корисника и групу уз улогу у групи; корисник може бити члан исте групе само једном. </w:t>
      </w:r>
      <w:r>
        <w:rPr>
          <w:rStyle w:val="Kod"/>
        </w:rPr>
        <w:t xml:space="preserve">GroupExpense</w:t>
      </w:r>
      <w:r>
        <w:t xml:space="preserve"> је износ у валути групе, уз оригинални износ, валуту, курс и датум курса ако је трошак унесен у другој валути. </w:t>
      </w:r>
      <w:r>
        <w:rPr>
          <w:rStyle w:val="Kod"/>
        </w:rPr>
        <w:t xml:space="preserve">ExpenseSplit</w:t>
      </w:r>
      <w:r>
        <w:t xml:space="preserve"> је удио једног учесника, а </w:t>
      </w:r>
      <w:r>
        <w:rPr>
          <w:rStyle w:val="Kod"/>
        </w:rPr>
        <w:t xml:space="preserve">Comment</w:t>
      </w:r>
      <w:r>
        <w:t xml:space="preserve"> коментар на трошку. Брисањем групе бришу се и њени чланови и трошкови, а брисањем трошка његови удјели и коментари (композиција на дијаграму).</w:t>
      </w:r>
    </w:p>
    <w:p>
      <w:pPr>
        <w:pStyle w:val="Nabrajanje"/>
      </w:pPr>
      <w:r>
        <w:rPr>
          <w:b/>
        </w:rPr>
        <w:t xml:space="preserve">Поравнање и плаћање.</w:t>
      </w:r>
      <w:r>
        <w:t xml:space="preserve"> </w:t>
      </w:r>
      <w:r>
        <w:rPr>
          <w:rStyle w:val="Kod"/>
        </w:rPr>
        <w:t xml:space="preserve">SettlementTransaction</w:t>
      </w:r>
      <w:r>
        <w:t xml:space="preserve"> је приједлог уплате од дужника ка повјериоцу, у стању „предложено“ или „измирено“. Уз поравнање се чувају подаци за QR код (</w:t>
      </w:r>
      <w:r>
        <w:rPr>
          <w:rStyle w:val="Kod"/>
        </w:rPr>
        <w:t xml:space="preserve">QrPaymentData</w:t>
      </w:r>
      <w:r>
        <w:t xml:space="preserve">) и највише једно плаћање (</w:t>
      </w:r>
      <w:r>
        <w:rPr>
          <w:rStyle w:val="Kod"/>
        </w:rPr>
        <w:t xml:space="preserve">Payment</w:t>
      </w:r>
      <w:r>
        <w:t xml:space="preserve">): ако плаћање не успије, нови покушај користи исти запис. </w:t>
      </w:r>
      <w:r>
        <w:rPr>
          <w:rStyle w:val="Kod"/>
        </w:rPr>
        <w:t xml:space="preserve">PaymentCard</w:t>
      </w:r>
      <w:r>
        <w:t xml:space="preserve"> садржи само токен, посљедње четири цифре, бренд и датум истека картице, а </w:t>
      </w:r>
      <w:r>
        <w:rPr>
          <w:rStyle w:val="Kod"/>
        </w:rPr>
        <w:t xml:space="preserve">Payment</w:t>
      </w:r>
      <w:r>
        <w:t xml:space="preserve"> кључ идемпотентности, стање и идентификатор наплате код симулатора.</w:t>
      </w:r>
    </w:p>
    <w:p>
      <w:r>
        <w:t xml:space="preserve">Ентитети </w:t>
      </w:r>
      <w:r>
        <w:rPr>
          <w:rStyle w:val="Kod"/>
        </w:rPr>
        <w:t xml:space="preserve">SettlementTransaction</w:t>
      </w:r>
      <w:r>
        <w:t xml:space="preserve">, </w:t>
      </w:r>
      <w:r>
        <w:rPr>
          <w:rStyle w:val="Kod"/>
        </w:rPr>
        <w:t xml:space="preserve">Payment</w:t>
      </w:r>
      <w:r>
        <w:t xml:space="preserve"> и </w:t>
      </w:r>
      <w:r>
        <w:rPr>
          <w:rStyle w:val="Kod"/>
        </w:rPr>
        <w:t xml:space="preserve">UserToken</w:t>
      </w:r>
      <w:r>
        <w:t xml:space="preserve"> имају верзију реда (колона xmin), на којој се заснива оптимистичка контрола конкурентности. Ентитет </w:t>
      </w:r>
      <w:r>
        <w:rPr>
          <w:rStyle w:val="Kod"/>
        </w:rPr>
        <w:t xml:space="preserve">ProcessedWebhookEvent</w:t>
      </w:r>
      <w:r>
        <w:t xml:space="preserve"> биљежи већ обрађена обавјештења симулатора плаћања; са плаћањем је повезан само логички, преко поља </w:t>
      </w:r>
      <w:r>
        <w:rPr>
          <w:rStyle w:val="Kod"/>
        </w:rPr>
        <w:t xml:space="preserve">PaymentId</w:t>
      </w:r>
      <w:r>
        <w:t xml:space="preserve">, без страног кључа, јер се обавјештење памти и када се плаћање не пронађе. Симулатор плаћања има засебну базу података, у којој чува токенизоване картице и наплате.</w:t>
      </w:r>
    </w:p>
    <w:p w14:paraId="4692750B" w14:textId="77777777">
      <w:pPr>
        <w:spacing w:after="0" w:line="20" w:lineRule="exact"/>
        <w:rPr>
          <w:sz w:val="2"/>
        </w:rPr>
        <w:sectPr>
          <w:headerReference w:type="even" r:id="rId24"/>
          <w:headerReference w:type="first" r:id="rId25"/>
          <w:type w:val="oddPage"/>
          <w:pgSz w:w="9978" w:h="14173"/>
          <w:pgMar w:top="1417" w:right="850" w:bottom="1417" w:left="1134" w:header="567" w:footer="992" w:gutter="0"/>
          <w:cols w:space="708"/>
          <w:titlePg/>
          <w:docGrid w:linePitch="360"/>
        </w:sectPr>
      </w:pPr>
    </w:p>
    <w:p w14:paraId="7BA10BC5" w14:textId="77777777">
      <w:pPr>
        <w:pStyle w:val="Glava"/>
      </w:pPr>
    </w:p>
    <w:p w14:paraId="6C4D9088" w14:textId="77777777">
      <w:pPr>
        <w:pStyle w:val="Heading1"/>
      </w:pPr>
      <w:bookmarkStart w:id="8" w:name="_Toc239973925"/>
      <w:r>
        <w:t>Имплементација система</w:t>
      </w:r>
      <w:bookmarkEnd w:id="8"/>
    </w:p>
    <w:p>
      <w:r>
        <w:t xml:space="preserve">У овом поглављу описана је имплементација система FairShare. Најприје је приказана архитектура рјешења и организација серверског дијела, а затим, по цјелинама, најзанимљивији дијелови имплементације: аутентификација, лични трошкови и аналитика, групе и подјела трошкова, поједностављивање дугова, поравнање путем QR кода и симулатор плаћања, обавјештења у реалном времену, кеширање и конкурентни приступ подацима, администрација и веб апликација. Листинзи садрже изводе из изворног кода, понегдје скраћене ради прегледности; коментари у коду писани су на енглеском језику.</w:t>
      </w:r>
    </w:p>
    <w:p>
      <w:pPr>
        <w:pStyle w:val="Heading2"/>
      </w:pPr>
      <w:r>
        <w:t xml:space="preserve">Архитектура рјешења</w:t>
      </w:r>
    </w:p>
    <w:p>
      <w:r>
        <w:t xml:space="preserve">Компоненте система и њихова комуникација приказани су на слици </w:t>
      </w:r>
      <w:r>
        <w:fldChar w:fldCharType="begin"/>
      </w:r>
      <w:r>
        <w:instrText xml:space="preserve"> REF _Ref_fig_arch \h </w:instrText>
      </w:r>
      <w:r>
        <w:fldChar w:fldCharType="separate"/>
      </w:r>
      <w:r>
        <w:rPr>
          <w:noProof/>
        </w:rPr>
        <w:t xml:space="preserve">5</w:t>
      </w:r>
      <w:r>
        <w:fldChar w:fldCharType="end"/>
      </w:r>
      <w:r>
        <w:t xml:space="preserve">. Веб апликација ради у прегледачу корисника и са сервером комуницира на два начина: захтјевима REST API-ја у формату JSON преко HTTPS-а и трајном SignalR везом (WebSocket), преко које сервер шаље обавјештења. FairShare API податке чува у бази FairShareDb (PostgreSQL), а слике рачуна и профилне слике у фасцикли на диску сервера, ван јавно доступног дијела, тако да се свака датотека чита искључиво преко API-ја, послије провјере ко је тражи. Симулатор плаћања је засебан процес са сопственом базом: API му се обраћа преко REST API-ја са тајним API кључем, а симулатор исход плаћања јавља потписаним HTTP позивом (</w:t>
      </w:r>
      <w:r>
        <w:rPr>
          <w:i/>
        </w:rPr>
        <w:t xml:space="preserve">webhook</w:t>
      </w:r>
      <w:r>
        <w:t xml:space="preserve">). Од спољних сервиса систем користи SMTP сервер за слање е-поште и ExchangeRate-API за курсеве валута.</w:t>
      </w:r>
    </w:p>
    <w:p xmlns:a="http://schemas.openxmlformats.org/drawingml/2006/main" xmlns:pic="http://schemas.openxmlformats.org/drawingml/2006/picture">
      <w:pPr>
        <w:pStyle w:val="Slika"/>
      </w:pPr>
      <w:r>
        <w:drawing>
          <wp:inline distT="0" distB="0" distL="0" distR="0">
            <wp:extent cx="4568571" cy="2958149"/>
            <wp:effectExtent l="0" t="0" r="0" b="0"/>
            <wp:docPr id="3005" name="Слика 3005"/>
            <wp:cNvGraphicFramePr>
              <a:graphicFrameLocks noChangeAspect="1"/>
            </wp:cNvGraphicFramePr>
            <a:graphic>
              <a:graphicData uri="http://schemas.openxmlformats.org/drawingml/2006/picture">
                <pic:pic>
                  <pic:nvPicPr>
                    <pic:cNvPr id="3005" name="fig5.png"/>
                    <pic:cNvPicPr/>
                  </pic:nvPicPr>
                  <pic:blipFill>
                    <a:blip r:embed="rIdFig5"/>
                    <a:stretch>
                      <a:fillRect/>
                    </a:stretch>
                  </pic:blipFill>
                  <pic:spPr>
                    <a:xfrm>
                      <a:off x="0" y="0"/>
                      <a:ext cx="4568571" cy="2958149"/>
                    </a:xfrm>
                    <a:prstGeom prst="rect">
                      <a:avLst/>
                    </a:prstGeom>
                  </pic:spPr>
                </pic:pic>
              </a:graphicData>
            </a:graphic>
          </wp:inline>
        </w:drawing>
      </w:r>
    </w:p>
    <w:p>
      <w:pPr>
        <w:pStyle w:val="Caption"/>
      </w:pPr>
      <w:r>
        <w:t xml:space="preserve">Слика </w:t>
      </w:r>
      <w:bookmarkStart w:id="5012" w:name="_Ref_fig_arch"/>
      <w:r>
        <w:fldChar w:fldCharType="begin"/>
      </w:r>
      <w:r>
        <w:instrText xml:space="preserve"> SEQ Слика \* ARABIC </w:instrText>
      </w:r>
      <w:r>
        <w:fldChar w:fldCharType="separate"/>
      </w:r>
      <w:r>
        <w:rPr>
          <w:noProof/>
        </w:rPr>
        <w:t xml:space="preserve">5</w:t>
      </w:r>
      <w:r>
        <w:fldChar w:fldCharType="end"/>
      </w:r>
      <w:bookmarkEnd w:id="5012"/>
      <w:r>
        <w:t xml:space="preserve">: Компоненте система и њихова комуникација.</w:t>
      </w:r>
    </w:p>
    <w:p>
      <w:r>
        <w:t xml:space="preserve">Курсеви се преузимају једном у шест сати и дијеле између свих захтјева, а ако сервис није доступан, користе се посљедњи преузети курсеви. Курс између евра и конвертибилне марке је фиксан (1 EUR = 1,95583 BAM), па је познат и без спољног сервиса.</w:t>
      </w:r>
    </w:p>
    <w:p>
      <w:r>
        <w:t xml:space="preserve">Серверски дио организован је по архитектури Onion у четири пројекта, приказана на слици </w:t>
      </w:r>
      <w:r>
        <w:fldChar w:fldCharType="begin"/>
      </w:r>
      <w:r>
        <w:instrText xml:space="preserve"> REF _Ref_fig_layers \h </w:instrText>
      </w:r>
      <w:r>
        <w:fldChar w:fldCharType="separate"/>
      </w:r>
      <w:r>
        <w:rPr>
          <w:noProof/>
        </w:rPr>
        <w:t xml:space="preserve">6</w:t>
      </w:r>
      <w:r>
        <w:fldChar w:fldCharType="end"/>
      </w:r>
      <w:r>
        <w:t xml:space="preserve">. Стрелице показују зависности између пројеката: све су усмјерене ка доменском слоју, а апликациони слој не зна ни за базу ни за радни оквир. Инфраструктура имплементира интерфејсе које дефинишу домен (репозиторијуми) и апликациони слој (е-пошта, кеш, курсеви, клијент симулатора, PDF извјештаји). Пројекат API је мјесто у коме се све компоненте повезују: у датотеци </w:t>
      </w:r>
      <w:r>
        <w:rPr>
          <w:rStyle w:val="Kod"/>
        </w:rPr>
        <w:t xml:space="preserve">Program.cs</w:t>
      </w:r>
      <w:r>
        <w:t xml:space="preserve"> сервиси сваког слоја региструју се позивима метода проширења </w:t>
      </w:r>
      <w:r>
        <w:rPr>
          <w:rStyle w:val="Kod"/>
        </w:rPr>
        <w:t xml:space="preserve">AddApplicationLayer</w:t>
      </w:r>
      <w:r>
        <w:t xml:space="preserve">, </w:t>
      </w:r>
      <w:r>
        <w:rPr>
          <w:rStyle w:val="Kod"/>
        </w:rPr>
        <w:t xml:space="preserve">AddInfrastructureLayer</w:t>
      </w:r>
      <w:r>
        <w:t xml:space="preserve">, </w:t>
      </w:r>
      <w:r>
        <w:rPr>
          <w:rStyle w:val="Kod"/>
        </w:rPr>
        <w:t xml:space="preserve">AddIdentityServices</w:t>
      </w:r>
      <w:r>
        <w:t xml:space="preserve">, </w:t>
      </w:r>
      <w:r>
        <w:rPr>
          <w:rStyle w:val="Kod"/>
        </w:rPr>
        <w:t xml:space="preserve">AddWebApi</w:t>
      </w:r>
      <w:r>
        <w:t xml:space="preserve"> и </w:t>
      </w:r>
      <w:r>
        <w:rPr>
          <w:rStyle w:val="Kod"/>
        </w:rPr>
        <w:t xml:space="preserve">AddApiRateLimiting</w:t>
      </w:r>
      <w:r>
        <w:t xml:space="preserve">.</w:t>
      </w:r>
    </w:p>
    <w:p xmlns:a="http://schemas.openxmlformats.org/drawingml/2006/main" xmlns:pic="http://schemas.openxmlformats.org/drawingml/2006/picture">
      <w:pPr>
        <w:pStyle w:val="Slika"/>
      </w:pPr>
      <w:r>
        <w:drawing>
          <wp:inline distT="0" distB="0" distL="0" distR="0">
            <wp:extent cx="3045714" cy="3584805"/>
            <wp:effectExtent l="0" t="0" r="0" b="0"/>
            <wp:docPr id="3006" name="Слика 3006"/>
            <wp:cNvGraphicFramePr>
              <a:graphicFrameLocks noChangeAspect="1"/>
            </wp:cNvGraphicFramePr>
            <a:graphic>
              <a:graphicData uri="http://schemas.openxmlformats.org/drawingml/2006/picture">
                <pic:pic>
                  <pic:nvPicPr>
                    <pic:cNvPr id="3006" name="fig6.png"/>
                    <pic:cNvPicPr/>
                  </pic:nvPicPr>
                  <pic:blipFill>
                    <a:blip r:embed="rIdFig6"/>
                    <a:stretch>
                      <a:fillRect/>
                    </a:stretch>
                  </pic:blipFill>
                  <pic:spPr>
                    <a:xfrm>
                      <a:off x="0" y="0"/>
                      <a:ext cx="3045714" cy="3584805"/>
                    </a:xfrm>
                    <a:prstGeom prst="rect">
                      <a:avLst/>
                    </a:prstGeom>
                  </pic:spPr>
                </pic:pic>
              </a:graphicData>
            </a:graphic>
          </wp:inline>
        </w:drawing>
      </w:r>
    </w:p>
    <w:p>
      <w:pPr>
        <w:pStyle w:val="Caption"/>
      </w:pPr>
      <w:r>
        <w:t xml:space="preserve">Слика </w:t>
      </w:r>
      <w:bookmarkStart w:id="5013" w:name="_Ref_fig_layers"/>
      <w:r>
        <w:fldChar w:fldCharType="begin"/>
      </w:r>
      <w:r>
        <w:instrText xml:space="preserve"> SEQ Слика \* ARABIC </w:instrText>
      </w:r>
      <w:r>
        <w:fldChar w:fldCharType="separate"/>
      </w:r>
      <w:r>
        <w:rPr>
          <w:noProof/>
        </w:rPr>
        <w:t xml:space="preserve">6</w:t>
      </w:r>
      <w:r>
        <w:fldChar w:fldCharType="end"/>
      </w:r>
      <w:bookmarkEnd w:id="5013"/>
      <w:r>
        <w:t xml:space="preserve">: Слојеви серверског дијела и зависности између њих.</w:t>
      </w:r>
    </w:p>
    <w:p>
      <w:r>
        <w:t xml:space="preserve">Сваки захтјев пролази кроз исти низ корака. Прво се извршава middleware за обраду грешака, који сваки изузетак претвара у одговор у формату Problem Details са одговарајућим HTTP статусом и стабилним кодом грешке. Затим слиједе HTTPS преусмјеравање, CORS, аутентификација, ограничење броја захтјева и ауторизација. Прије сваке акције контролера извршавају се три глобална филтера: валидација улаза (FluentValidation), провјера статуса налога и аутоматско биљежење у ревизијски дневник.</w:t>
      </w:r>
    </w:p>
    <w:p>
      <w:r>
        <w:t xml:space="preserve">Приступ подацима иде преко образаца </w:t>
      </w:r>
      <w:r>
        <w:rPr>
          <w:i/>
        </w:rPr>
        <w:t xml:space="preserve">Repository</w:t>
      </w:r>
      <w:r>
        <w:t xml:space="preserve"> и </w:t>
      </w:r>
      <w:r>
        <w:rPr>
          <w:i/>
        </w:rPr>
        <w:t xml:space="preserve">Unit of Work</w:t>
      </w:r>
      <w:r>
        <w:t xml:space="preserve">. Сви репозиторијуми дијеле исти </w:t>
      </w:r>
      <w:r>
        <w:rPr>
          <w:rStyle w:val="Kod"/>
        </w:rPr>
        <w:t xml:space="preserve">DbContext</w:t>
      </w:r>
      <w:r>
        <w:t xml:space="preserve">, па један позив </w:t>
      </w:r>
      <w:r>
        <w:rPr>
          <w:rStyle w:val="Kod"/>
        </w:rPr>
        <w:t xml:space="preserve">SaveChangesAsync</w:t>
      </w:r>
      <w:r>
        <w:t xml:space="preserve"> снима измјене свих репозиторијума у једној трансакцији. На тај начин, на примјер, трошак, његови удјели и брисање застарјелих приједлога поравнања увијек успијевају или не успијевају заједно.</w:t>
      </w:r>
    </w:p>
    <w:p>
      <w:pPr>
        <w:pStyle w:val="Heading2"/>
      </w:pPr>
      <w:r>
        <w:t xml:space="preserve">Аутентификација и ауторизација</w:t>
      </w:r>
    </w:p>
    <w:p>
      <w:r>
        <w:t xml:space="preserve">Послије успјешне пријаве корисник добија два токена. Приступни токен је JWT потписан алгоритмом HMAC-SHA256, важи 15 минута и садржи идентификатор корисника, адресу е-поште и улогу. Токен за обнову је насумична вриједност од 256 бита, записана у облику погодном за URL; у бази се чува само њен хеш SHA-256, уз вријеме истека и употребе, тако да ни приступ бази не открива важеће токене. Исти механизам користе и линкови за активацију налога и опоравак лозинке: сваки се може употријебити тачно једном и важи ограничено вријеме.</w:t>
      </w:r>
    </w:p>
    <w:p>
      <w:r>
        <w:t xml:space="preserve">Токен за обнову се ротира: при свакој обнови стари токен се означава као искоришћен и издаје се нови пар токена (листинг </w:t>
      </w:r>
      <w:r>
        <w:fldChar w:fldCharType="begin"/>
      </w:r>
      <w:r>
        <w:instrText xml:space="preserve"> REF _Ref_lst_refresh \h </w:instrText>
      </w:r>
      <w:r>
        <w:fldChar w:fldCharType="separate"/>
      </w:r>
      <w:r>
        <w:rPr>
          <w:noProof/>
        </w:rPr>
        <w:t xml:space="preserve">2</w:t>
      </w:r>
      <w:r>
        <w:fldChar w:fldCharType="end"/>
      </w:r>
      <w:r>
        <w:t xml:space="preserve">). Ако се већ искоришћен токен појави поново, то значи да га неко други има, па систем затвара све сесије корисника. Два истовремена покушаја обнове истим токеном спречава верзија реда на ентитету </w:t>
      </w:r>
      <w:r>
        <w:rPr>
          <w:rStyle w:val="Kod"/>
        </w:rPr>
        <w:t xml:space="preserve">UserToken</w:t>
      </w:r>
      <w:r>
        <w:t xml:space="preserve">: други покушај добија конфликт.</w:t>
      </w:r>
    </w:p>
    <w:p>
      <w:pPr>
        <w:pStyle w:val="Listing"/>
        <w:keepNext/>
        <w:keepLines/>
      </w:pPr>
      <w:r>
        <w:t xml:space="preserve">var token = await _unitOfWork.UserTokens.GetByHashAsync(</w:t>
      </w:r>
    </w:p>
    <w:p>
      <w:pPr>
        <w:pStyle w:val="Listing"/>
        <w:keepNext/>
        <w:keepLines/>
      </w:pPr>
      <w:r>
        <w:t xml:space="preserve">        SecureToken.Hash(request.RefreshToken),</w:t>
      </w:r>
    </w:p>
    <w:p>
      <w:pPr>
        <w:pStyle w:val="Listing"/>
        <w:keepNext/>
        <w:keepLines/>
      </w:pPr>
      <w:r>
        <w:t xml:space="preserve">        UserTokenType.RefreshToken, cancellationToken)</w:t>
      </w:r>
    </w:p>
    <w:p>
      <w:pPr>
        <w:pStyle w:val="Listing"/>
        <w:keepNext/>
        <w:keepLines/>
      </w:pPr>
      <w:r>
        <w:t xml:space="preserve">    ?? throw new InvalidCredentialsException(</w:t>
      </w:r>
    </w:p>
    <w:p>
      <w:pPr>
        <w:pStyle w:val="Listing"/>
        <w:keepNext/>
        <w:keepLines/>
      </w:pPr>
      <w:r>
        <w:t xml:space="preserve">        InvalidSessionMessage);</w:t>
      </w:r>
    </w:p>
    <w:p>
      <w:pPr>
        <w:pStyle w:val="Listing"/>
        <w:keepNext/>
        <w:keepLines/>
      </w:pPr>
      <w:r>
        <w:t xml:space="preserve"/>
      </w:r>
    </w:p>
    <w:p>
      <w:pPr>
        <w:pStyle w:val="Listing"/>
        <w:keepNext/>
        <w:keepLines/>
      </w:pPr>
      <w:r>
        <w:t xml:space="preserve">if (token.UsedAt is not null)</w:t>
      </w:r>
    </w:p>
    <w:p>
      <w:pPr>
        <w:pStyle w:val="Listing"/>
        <w:keepNext/>
        <w:keepLines/>
      </w:pPr>
      <w:r>
        <w:t xml:space="preserve">{</w:t>
      </w:r>
    </w:p>
    <w:p>
      <w:pPr>
        <w:pStyle w:val="Listing"/>
        <w:keepNext/>
        <w:keepLines/>
      </w:pPr>
      <w:r>
        <w:t xml:space="preserve">    // Rotation: a token that was already exchanged shows up</w:t>
      </w:r>
    </w:p>
    <w:p>
      <w:pPr>
        <w:pStyle w:val="Listing"/>
        <w:keepNext/>
        <w:keepLines/>
      </w:pPr>
      <w:r>
        <w:t xml:space="preserve">    // again - all sessions of the user are closed.</w:t>
      </w:r>
    </w:p>
    <w:p>
      <w:pPr>
        <w:pStyle w:val="Listing"/>
        <w:keepNext/>
        <w:keepLines/>
      </w:pPr>
      <w:r>
        <w:t xml:space="preserve">    await RevokeTokensAsync(token.UserId,</w:t>
      </w:r>
    </w:p>
    <w:p>
      <w:pPr>
        <w:pStyle w:val="Listing"/>
        <w:keepNext/>
        <w:keepLines/>
      </w:pPr>
      <w:r>
        <w:t xml:space="preserve">        UserTokenType.RefreshToken, now, cancellationToken);</w:t>
      </w:r>
    </w:p>
    <w:p>
      <w:pPr>
        <w:pStyle w:val="Listing"/>
        <w:keepNext/>
        <w:keepLines/>
      </w:pPr>
      <w:r>
        <w:t xml:space="preserve">    await _unitOfWork.SaveChangesAsync(cancellationToken);</w:t>
      </w:r>
    </w:p>
    <w:p>
      <w:pPr>
        <w:pStyle w:val="Listing"/>
        <w:keepNext/>
        <w:keepLines/>
      </w:pPr>
      <w:r>
        <w:t xml:space="preserve">    throw new InvalidCredentialsException(</w:t>
      </w:r>
    </w:p>
    <w:p>
      <w:pPr>
        <w:pStyle w:val="Listing"/>
        <w:keepNext/>
        <w:keepLines/>
      </w:pPr>
      <w:r>
        <w:t xml:space="preserve">        InvalidSessionMessage);</w:t>
      </w:r>
    </w:p>
    <w:p>
      <w:pPr>
        <w:pStyle w:val="Listing"/>
        <w:keepNext/>
        <w:keepLines/>
      </w:pPr>
      <w:r>
        <w:t xml:space="preserve">}</w:t>
      </w:r>
    </w:p>
    <w:p>
      <w:pPr>
        <w:pStyle w:val="Listing"/>
        <w:keepNext/>
        <w:keepLines/>
      </w:pPr>
      <w:r>
        <w:t xml:space="preserve">if (token.ExpiresAt &lt;= now)</w:t>
      </w:r>
    </w:p>
    <w:p>
      <w:pPr>
        <w:pStyle w:val="Listing"/>
        <w:keepNext/>
        <w:keepLines/>
      </w:pPr>
      <w:r>
        <w:t xml:space="preserve">    throw new InvalidCredentialsException(</w:t>
      </w:r>
    </w:p>
    <w:p>
      <w:pPr>
        <w:pStyle w:val="Listing"/>
        <w:keepNext/>
        <w:keepLines/>
      </w:pPr>
      <w:r>
        <w:t xml:space="preserve">        InvalidSessionMessage);</w:t>
      </w:r>
    </w:p>
    <w:p>
      <w:pPr>
        <w:pStyle w:val="Listing"/>
        <w:keepNext/>
        <w:keepLines/>
      </w:pPr>
      <w:r>
        <w:t xml:space="preserve"/>
      </w:r>
    </w:p>
    <w:p>
      <w:pPr>
        <w:pStyle w:val="Listing"/>
        <w:keepNext/>
        <w:keepLines/>
      </w:pPr>
      <w:r>
        <w:t xml:space="preserve">EnsureCanSignIn(token.User);   // a blocked user cannot refresh</w:t>
      </w:r>
    </w:p>
    <w:p>
      <w:pPr>
        <w:pStyle w:val="Listing"/>
        <w:keepNext/>
        <w:keepLines/>
      </w:pPr>
      <w:r>
        <w:t xml:space="preserve">token.MarkUsed(now);</w:t>
      </w:r>
    </w:p>
    <w:p>
      <w:pPr>
        <w:pStyle w:val="Listing"/>
        <w:keepNext/>
        <w:keepLines/>
      </w:pPr>
      <w:r>
        <w:t xml:space="preserve">var response = await IssueTokensAsync(</w:t>
      </w:r>
    </w:p>
    <w:p>
      <w:pPr>
        <w:pStyle w:val="Listing"/>
        <w:keepNext/>
        <w:keepLines/>
      </w:pPr>
      <w:r>
        <w:t xml:space="preserve">    token.User, cancellationToken);</w:t>
      </w:r>
    </w:p>
    <w:p>
      <w:pPr>
        <w:pStyle w:val="Listing"/>
        <w:keepNext/>
        <w:keepLines/>
      </w:pPr>
      <w:r>
        <w:t xml:space="preserve">await _unitOfWork.SaveChangesAsync(cancellationToken);</w:t>
      </w:r>
    </w:p>
    <w:p>
      <w:pPr>
        <w:pStyle w:val="Caption"/>
      </w:pPr>
      <w:r>
        <w:t xml:space="preserve">Листинг </w:t>
      </w:r>
      <w:bookmarkStart w:id="5014" w:name="_Ref_lst_refresh"/>
      <w:r>
        <w:fldChar w:fldCharType="begin"/>
      </w:r>
      <w:r>
        <w:instrText xml:space="preserve"> SEQ Листинг \* ARABIC </w:instrText>
      </w:r>
      <w:r>
        <w:fldChar w:fldCharType="separate"/>
      </w:r>
      <w:r>
        <w:rPr>
          <w:noProof/>
        </w:rPr>
        <w:t xml:space="preserve">2</w:t>
      </w:r>
      <w:r>
        <w:fldChar w:fldCharType="end"/>
      </w:r>
      <w:bookmarkEnd w:id="5014"/>
      <w:r>
        <w:t xml:space="preserve">: Обнова сесије са ротацијом токена (IdentityService.RefreshAsync, скраћено).</w:t>
      </w:r>
    </w:p>
    <w:p>
      <w:r>
        <w:t xml:space="preserve">Лозинке се хеширају алгоритмом bcrypt. При пријави систем даје исти одговор за непостојећу адресу и за погрешну лозинку, да се не би могло открити ко има налог, а стање налога (блокиран, непотврђена адреса) провјерава тек послије исправне лозинке.</w:t>
      </w:r>
    </w:p>
    <w:p>
      <w:r>
        <w:t xml:space="preserve">Ауторизација се изводи на два нивоа. Административни контролери доступни су само улози Admin, а сервиси за сваки ресурс провјеравају власништво: на примјер, трошкове групе види само њен члан, а трошак може мијењати само члан који га је платио или власник групе. Глобални филтер </w:t>
      </w:r>
      <w:r>
        <w:rPr>
          <w:rStyle w:val="Kod"/>
        </w:rPr>
        <w:t xml:space="preserve">RequirePasswordChangeFilter</w:t>
      </w:r>
      <w:r>
        <w:t xml:space="preserve"> на сваком захтјеву провјерава статус налога: блокиран корисник добија HTTP 403 и са још важећим токеном, а администратор који мора промијенити лозинку може приступити само промјени лозинке. Статус налога је кеширан, а кеш се поништава чим се ред корисника сними, па блокада дјелује већ на сљедећем захтјеву.</w:t>
      </w:r>
    </w:p>
    <w:p>
      <w:r>
        <w:t xml:space="preserve">Број захтјева ограничен је уграђеним механизмом ASP.NET Core-а (</w:t>
      </w:r>
      <w:r>
        <w:rPr>
          <w:i/>
        </w:rPr>
        <w:t xml:space="preserve">rate limiting</w:t>
      </w:r>
      <w:r>
        <w:t xml:space="preserve">): општи лимит је 300 захтјева у минути по кориснику, односно по IP адреси за анонимне захтјеве, а за пријаву, регистрацију и све што шаље е-пошту важи строжи лимит од десет захтјева у минути по IP адреси. Захтјев преко лимита добија HTTP 429 са заглављем Retry-After. Филтер </w:t>
      </w:r>
      <w:r>
        <w:rPr>
          <w:rStyle w:val="Kod"/>
        </w:rPr>
        <w:t xml:space="preserve">AuditLogFilter</w:t>
      </w:r>
      <w:r>
        <w:t xml:space="preserve"> аутоматски биљежи у ревизијски дневник сваку успјешну измјену (POST, PUT, PATCH, DELETE) пријављеног корисника, тако да нове акције не захтијевају измјену сервиса.</w:t>
      </w:r>
    </w:p>
    <w:p>
      <w:pPr>
        <w:pStyle w:val="Heading2"/>
      </w:pPr>
      <w:r>
        <w:t xml:space="preserve">Лични трошкови, буџети и аналитика</w:t>
      </w:r>
    </w:p>
    <w:p>
      <w:r>
        <w:t xml:space="preserve">Листа личних трошкова се странича на серверу и филтрира по тексту, категорији, периоду, износу и понављању, уз сортирање. Претрага по тексту користи SQL оператор LIKE, при чему се знакови </w:t>
      </w:r>
      <w:r>
        <w:rPr>
          <w:rStyle w:val="Kod"/>
        </w:rPr>
        <w:t xml:space="preserve">%</w:t>
      </w:r>
      <w:r>
        <w:t xml:space="preserve">, </w:t>
      </w:r>
      <w:r>
        <w:rPr>
          <w:rStyle w:val="Kod"/>
        </w:rPr>
        <w:t xml:space="preserve">_</w:t>
      </w:r>
      <w:r>
        <w:t xml:space="preserve"> и </w:t>
      </w:r>
      <w:r>
        <w:rPr>
          <w:rStyle w:val="Kod"/>
        </w:rPr>
        <w:t xml:space="preserve">\</w:t>
      </w:r>
      <w:r>
        <w:t xml:space="preserve"> у уносу корисника неутралишу, да не би дјеловали као џокер знакови. За најчешћи упит постоји сложени индекс над корисником и датумом. Листа и дијалог за унос трошка приказани су на сликама </w:t>
      </w:r>
      <w:r>
        <w:fldChar w:fldCharType="begin"/>
      </w:r>
      <w:r>
        <w:instrText xml:space="preserve"> REF _Ref_fig_s_expenses \h </w:instrText>
      </w:r>
      <w:r>
        <w:fldChar w:fldCharType="separate"/>
      </w:r>
      <w:r>
        <w:rPr>
          <w:noProof/>
        </w:rPr>
        <w:t xml:space="preserve">7</w:t>
      </w:r>
      <w:r>
        <w:fldChar w:fldCharType="end"/>
      </w:r>
      <w:r>
        <w:t xml:space="preserve"> и </w:t>
      </w:r>
      <w:r>
        <w:fldChar w:fldCharType="begin"/>
      </w:r>
      <w:r>
        <w:instrText xml:space="preserve"> REF _Ref_fig_s_expense_dialog \h </w:instrText>
      </w:r>
      <w:r>
        <w:fldChar w:fldCharType="separate"/>
      </w:r>
      <w:r>
        <w:rPr>
          <w:noProof/>
        </w:rPr>
        <w:t xml:space="preserve">8</w:t>
      </w:r>
      <w:r>
        <w:fldChar w:fldCharType="end"/>
      </w:r>
      <w:r>
        <w:t xml:space="preserve">.</w:t>
      </w:r>
    </w:p>
    <w:p>
      <w:pPr>
        <w:pStyle w:val="Slika"/>
      </w:pPr>
      <w:r>
        <w:rPr>
          <w:i/>
          <w:color w:val="808080"/>
        </w:rPr>
        <w:t xml:space="preserve">[ снимак екрана: Листа личних трошкова са филтерима. ]</w:t>
      </w:r>
    </w:p>
    <w:p>
      <w:pPr>
        <w:pStyle w:val="Caption"/>
      </w:pPr>
      <w:r>
        <w:t xml:space="preserve">Слика </w:t>
      </w:r>
      <w:bookmarkStart w:id="5015" w:name="_Ref_fig_s_expenses"/>
      <w:r>
        <w:fldChar w:fldCharType="begin"/>
      </w:r>
      <w:r>
        <w:instrText xml:space="preserve"> SEQ Слика \* ARABIC </w:instrText>
      </w:r>
      <w:r>
        <w:fldChar w:fldCharType="separate"/>
      </w:r>
      <w:r>
        <w:rPr>
          <w:noProof/>
        </w:rPr>
        <w:t xml:space="preserve">7</w:t>
      </w:r>
      <w:r>
        <w:fldChar w:fldCharType="end"/>
      </w:r>
      <w:bookmarkEnd w:id="5015"/>
      <w:r>
        <w:t xml:space="preserve">: Листа личних трошкова са филтерима.</w:t>
      </w:r>
    </w:p>
    <w:p>
      <w:pPr>
        <w:pStyle w:val="Slika"/>
      </w:pPr>
      <w:r>
        <w:rPr>
          <w:i/>
          <w:color w:val="808080"/>
        </w:rPr>
        <w:t xml:space="preserve">[ снимак екрана: Унос личног трошка са локацијом на мапи и фотографијом рачуна. ]</w:t>
      </w:r>
    </w:p>
    <w:p>
      <w:pPr>
        <w:pStyle w:val="Caption"/>
      </w:pPr>
      <w:r>
        <w:t xml:space="preserve">Слика </w:t>
      </w:r>
      <w:bookmarkStart w:id="5016" w:name="_Ref_fig_s_expense_dialog"/>
      <w:r>
        <w:fldChar w:fldCharType="begin"/>
      </w:r>
      <w:r>
        <w:instrText xml:space="preserve"> SEQ Слика \* ARABIC </w:instrText>
      </w:r>
      <w:r>
        <w:fldChar w:fldCharType="separate"/>
      </w:r>
      <w:r>
        <w:rPr>
          <w:noProof/>
        </w:rPr>
        <w:t xml:space="preserve">8</w:t>
      </w:r>
      <w:r>
        <w:fldChar w:fldCharType="end"/>
      </w:r>
      <w:bookmarkEnd w:id="5016"/>
      <w:r>
        <w:t xml:space="preserve">: Унос личног трошка са локацијом на мапи и фотографијом рачуна.</w:t>
      </w:r>
    </w:p>
    <w:p>
      <w:r>
        <w:t xml:space="preserve">Фотографије рачуна провјеравају се по типу и величини и чувају на диску. Брисање датотека не мора памтити ниједан сервис: пресретач </w:t>
      </w:r>
      <w:r>
        <w:rPr>
          <w:rStyle w:val="Kod"/>
        </w:rPr>
        <w:t xml:space="preserve">FileCleanupInterceptor</w:t>
      </w:r>
      <w:r>
        <w:t xml:space="preserve"> прати снимања у бази и, тек послије успјешног снимања, брише датотеке обрисаних трошкова, група и корисника.</w:t>
      </w:r>
    </w:p>
    <w:p>
      <w:r>
        <w:t xml:space="preserve">Копије понављајућих трошкова креира позадински сервис, који се покреће при старту API-ја и затим сваког сата. Сваки трошак обрађује у засебном опсегу (</w:t>
      </w:r>
      <w:r>
        <w:rPr>
          <w:i/>
        </w:rPr>
        <w:t xml:space="preserve">scope</w:t>
      </w:r>
      <w:r>
        <w:t xml:space="preserve">) са сопственим </w:t>
      </w:r>
      <w:r>
        <w:rPr>
          <w:rStyle w:val="Kod"/>
        </w:rPr>
        <w:t xml:space="preserve">DbContext</w:t>
      </w:r>
      <w:r>
        <w:t xml:space="preserve">-ом, тако да грешка код једног трошка не утиче на остале. Правила буџета налазе се у самом ентитету </w:t>
      </w:r>
      <w:r>
        <w:rPr>
          <w:rStyle w:val="Kod"/>
        </w:rPr>
        <w:t xml:space="preserve">Budget</w:t>
      </w:r>
      <w:r>
        <w:t xml:space="preserve">: буџет протеклог мјесеца се не може мијењати, а нови се може планирати највише 12 мјесеци унапријед; провјера дозвољава 14 сати одступања, због разлике временских зона. Сервис </w:t>
      </w:r>
      <w:r>
        <w:rPr>
          <w:rStyle w:val="Kod"/>
        </w:rPr>
        <w:t xml:space="preserve">BudgetAlertService</w:t>
      </w:r>
      <w:r>
        <w:t xml:space="preserve"> при сваком новом трошку упоређује потрошњу прије и послије трошка и шаље обавјештење само када се тиме пређе праг од 80 % или 100 % лимита.</w:t>
      </w:r>
    </w:p>
    <w:p>
      <w:r>
        <w:t xml:space="preserve">За аналитику се из базе преузимају већ агрегирани подаци: дневни збирови по валути, збирови по категоријама и тачке за мапу (највише ограничен број), тако да се графикони не рачунају на клијенту из сирових података. Сервис затим претвара износе у изабрану валуту и групише их по данима за период до 31 дан, по седмицама до 92 дана, а по мјесецима за дужи период. Резултат се кешира, а кеш се поништава при свакој измјени трошкова корисника. Страница аналитике приказана је на слици </w:t>
      </w:r>
      <w:r>
        <w:fldChar w:fldCharType="begin"/>
      </w:r>
      <w:r>
        <w:instrText xml:space="preserve"> REF _Ref_fig_s_analytics \h </w:instrText>
      </w:r>
      <w:r>
        <w:fldChar w:fldCharType="separate"/>
      </w:r>
      <w:r>
        <w:rPr>
          <w:noProof/>
        </w:rPr>
        <w:t xml:space="preserve">9</w:t>
      </w:r>
      <w:r>
        <w:fldChar w:fldCharType="end"/>
      </w:r>
      <w:r>
        <w:t xml:space="preserve">. Извјештаји у формату PDF (QuestPDF) и CSV праве се из истих података као и приказ у апликацији, па се никада не разликују од онога што корисник види.</w:t>
      </w:r>
    </w:p>
    <w:p>
      <w:pPr>
        <w:pStyle w:val="Slika"/>
      </w:pPr>
      <w:r>
        <w:rPr>
          <w:i/>
          <w:color w:val="808080"/>
        </w:rPr>
        <w:t xml:space="preserve">[ снимак екрана: Аналитика потрошње: графикон, расподјела по категоријама и мапа. ]</w:t>
      </w:r>
    </w:p>
    <w:p>
      <w:pPr>
        <w:pStyle w:val="Caption"/>
      </w:pPr>
      <w:r>
        <w:t xml:space="preserve">Слика </w:t>
      </w:r>
      <w:bookmarkStart w:id="5017" w:name="_Ref_fig_s_analytics"/>
      <w:r>
        <w:fldChar w:fldCharType="begin"/>
      </w:r>
      <w:r>
        <w:instrText xml:space="preserve"> SEQ Слика \* ARABIC </w:instrText>
      </w:r>
      <w:r>
        <w:fldChar w:fldCharType="separate"/>
      </w:r>
      <w:r>
        <w:rPr>
          <w:noProof/>
        </w:rPr>
        <w:t xml:space="preserve">9</w:t>
      </w:r>
      <w:r>
        <w:fldChar w:fldCharType="end"/>
      </w:r>
      <w:bookmarkEnd w:id="5017"/>
      <w:r>
        <w:t xml:space="preserve">: Аналитика потрошње: графикон, расподјела по категоријама и мапа.</w:t>
      </w:r>
    </w:p>
    <w:p>
      <w:pPr>
        <w:pStyle w:val="Heading2"/>
      </w:pPr>
      <w:r>
        <w:t xml:space="preserve">Групе и подјела трошкова</w:t>
      </w:r>
    </w:p>
    <w:p>
      <w:r>
        <w:t xml:space="preserve">Правила чланства спроводи </w:t>
      </w:r>
      <w:r>
        <w:rPr>
          <w:rStyle w:val="Kod"/>
        </w:rPr>
        <w:t xml:space="preserve">GroupService</w:t>
      </w:r>
      <w:r>
        <w:t xml:space="preserve">: члан може напустити групу, односно бити уклоњен, само ако му је салдо измирен, а када власник напусти групу, власништво прелази на члана који је најдуже у групи. Група се може обрисати само ако у њој нема неизмирених дугова; тада се, у истој трансакцији, бришу и њена поравнања, а чланови, трошкови, удјели и коментари бришу се каскадно.</w:t>
      </w:r>
    </w:p>
    <w:p>
      <w:r>
        <w:t xml:space="preserve">Подјела трошка је чиста доменска логика, издвојена у класу </w:t>
      </w:r>
      <w:r>
        <w:rPr>
          <w:rStyle w:val="Kod"/>
        </w:rPr>
        <w:t xml:space="preserve">ExpenseSplitCalculator</w:t>
      </w:r>
      <w:r>
        <w:t xml:space="preserve">. Трошак мора имати бар два учесника, збир процената мора бити 100 %, а збир тачних износа једнак укупном износу. Код једнаке и процентуалне подјеле удјели се заокружују на два децимална мјеста, а разлика настала заокруживањем додјељује се посљедњем учеснику, тако да збир удјела увијек буде тачно једнак износу трошка (листинг </w:t>
      </w:r>
      <w:r>
        <w:fldChar w:fldCharType="begin"/>
      </w:r>
      <w:r>
        <w:instrText xml:space="preserve"> REF _Ref_lst_split \h </w:instrText>
      </w:r>
      <w:r>
        <w:fldChar w:fldCharType="separate"/>
      </w:r>
      <w:r>
        <w:rPr>
          <w:noProof/>
        </w:rPr>
        <w:t xml:space="preserve">3</w:t>
      </w:r>
      <w:r>
        <w:fldChar w:fldCharType="end"/>
      </w:r>
      <w:r>
        <w:t xml:space="preserve">).</w:t>
      </w:r>
    </w:p>
    <w:p>
      <w:pPr>
        <w:pStyle w:val="Listing"/>
        <w:keepNext/>
        <w:keepLines/>
      </w:pPr>
      <w:r>
        <w:t xml:space="preserve">var count = participants.Count;</w:t>
      </w:r>
    </w:p>
    <w:p>
      <w:pPr>
        <w:pStyle w:val="Listing"/>
        <w:keepNext/>
        <w:keepLines/>
      </w:pPr>
      <w:r>
        <w:t xml:space="preserve">var baseShare = Math.Round(totalAmount / count, 2,</w:t>
      </w:r>
    </w:p>
    <w:p>
      <w:pPr>
        <w:pStyle w:val="Listing"/>
        <w:keepNext/>
        <w:keepLines/>
      </w:pPr>
      <w:r>
        <w:t xml:space="preserve">    MidpointRounding.ToEven);</w:t>
      </w:r>
    </w:p>
    <w:p>
      <w:pPr>
        <w:pStyle w:val="Listing"/>
        <w:keepNext/>
        <w:keepLines/>
      </w:pPr>
      <w:r>
        <w:t xml:space="preserve"/>
      </w:r>
    </w:p>
    <w:p>
      <w:pPr>
        <w:pStyle w:val="Listing"/>
        <w:keepNext/>
        <w:keepLines/>
      </w:pPr>
      <w:r>
        <w:t xml:space="preserve">var splits = participants</w:t>
      </w:r>
    </w:p>
    <w:p>
      <w:pPr>
        <w:pStyle w:val="Listing"/>
        <w:keepNext/>
        <w:keepLines/>
      </w:pPr>
      <w:r>
        <w:t xml:space="preserve">    .Select(p =&gt; new ExpenseSplit</w:t>
      </w:r>
    </w:p>
    <w:p>
      <w:pPr>
        <w:pStyle w:val="Listing"/>
        <w:keepNext/>
        <w:keepLines/>
      </w:pPr>
      <w:r>
        <w:t xml:space="preserve">        { UserId = p.UserId, Amount = baseShare })</w:t>
      </w:r>
    </w:p>
    <w:p>
      <w:pPr>
        <w:pStyle w:val="Listing"/>
        <w:keepNext/>
        <w:keepLines/>
      </w:pPr>
      <w:r>
        <w:t xml:space="preserve">    .ToList();</w:t>
      </w:r>
    </w:p>
    <w:p>
      <w:pPr>
        <w:pStyle w:val="Listing"/>
        <w:keepNext/>
        <w:keepLines/>
      </w:pPr>
      <w:r>
        <w:t xml:space="preserve"/>
      </w:r>
    </w:p>
    <w:p>
      <w:pPr>
        <w:pStyle w:val="Listing"/>
        <w:keepNext/>
        <w:keepLines/>
      </w:pPr>
      <w:r>
        <w:t xml:space="preserve">// The remainder caused by rounding (e.g. 10 / 3 = 3.33...)</w:t>
      </w:r>
    </w:p>
    <w:p>
      <w:pPr>
        <w:pStyle w:val="Listing"/>
        <w:keepNext/>
        <w:keepLines/>
      </w:pPr>
      <w:r>
        <w:t xml:space="preserve">// is assigned to the last participant</w:t>
      </w:r>
    </w:p>
    <w:p>
      <w:pPr>
        <w:pStyle w:val="Listing"/>
        <w:keepNext/>
        <w:keepLines/>
      </w:pPr>
      <w:r>
        <w:t xml:space="preserve">var remainder = totalAmount - baseShare * count;</w:t>
      </w:r>
    </w:p>
    <w:p>
      <w:pPr>
        <w:pStyle w:val="Listing"/>
        <w:keepNext/>
        <w:keepLines/>
      </w:pPr>
      <w:r>
        <w:t xml:space="preserve">if (remainder != 0)</w:t>
      </w:r>
    </w:p>
    <w:p>
      <w:pPr>
        <w:pStyle w:val="Listing"/>
        <w:keepNext/>
        <w:keepLines/>
      </w:pPr>
      <w:r>
        <w:t xml:space="preserve">    splits[^1].Amount += remainder;</w:t>
      </w:r>
    </w:p>
    <w:p>
      <w:pPr>
        <w:pStyle w:val="Caption"/>
      </w:pPr>
      <w:r>
        <w:t xml:space="preserve">Листинг </w:t>
      </w:r>
      <w:bookmarkStart w:id="5018" w:name="_Ref_lst_split"/>
      <w:r>
        <w:fldChar w:fldCharType="begin"/>
      </w:r>
      <w:r>
        <w:instrText xml:space="preserve"> SEQ Листинг \* ARABIC </w:instrText>
      </w:r>
      <w:r>
        <w:fldChar w:fldCharType="separate"/>
      </w:r>
      <w:r>
        <w:rPr>
          <w:noProof/>
        </w:rPr>
        <w:t xml:space="preserve">3</w:t>
      </w:r>
      <w:r>
        <w:fldChar w:fldCharType="end"/>
      </w:r>
      <w:bookmarkEnd w:id="5018"/>
      <w:r>
        <w:t xml:space="preserve">: Једнака подјела трошка (ExpenseSplitCalculator).</w:t>
      </w:r>
    </w:p>
    <w:p>
      <w:r>
        <w:t xml:space="preserve">Трошак у валути различитој од валуте групе претвара се по курсу на дан уноса, а оригинални износ, валута, курс и датум курса памте се уз трошак. Тачни износи унесени у страној валути претварају се један по један, а разлика од заокруживања поново се додјељује посљедњем учеснику. При измјени трошка задржава се стари курс ако се валута и износ нису промијенили.</w:t>
      </w:r>
    </w:p>
    <w:p>
      <w:r>
        <w:t xml:space="preserve">Трошак, удјели и брисање застарјелих приједлога поравнања снимају се у једној трансакцији. Трошак може мијењати или брисати члан који га је платио или власник групе; трошак у коме учествује бивши члан је закључан, јер би његова измјена дала салдо некоме ко више не може да га измири. Учесници добијају обавјештење о новом трошку само у апликацији, да прометна група не би затрпала њихово сандуче е-поште. Страница групе и дијалог за унос групног трошка приказани су на сликама </w:t>
      </w:r>
      <w:r>
        <w:fldChar w:fldCharType="begin"/>
      </w:r>
      <w:r>
        <w:instrText xml:space="preserve"> REF _Ref_fig_s_group \h </w:instrText>
      </w:r>
      <w:r>
        <w:fldChar w:fldCharType="separate"/>
      </w:r>
      <w:r>
        <w:rPr>
          <w:noProof/>
        </w:rPr>
        <w:t xml:space="preserve">10</w:t>
      </w:r>
      <w:r>
        <w:fldChar w:fldCharType="end"/>
      </w:r>
      <w:r>
        <w:t xml:space="preserve"> и </w:t>
      </w:r>
      <w:r>
        <w:fldChar w:fldCharType="begin"/>
      </w:r>
      <w:r>
        <w:instrText xml:space="preserve"> REF _Ref_fig_s_group_expense \h </w:instrText>
      </w:r>
      <w:r>
        <w:fldChar w:fldCharType="separate"/>
      </w:r>
      <w:r>
        <w:rPr>
          <w:noProof/>
        </w:rPr>
        <w:t xml:space="preserve">11</w:t>
      </w:r>
      <w:r>
        <w:fldChar w:fldCharType="end"/>
      </w:r>
      <w:r>
        <w:t xml:space="preserve">.</w:t>
      </w:r>
    </w:p>
    <w:p>
      <w:pPr>
        <w:pStyle w:val="Slika"/>
      </w:pPr>
      <w:r>
        <w:rPr>
          <w:i/>
          <w:color w:val="808080"/>
        </w:rPr>
        <w:t xml:space="preserve">[ снимак екрана: Страница групе: салда чланова и листа трошкова. ]</w:t>
      </w:r>
    </w:p>
    <w:p>
      <w:pPr>
        <w:pStyle w:val="Caption"/>
      </w:pPr>
      <w:r>
        <w:t xml:space="preserve">Слика </w:t>
      </w:r>
      <w:bookmarkStart w:id="5019" w:name="_Ref_fig_s_group"/>
      <w:r>
        <w:fldChar w:fldCharType="begin"/>
      </w:r>
      <w:r>
        <w:instrText xml:space="preserve"> SEQ Слика \* ARABIC </w:instrText>
      </w:r>
      <w:r>
        <w:fldChar w:fldCharType="separate"/>
      </w:r>
      <w:r>
        <w:rPr>
          <w:noProof/>
        </w:rPr>
        <w:t xml:space="preserve">10</w:t>
      </w:r>
      <w:r>
        <w:fldChar w:fldCharType="end"/>
      </w:r>
      <w:bookmarkEnd w:id="5019"/>
      <w:r>
        <w:t xml:space="preserve">: Страница групе: салда чланова и листа трошкова.</w:t>
      </w:r>
    </w:p>
    <w:p>
      <w:pPr>
        <w:pStyle w:val="Slika"/>
      </w:pPr>
      <w:r>
        <w:rPr>
          <w:i/>
          <w:color w:val="808080"/>
        </w:rPr>
        <w:t xml:space="preserve">[ снимак екрана: Унос групног трошка у страној валути, уз подјелу тачним износима. ]</w:t>
      </w:r>
    </w:p>
    <w:p>
      <w:pPr>
        <w:pStyle w:val="Caption"/>
      </w:pPr>
      <w:r>
        <w:t xml:space="preserve">Слика </w:t>
      </w:r>
      <w:bookmarkStart w:id="5020" w:name="_Ref_fig_s_group_expense"/>
      <w:r>
        <w:fldChar w:fldCharType="begin"/>
      </w:r>
      <w:r>
        <w:instrText xml:space="preserve"> SEQ Слика \* ARABIC </w:instrText>
      </w:r>
      <w:r>
        <w:fldChar w:fldCharType="separate"/>
      </w:r>
      <w:r>
        <w:rPr>
          <w:noProof/>
        </w:rPr>
        <w:t xml:space="preserve">11</w:t>
      </w:r>
      <w:r>
        <w:fldChar w:fldCharType="end"/>
      </w:r>
      <w:bookmarkEnd w:id="5020"/>
      <w:r>
        <w:t xml:space="preserve">: Унос групног трошка у страној валути, уз подјелу тачним износима.</w:t>
      </w:r>
    </w:p>
    <w:p>
      <w:pPr>
        <w:pStyle w:val="Heading2"/>
      </w:pPr>
      <w:r>
        <w:t xml:space="preserve">Поједностављивање дугова</w:t>
      </w:r>
    </w:p>
    <w:p>
      <w:r>
        <w:t xml:space="preserve">Салда чланова рачуна доменски сервис </w:t>
      </w:r>
      <w:r>
        <w:rPr>
          <w:rStyle w:val="Kod"/>
        </w:rPr>
        <w:t xml:space="preserve">GroupBalanceCalculator</w:t>
      </w:r>
      <w:r>
        <w:t xml:space="preserve">: сваки трошак повећава салдо платиоца за износ трошка и смањује салда учесника за њихове удјеле, а свако измирено поравнање повећава салдо дужника и смањује салдо повјериоца. Салдо мањи од једног цента по апсолутној вриједности сматра се измиреним.</w:t>
      </w:r>
    </w:p>
    <w:p>
      <w:r>
        <w:t xml:space="preserve">Похлепни алгоритам (класа </w:t>
      </w:r>
      <w:r>
        <w:rPr>
          <w:rStyle w:val="Kod"/>
        </w:rPr>
        <w:t xml:space="preserve">DebtSimplifier</w:t>
      </w:r>
      <w:r>
        <w:t xml:space="preserve">) дужнике и повјериоце сортира опадајуће по износу и пролази кроз обје листе истовремено (листинг </w:t>
      </w:r>
      <w:r>
        <w:fldChar w:fldCharType="begin"/>
      </w:r>
      <w:r>
        <w:instrText xml:space="preserve"> REF _Ref_lst_greedy \h </w:instrText>
      </w:r>
      <w:r>
        <w:fldChar w:fldCharType="separate"/>
      </w:r>
      <w:r>
        <w:rPr>
          <w:noProof/>
        </w:rPr>
        <w:t xml:space="preserve">4</w:t>
      </w:r>
      <w:r>
        <w:fldChar w:fldCharType="end"/>
      </w:r>
      <w:r>
        <w:t xml:space="preserve">). У сваком кораку највећи преостали дужник плаћа највећем преосталом повјериоцу мањи од два износа, па бар један од њих излази из даљег разматрања. Сложеност је O(n log n), због сортирања.</w:t>
      </w:r>
    </w:p>
    <w:p>
      <w:pPr>
        <w:pStyle w:val="Listing"/>
        <w:keepNext/>
        <w:keepLines/>
      </w:pPr>
      <w:r>
        <w:t xml:space="preserve">while (i &lt; debtors.Count &amp;&amp; j &lt; creditors.Count)</w:t>
      </w:r>
    </w:p>
    <w:p>
      <w:pPr>
        <w:pStyle w:val="Listing"/>
        <w:keepNext/>
        <w:keepLines/>
      </w:pPr>
      <w:r>
        <w:t xml:space="preserve">{</w:t>
      </w:r>
    </w:p>
    <w:p>
      <w:pPr>
        <w:pStyle w:val="Listing"/>
        <w:keepNext/>
        <w:keepLines/>
      </w:pPr>
      <w:r>
        <w:t xml:space="preserve">    var (debtorId, debtAmount) = debtors[i];</w:t>
      </w:r>
    </w:p>
    <w:p>
      <w:pPr>
        <w:pStyle w:val="Listing"/>
        <w:keepNext/>
        <w:keepLines/>
      </w:pPr>
      <w:r>
        <w:t xml:space="preserve">    var (creditorId, creditAmount) = creditors[j];</w:t>
      </w:r>
    </w:p>
    <w:p>
      <w:pPr>
        <w:pStyle w:val="Listing"/>
        <w:keepNext/>
        <w:keepLines/>
      </w:pPr>
      <w:r>
        <w:t xml:space="preserve"/>
      </w:r>
    </w:p>
    <w:p>
      <w:pPr>
        <w:pStyle w:val="Listing"/>
        <w:keepNext/>
        <w:keepLines/>
      </w:pPr>
      <w:r>
        <w:t xml:space="preserve">    var settled = Math.Min(debtAmount, creditAmount);</w:t>
      </w:r>
    </w:p>
    <w:p>
      <w:pPr>
        <w:pStyle w:val="Listing"/>
        <w:keepNext/>
        <w:keepLines/>
      </w:pPr>
      <w:r>
        <w:t xml:space="preserve">    result.Add(new SettlementSuggestion(</w:t>
      </w:r>
    </w:p>
    <w:p>
      <w:pPr>
        <w:pStyle w:val="Listing"/>
        <w:keepNext/>
        <w:keepLines/>
      </w:pPr>
      <w:r>
        <w:t xml:space="preserve">        debtorId, creditorId, Math.Round(settled, 2)));</w:t>
      </w:r>
    </w:p>
    <w:p>
      <w:pPr>
        <w:pStyle w:val="Listing"/>
        <w:keepNext/>
        <w:keepLines/>
      </w:pPr>
      <w:r>
        <w:t xml:space="preserve"/>
      </w:r>
    </w:p>
    <w:p>
      <w:pPr>
        <w:pStyle w:val="Listing"/>
        <w:keepNext/>
        <w:keepLines/>
      </w:pPr>
      <w:r>
        <w:t xml:space="preserve">    debtAmount -= settled;</w:t>
      </w:r>
    </w:p>
    <w:p>
      <w:pPr>
        <w:pStyle w:val="Listing"/>
        <w:keepNext/>
        <w:keepLines/>
      </w:pPr>
      <w:r>
        <w:t xml:space="preserve">    creditAmount -= settled;</w:t>
      </w:r>
    </w:p>
    <w:p>
      <w:pPr>
        <w:pStyle w:val="Listing"/>
        <w:keepNext/>
        <w:keepLines/>
      </w:pPr>
      <w:r>
        <w:t xml:space="preserve">    debtors[i] = (debtorId, debtAmount);</w:t>
      </w:r>
    </w:p>
    <w:p>
      <w:pPr>
        <w:pStyle w:val="Listing"/>
        <w:keepNext/>
        <w:keepLines/>
      </w:pPr>
      <w:r>
        <w:t xml:space="preserve">    creditors[j] = (creditorId, creditAmount);</w:t>
      </w:r>
    </w:p>
    <w:p>
      <w:pPr>
        <w:pStyle w:val="Listing"/>
        <w:keepNext/>
        <w:keepLines/>
      </w:pPr>
      <w:r>
        <w:t xml:space="preserve"/>
      </w:r>
    </w:p>
    <w:p>
      <w:pPr>
        <w:pStyle w:val="Listing"/>
        <w:keepNext/>
        <w:keepLines/>
      </w:pPr>
      <w:r>
        <w:t xml:space="preserve">    if (debtAmount &lt;= Tolerance) i++;</w:t>
      </w:r>
    </w:p>
    <w:p>
      <w:pPr>
        <w:pStyle w:val="Listing"/>
        <w:keepNext/>
        <w:keepLines/>
      </w:pPr>
      <w:r>
        <w:t xml:space="preserve">    if (creditAmount &lt;= Tolerance) j++;</w:t>
      </w:r>
    </w:p>
    <w:p>
      <w:pPr>
        <w:pStyle w:val="Listing"/>
        <w:keepNext/>
        <w:keepLines/>
      </w:pPr>
      <w:r>
        <w:t xml:space="preserve">}</w:t>
      </w:r>
    </w:p>
    <w:p>
      <w:pPr>
        <w:pStyle w:val="Caption"/>
      </w:pPr>
      <w:r>
        <w:t xml:space="preserve">Листинг </w:t>
      </w:r>
      <w:bookmarkStart w:id="5021" w:name="_Ref_lst_greedy"/>
      <w:r>
        <w:fldChar w:fldCharType="begin"/>
      </w:r>
      <w:r>
        <w:instrText xml:space="preserve"> SEQ Листинг \* ARABIC </w:instrText>
      </w:r>
      <w:r>
        <w:fldChar w:fldCharType="separate"/>
      </w:r>
      <w:r>
        <w:rPr>
          <w:noProof/>
        </w:rPr>
        <w:t xml:space="preserve">4</w:t>
      </w:r>
      <w:r>
        <w:fldChar w:fldCharType="end"/>
      </w:r>
      <w:bookmarkEnd w:id="5021"/>
      <w:r>
        <w:t xml:space="preserve">: Похлепни алгоритам поравнања (DebtSimplifier.SimplifyGreedy, главна петља).</w:t>
      </w:r>
    </w:p>
    <w:p>
      <w:r>
        <w:t xml:space="preserve">Тачан алгоритам износе најприје претвара у цијеле бројеве (центе), да заокруживање не би утицало на резултат, а затим рекурзивном претрагом са враћањем покушава да тренутног учесника упари са сваким сљедећим учесником супротног знака (листинг </w:t>
      </w:r>
      <w:r>
        <w:fldChar w:fldCharType="begin"/>
      </w:r>
      <w:r>
        <w:instrText xml:space="preserve"> REF _Ref_lst_exact \h </w:instrText>
      </w:r>
      <w:r>
        <w:fldChar w:fldCharType="separate"/>
      </w:r>
      <w:r>
        <w:rPr>
          <w:noProof/>
        </w:rPr>
        <w:t xml:space="preserve">5</w:t>
      </w:r>
      <w:r>
        <w:fldChar w:fldCharType="end"/>
      </w:r>
      <w:r>
        <w:t xml:space="preserve">). Преостали износ се преноси на упареног учесника, а грана се одсијеца чим број уплата достигне број уплата до тада најбољег рјешења. Пошто је сложеност у најгорем случају експоненцијална, тачан алгоритам се покреће само за групе са највише дванаест учесника са ненултим салдом; за већу групу захтјев се одбија разумљивом поруком, а постојећи приједлози остају непромијењени.</w:t>
      </w:r>
    </w:p>
    <w:p>
      <w:pPr>
        <w:pStyle w:val="Listing"/>
        <w:keepNext/>
        <w:keepLines/>
      </w:pPr>
      <w:r>
        <w:t xml:space="preserve">// Branch pruning: this branch cannot beat the best solution</w:t>
      </w:r>
    </w:p>
    <w:p>
      <w:pPr>
        <w:pStyle w:val="Listing"/>
        <w:keepNext/>
        <w:keepLines/>
      </w:pPr>
      <w:r>
        <w:t xml:space="preserve">if (best.Count &gt; 0 &amp;&amp; current.Count &gt;= best.Count)</w:t>
      </w:r>
    </w:p>
    <w:p>
      <w:pPr>
        <w:pStyle w:val="Listing"/>
        <w:keepNext/>
        <w:keepLines/>
      </w:pPr>
      <w:r>
        <w:t xml:space="preserve">    return;</w:t>
      </w:r>
    </w:p>
    <w:p>
      <w:pPr>
        <w:pStyle w:val="Listing"/>
        <w:keepNext/>
        <w:keepLines/>
      </w:pPr>
      <w:r>
        <w:t xml:space="preserve"/>
      </w:r>
    </w:p>
    <w:p>
      <w:pPr>
        <w:pStyle w:val="Listing"/>
        <w:keepNext/>
        <w:keepLines/>
      </w:pPr>
      <w:r>
        <w:t xml:space="preserve">for (var i = start + 1; i &lt; amounts.Length; i++)</w:t>
      </w:r>
    </w:p>
    <w:p>
      <w:pPr>
        <w:pStyle w:val="Listing"/>
        <w:keepNext/>
        <w:keepLines/>
      </w:pPr>
      <w:r>
        <w:t xml:space="preserve">{</w:t>
      </w:r>
    </w:p>
    <w:p>
      <w:pPr>
        <w:pStyle w:val="Listing"/>
        <w:keepNext/>
        <w:keepLines/>
      </w:pPr>
      <w:r>
        <w:t xml:space="preserve">    if (amounts[i] == 0) continue;</w:t>
      </w:r>
    </w:p>
    <w:p>
      <w:pPr>
        <w:pStyle w:val="Listing"/>
        <w:keepNext/>
        <w:keepLines/>
      </w:pPr>
      <w:r>
        <w:t xml:space="preserve">    // same sign - they cannot settle each other</w:t>
      </w:r>
    </w:p>
    <w:p>
      <w:pPr>
        <w:pStyle w:val="Listing"/>
        <w:keepNext/>
        <w:keepLines/>
      </w:pPr>
      <w:r>
        <w:t xml:space="preserve">    if ((amounts[start] &gt; 0) == (amounts[i] &gt; 0)) continue;</w:t>
      </w:r>
    </w:p>
    <w:p>
      <w:pPr>
        <w:pStyle w:val="Listing"/>
        <w:keepNext/>
        <w:keepLines/>
      </w:pPr>
      <w:r>
        <w:t xml:space="preserve"/>
      </w:r>
    </w:p>
    <w:p>
      <w:pPr>
        <w:pStyle w:val="Listing"/>
        <w:keepNext/>
        <w:keepLines/>
      </w:pPr>
      <w:r>
        <w:t xml:space="preserve">    var amount = Math.Abs(amounts[start]);</w:t>
      </w:r>
    </w:p>
    <w:p>
      <w:pPr>
        <w:pStyle w:val="Listing"/>
        <w:keepNext/>
        <w:keepLines/>
      </w:pPr>
      <w:r>
        <w:t xml:space="preserve">    var debtorIndex = amounts[start] &lt; 0 ? start : i;</w:t>
      </w:r>
    </w:p>
    <w:p>
      <w:pPr>
        <w:pStyle w:val="Listing"/>
        <w:keepNext/>
        <w:keepLines/>
      </w:pPr>
      <w:r>
        <w:t xml:space="preserve">    var creditorIndex = amounts[start] &lt; 0 ? i : start;</w:t>
      </w:r>
    </w:p>
    <w:p>
      <w:pPr>
        <w:pStyle w:val="Listing"/>
        <w:keepNext/>
        <w:keepLines/>
      </w:pPr>
      <w:r>
        <w:t xml:space="preserve"/>
      </w:r>
    </w:p>
    <w:p>
      <w:pPr>
        <w:pStyle w:val="Listing"/>
        <w:keepNext/>
        <w:keepLines/>
      </w:pPr>
      <w:r>
        <w:t xml:space="preserve">    amounts[i] += amounts[start];</w:t>
      </w:r>
    </w:p>
    <w:p>
      <w:pPr>
        <w:pStyle w:val="Listing"/>
        <w:keepNext/>
        <w:keepLines/>
      </w:pPr>
      <w:r>
        <w:t xml:space="preserve">    current.Add(new SettlementSuggestion(</w:t>
      </w:r>
    </w:p>
    <w:p>
      <w:pPr>
        <w:pStyle w:val="Listing"/>
        <w:keepNext/>
        <w:keepLines/>
      </w:pPr>
      <w:r>
        <w:t xml:space="preserve">        ids[debtorIndex], ids[creditorIndex], amount / 100m));</w:t>
      </w:r>
    </w:p>
    <w:p>
      <w:pPr>
        <w:pStyle w:val="Listing"/>
        <w:keepNext/>
        <w:keepLines/>
      </w:pPr>
      <w:r>
        <w:t xml:space="preserve"/>
      </w:r>
    </w:p>
    <w:p>
      <w:pPr>
        <w:pStyle w:val="Listing"/>
        <w:keepNext/>
        <w:keepLines/>
      </w:pPr>
      <w:r>
        <w:t xml:space="preserve">    Backtrack(amounts, ids, start + 1, current, best);</w:t>
      </w:r>
    </w:p>
    <w:p>
      <w:pPr>
        <w:pStyle w:val="Listing"/>
        <w:keepNext/>
        <w:keepLines/>
      </w:pPr>
      <w:r>
        <w:t xml:space="preserve"/>
      </w:r>
    </w:p>
    <w:p>
      <w:pPr>
        <w:pStyle w:val="Listing"/>
        <w:keepNext/>
        <w:keepLines/>
      </w:pPr>
      <w:r>
        <w:t xml:space="preserve">    current.RemoveAt(current.Count - 1);</w:t>
      </w:r>
    </w:p>
    <w:p>
      <w:pPr>
        <w:pStyle w:val="Listing"/>
        <w:keepNext/>
        <w:keepLines/>
      </w:pPr>
      <w:r>
        <w:t xml:space="preserve">    amounts[i] -= amounts[start];</w:t>
      </w:r>
    </w:p>
    <w:p>
      <w:pPr>
        <w:pStyle w:val="Listing"/>
        <w:keepNext/>
        <w:keepLines/>
      </w:pPr>
      <w:r>
        <w:t xml:space="preserve">}</w:t>
      </w:r>
    </w:p>
    <w:p>
      <w:pPr>
        <w:pStyle w:val="Caption"/>
      </w:pPr>
      <w:r>
        <w:t xml:space="preserve">Листинг </w:t>
      </w:r>
      <w:bookmarkStart w:id="5022" w:name="_Ref_lst_exact"/>
      <w:r>
        <w:fldChar w:fldCharType="begin"/>
      </w:r>
      <w:r>
        <w:instrText xml:space="preserve"> SEQ Листинг \* ARABIC </w:instrText>
      </w:r>
      <w:r>
        <w:fldChar w:fldCharType="separate"/>
      </w:r>
      <w:r>
        <w:rPr>
          <w:noProof/>
        </w:rPr>
        <w:t xml:space="preserve">5</w:t>
      </w:r>
      <w:r>
        <w:fldChar w:fldCharType="end"/>
      </w:r>
      <w:bookmarkEnd w:id="5022"/>
      <w:r>
        <w:t xml:space="preserve">: Претрага са враћањем у тачном алгоритму (DebtSimplifier.Backtrack, скраћено).</w:t>
      </w:r>
    </w:p>
    <w:p>
      <w:r>
        <w:t xml:space="preserve">Нови приједлози замјењују старе у једној трансакцији, а дужник и повјерилац добијају обавјештење. Ако је неко од старих приједлога у међувремену измирен, верзија реда се више не поклапа и цијела операција се одбија, умјесто да се обрише управо плаћено поравнање. Повјерилац може дужнику послати подсјетник највише једном у 24 сата, а поравнање као измирено може означити дужник или повјерилац.</w:t>
      </w:r>
    </w:p>
    <w:p>
      <w:pPr>
        <w:pStyle w:val="Heading2"/>
      </w:pPr>
      <w:r>
        <w:t xml:space="preserve">Поравнање путем QR кода и симулатор плаћања</w:t>
      </w:r>
    </w:p>
    <w:p>
      <w:r>
        <w:t xml:space="preserve">Генерисање и парсирање садржаја QR кода издвојени су у доменску класу </w:t>
      </w:r>
      <w:r>
        <w:rPr>
          <w:rStyle w:val="Kod"/>
        </w:rPr>
        <w:t xml:space="preserve">IpsQrCodec</w:t>
      </w:r>
      <w:r>
        <w:t xml:space="preserve"> (листинг </w:t>
      </w:r>
      <w:r>
        <w:fldChar w:fldCharType="begin"/>
      </w:r>
      <w:r>
        <w:instrText xml:space="preserve"> REF _Ref_lst_qr \h </w:instrText>
      </w:r>
      <w:r>
        <w:fldChar w:fldCharType="separate"/>
      </w:r>
      <w:r>
        <w:rPr>
          <w:noProof/>
        </w:rPr>
        <w:t xml:space="preserve">6</w:t>
      </w:r>
      <w:r>
        <w:fldChar w:fldCharType="end"/>
      </w:r>
      <w:r>
        <w:t xml:space="preserve">). Подаци за уплату узимају се из приједлога поравнања и профила повјериоца: QR код се може генерисати тек када повјерилац унесе број рачуна. Слику кода прави библиотека QRCoder, а скенирање се обавља у прегледачу, библиотеком jsQR, камером или из учитане слике, тако да се слика не шаље на сервер. Скенирани текст се провјерава на серверу, а ако позив на број садржи идентификатор поравнања у коме корисник учествује, апликација нуди да се то поравнање означи као измирено. QR код поравнања приказан је на слици </w:t>
      </w:r>
      <w:r>
        <w:fldChar w:fldCharType="begin"/>
      </w:r>
      <w:r>
        <w:instrText xml:space="preserve"> REF _Ref_fig_s_qr \h </w:instrText>
      </w:r>
      <w:r>
        <w:fldChar w:fldCharType="separate"/>
      </w:r>
      <w:r>
        <w:rPr>
          <w:noProof/>
        </w:rPr>
        <w:t xml:space="preserve">12</w:t>
      </w:r>
      <w:r>
        <w:fldChar w:fldCharType="end"/>
      </w:r>
      <w:r>
        <w:t xml:space="preserve">.</w:t>
      </w:r>
    </w:p>
    <w:p>
      <w:pPr>
        <w:pStyle w:val="Listing"/>
        <w:keepNext/>
        <w:keepLines/>
      </w:pPr>
      <w:r>
        <w:t xml:space="preserve">var parts = new List&lt;string&gt;</w:t>
      </w:r>
    </w:p>
    <w:p>
      <w:pPr>
        <w:pStyle w:val="Listing"/>
        <w:keepNext/>
        <w:keepLines/>
      </w:pPr>
      <w:r>
        <w:t xml:space="preserve">{</w:t>
      </w:r>
    </w:p>
    <w:p>
      <w:pPr>
        <w:pStyle w:val="Listing"/>
        <w:keepNext/>
        <w:keepLines/>
      </w:pPr>
      <w:r>
        <w:t xml:space="preserve">    "K:PR",</w:t>
      </w:r>
    </w:p>
    <w:p>
      <w:pPr>
        <w:pStyle w:val="Listing"/>
        <w:keepNext/>
        <w:keepLines/>
      </w:pPr>
      <w:r>
        <w:t xml:space="preserve">    "V:01",</w:t>
      </w:r>
    </w:p>
    <w:p>
      <w:pPr>
        <w:pStyle w:val="Listing"/>
        <w:keepNext/>
        <w:keepLines/>
      </w:pPr>
      <w:r>
        <w:t xml:space="preserve">    "C:1",</w:t>
      </w:r>
    </w:p>
    <w:p>
      <w:pPr>
        <w:pStyle w:val="Listing"/>
        <w:keepNext/>
        <w:keepLines/>
      </w:pPr>
      <w:r>
        <w:t xml:space="preserve">    $"R:{NormalizeAccount(payload.RecipientAccount)}",</w:t>
      </w:r>
    </w:p>
    <w:p>
      <w:pPr>
        <w:pStyle w:val="Listing"/>
        <w:keepNext/>
        <w:keepLines/>
      </w:pPr>
      <w:r>
        <w:t xml:space="preserve">    $"N:{Clean(payload.RecipientName, MaxNameLength)}",</w:t>
      </w:r>
    </w:p>
    <w:p>
      <w:pPr>
        <w:pStyle w:val="Listing"/>
        <w:keepNext/>
        <w:keepLines/>
      </w:pPr>
      <w:r>
        <w:t xml:space="preserve">    $"I:{payload.Currency.ToUpperInvariant()}" +</w:t>
      </w:r>
    </w:p>
    <w:p>
      <w:pPr>
        <w:pStyle w:val="Listing"/>
        <w:keepNext/>
        <w:keepLines/>
      </w:pPr>
      <w:r>
        <w:t xml:space="preserve">        $"{FormatAmount(payload.Amount)}"</w:t>
      </w:r>
    </w:p>
    <w:p>
      <w:pPr>
        <w:pStyle w:val="Listing"/>
        <w:keepNext/>
        <w:keepLines/>
      </w:pPr>
      <w:r>
        <w:t xml:space="preserve">};</w:t>
      </w:r>
    </w:p>
    <w:p>
      <w:pPr>
        <w:pStyle w:val="Listing"/>
        <w:keepNext/>
        <w:keepLines/>
      </w:pPr>
      <w:r>
        <w:t xml:space="preserve">if (!string.IsNullOrWhiteSpace(payload.PaymentCode))</w:t>
      </w:r>
    </w:p>
    <w:p>
      <w:pPr>
        <w:pStyle w:val="Listing"/>
        <w:keepNext/>
        <w:keepLines/>
      </w:pPr>
      <w:r>
        <w:t xml:space="preserve">    parts.Add($"SF:{payload.PaymentCode}");</w:t>
      </w:r>
    </w:p>
    <w:p>
      <w:pPr>
        <w:pStyle w:val="Listing"/>
        <w:keepNext/>
        <w:keepLines/>
      </w:pPr>
      <w:r>
        <w:t xml:space="preserve">if (!string.IsNullOrWhiteSpace(payload.Purpose))</w:t>
      </w:r>
    </w:p>
    <w:p>
      <w:pPr>
        <w:pStyle w:val="Listing"/>
        <w:keepNext/>
        <w:keepLines/>
      </w:pPr>
      <w:r>
        <w:t xml:space="preserve">    parts.Add($"S:{Clean(payload.Purpose, MaxPurposeLength)}");</w:t>
      </w:r>
    </w:p>
    <w:p>
      <w:pPr>
        <w:pStyle w:val="Listing"/>
        <w:keepNext/>
        <w:keepLines/>
      </w:pPr>
      <w:r>
        <w:t xml:space="preserve">if (!string.IsNullOrWhiteSpace(payload.Reference))</w:t>
      </w:r>
    </w:p>
    <w:p>
      <w:pPr>
        <w:pStyle w:val="Listing"/>
        <w:keepNext/>
        <w:keepLines/>
      </w:pPr>
      <w:r>
        <w:t xml:space="preserve">    parts.Add($"RO:{Clean(payload.Reference,</w:t>
      </w:r>
    </w:p>
    <w:p>
      <w:pPr>
        <w:pStyle w:val="Listing"/>
        <w:keepNext/>
        <w:keepLines/>
      </w:pPr>
      <w:r>
        <w:t xml:space="preserve">        MaxReferenceLength)}");</w:t>
      </w:r>
    </w:p>
    <w:p>
      <w:pPr>
        <w:pStyle w:val="Listing"/>
        <w:keepNext/>
        <w:keepLines/>
      </w:pPr>
      <w:r>
        <w:t xml:space="preserve"/>
      </w:r>
    </w:p>
    <w:p>
      <w:pPr>
        <w:pStyle w:val="Listing"/>
        <w:keepNext/>
        <w:keepLines/>
      </w:pPr>
      <w:r>
        <w:t xml:space="preserve">return string.Join("|", parts);</w:t>
      </w:r>
    </w:p>
    <w:p>
      <w:pPr>
        <w:pStyle w:val="Caption"/>
      </w:pPr>
      <w:r>
        <w:t xml:space="preserve">Листинг </w:t>
      </w:r>
      <w:bookmarkStart w:id="5023" w:name="_Ref_lst_qr"/>
      <w:r>
        <w:fldChar w:fldCharType="begin"/>
      </w:r>
      <w:r>
        <w:instrText xml:space="preserve"> SEQ Листинг \* ARABIC </w:instrText>
      </w:r>
      <w:r>
        <w:fldChar w:fldCharType="separate"/>
      </w:r>
      <w:r>
        <w:rPr>
          <w:noProof/>
        </w:rPr>
        <w:t xml:space="preserve">6</w:t>
      </w:r>
      <w:r>
        <w:fldChar w:fldCharType="end"/>
      </w:r>
      <w:bookmarkEnd w:id="5023"/>
      <w:r>
        <w:t xml:space="preserve">: Састављање садржаја QR кода (IpsQrCodec.Build).</w:t>
      </w:r>
    </w:p>
    <w:p>
      <w:pPr>
        <w:pStyle w:val="Slika"/>
      </w:pPr>
      <w:r>
        <w:rPr>
          <w:i/>
          <w:color w:val="808080"/>
        </w:rPr>
        <w:t xml:space="preserve">[ снимак екрана: Приједлози поравнања и QR код за уплату. ]</w:t>
      </w:r>
    </w:p>
    <w:p>
      <w:pPr>
        <w:pStyle w:val="Caption"/>
      </w:pPr>
      <w:r>
        <w:t xml:space="preserve">Слика </w:t>
      </w:r>
      <w:bookmarkStart w:id="5024" w:name="_Ref_fig_s_qr"/>
      <w:r>
        <w:fldChar w:fldCharType="begin"/>
      </w:r>
      <w:r>
        <w:instrText xml:space="preserve"> SEQ Слика \* ARABIC </w:instrText>
      </w:r>
      <w:r>
        <w:fldChar w:fldCharType="separate"/>
      </w:r>
      <w:r>
        <w:rPr>
          <w:noProof/>
        </w:rPr>
        <w:t xml:space="preserve">12</w:t>
      </w:r>
      <w:r>
        <w:fldChar w:fldCharType="end"/>
      </w:r>
      <w:bookmarkEnd w:id="5024"/>
      <w:r>
        <w:t xml:space="preserve">: Приједлози поравнања и QR код за уплату.</w:t>
      </w:r>
    </w:p>
    <w:p>
      <w:r>
        <w:t xml:space="preserve">Симулатор плаћања је засебна ASP.NET Core апликација са сопственом базом. Нуди крајње тачке за токенизацију картице (</w:t>
      </w:r>
      <w:r>
        <w:rPr>
          <w:rStyle w:val="Kod"/>
        </w:rPr>
        <w:t xml:space="preserve">POST /v1/tokens</w:t>
      </w:r>
      <w:r>
        <w:t xml:space="preserve">) и наплату (</w:t>
      </w:r>
      <w:r>
        <w:rPr>
          <w:rStyle w:val="Kod"/>
        </w:rPr>
        <w:t xml:space="preserve">POST /v1/charges</w:t>
      </w:r>
      <w:r>
        <w:t xml:space="preserve">), заштићене API кључем. При токенизацији провјерава контролну цифру по Луновом алгоритму и рок трајања, а из броја картице одређује бренд и исход будућих наплата: као код стварних пружалаца услуга, неколико познатих тест бројева даје одбијање, недовољна средства, истекле картице или грешку обраде, а остали исправни бројеви успјешну наплату. Број картице и сигурносни код никада се не чувају; пролазе кроз FairShare API само у меморији, на путу ка симулатору.</w:t>
      </w:r>
    </w:p>
    <w:p>
      <w:r>
        <w:t xml:space="preserve">Наплата је асинхрона. Позадински сервис симулатора сваке секунде завршава наплате које чекају дуже од подешеног времена обраде (подразумијевано три секунде) и шаље FairShare-у потписано обавјештење. Ако FairShare не одговори успјешно, слање се понавља са паузама које се удвостручују, од пет секунди до највише десет минута. Ток плаћања приказан је дијаграмом секвенце на слици </w:t>
      </w:r>
      <w:r>
        <w:fldChar w:fldCharType="begin"/>
      </w:r>
      <w:r>
        <w:instrText xml:space="preserve"> REF _Ref_fig_seq_pay \h </w:instrText>
      </w:r>
      <w:r>
        <w:fldChar w:fldCharType="separate"/>
      </w:r>
      <w:r>
        <w:rPr>
          <w:noProof/>
        </w:rPr>
        <w:t xml:space="preserve">13</w:t>
      </w:r>
      <w:r>
        <w:fldChar w:fldCharType="end"/>
      </w:r>
      <w:r>
        <w:t xml:space="preserve">.</w:t>
      </w:r>
    </w:p>
    <w:p xmlns:a="http://schemas.openxmlformats.org/drawingml/2006/main" xmlns:pic="http://schemas.openxmlformats.org/drawingml/2006/picture">
      <w:pPr>
        <w:pStyle w:val="Slika"/>
      </w:pPr>
      <w:r>
        <w:drawing>
          <wp:inline distT="0" distB="0" distL="0" distR="0">
            <wp:extent cx="4314761" cy="3466910"/>
            <wp:effectExtent l="0" t="0" r="0" b="0"/>
            <wp:docPr id="3007" name="Слика 3007"/>
            <wp:cNvGraphicFramePr>
              <a:graphicFrameLocks noChangeAspect="1"/>
            </wp:cNvGraphicFramePr>
            <a:graphic>
              <a:graphicData uri="http://schemas.openxmlformats.org/drawingml/2006/picture">
                <pic:pic>
                  <pic:nvPicPr>
                    <pic:cNvPr id="3007" name="fig7.png"/>
                    <pic:cNvPicPr/>
                  </pic:nvPicPr>
                  <pic:blipFill>
                    <a:blip r:embed="rIdFig7"/>
                    <a:stretch>
                      <a:fillRect/>
                    </a:stretch>
                  </pic:blipFill>
                  <pic:spPr>
                    <a:xfrm>
                      <a:off x="0" y="0"/>
                      <a:ext cx="4314761" cy="3466910"/>
                    </a:xfrm>
                    <a:prstGeom prst="rect">
                      <a:avLst/>
                    </a:prstGeom>
                  </pic:spPr>
                </pic:pic>
              </a:graphicData>
            </a:graphic>
          </wp:inline>
        </w:drawing>
      </w:r>
    </w:p>
    <w:p>
      <w:pPr>
        <w:pStyle w:val="Caption"/>
      </w:pPr>
      <w:r>
        <w:t xml:space="preserve">Слика </w:t>
      </w:r>
      <w:bookmarkStart w:id="5025" w:name="_Ref_fig_seq_pay"/>
      <w:r>
        <w:fldChar w:fldCharType="begin"/>
      </w:r>
      <w:r>
        <w:instrText xml:space="preserve"> SEQ Слика \* ARABIC </w:instrText>
      </w:r>
      <w:r>
        <w:fldChar w:fldCharType="separate"/>
      </w:r>
      <w:r>
        <w:rPr>
          <w:noProof/>
        </w:rPr>
        <w:t xml:space="preserve">13</w:t>
      </w:r>
      <w:r>
        <w:fldChar w:fldCharType="end"/>
      </w:r>
      <w:bookmarkEnd w:id="5025"/>
      <w:r>
        <w:t xml:space="preserve">: Плаћање поравнања картицом.</w:t>
      </w:r>
    </w:p>
    <w:p>
      <w:r>
        <w:t xml:space="preserve">На страни FairShare-а плаћање се најприје снима у стању „на чекању“, па тек онда шаље симулатору, тако да је покушај видљив и ако се сервер заустави током позива. Поновљени захтјев са истим кључем идемпотентности враћа већ постојеће плаћање, без нове наплате, а свако поравнање има највише један ред плаћања, који се при новом покушају поново користи. Обавјештење симулатора прихвата се само са исправним потписом и временском ознаком не старијом од пет минута (листинг </w:t>
      </w:r>
      <w:r>
        <w:fldChar w:fldCharType="begin"/>
      </w:r>
      <w:r>
        <w:instrText xml:space="preserve"> REF _Ref_lst_webhook \h </w:instrText>
      </w:r>
      <w:r>
        <w:fldChar w:fldCharType="separate"/>
      </w:r>
      <w:r>
        <w:rPr>
          <w:noProof/>
        </w:rPr>
        <w:t xml:space="preserve">7</w:t>
      </w:r>
      <w:r>
        <w:fldChar w:fldCharType="end"/>
      </w:r>
      <w:r>
        <w:t xml:space="preserve">). Идентификатор сваког обрађеног обавјештења биљежи се уз јединствени индекс, а плаћање и поравнање ажурирају се у истој трансакцији, уз провјеру верзије реда, па ни поновљено ни истовремено обавјештење не може двапут измирити исто поравнање. Ако обавјештење не стигне у року од десет секунди, провјера стања плаћања пита симулатор директно. Дијалог за плаћање приказан је на слици </w:t>
      </w:r>
      <w:r>
        <w:fldChar w:fldCharType="begin"/>
      </w:r>
      <w:r>
        <w:instrText xml:space="preserve"> REF _Ref_fig_s_pay \h </w:instrText>
      </w:r>
      <w:r>
        <w:fldChar w:fldCharType="separate"/>
      </w:r>
      <w:r>
        <w:rPr>
          <w:noProof/>
        </w:rPr>
        <w:t xml:space="preserve">14</w:t>
      </w:r>
      <w:r>
        <w:fldChar w:fldCharType="end"/>
      </w:r>
      <w:r>
        <w:t xml:space="preserve">.</w:t>
      </w:r>
    </w:p>
    <w:p>
      <w:pPr>
        <w:pStyle w:val="Listing"/>
        <w:keepNext/>
        <w:keepLines/>
      </w:pPr>
      <w:r>
        <w:t xml:space="preserve">// The timestamp is signed too: an old webhook is not accepted</w:t>
      </w:r>
    </w:p>
    <w:p>
      <w:pPr>
        <w:pStyle w:val="Listing"/>
        <w:keepNext/>
        <w:keepLines/>
      </w:pPr>
      <w:r>
        <w:t xml:space="preserve">if (Math.Abs(now.ToUnixTimeSeconds() - seconds)</w:t>
      </w:r>
    </w:p>
    <w:p>
      <w:pPr>
        <w:pStyle w:val="Listing"/>
        <w:keepNext/>
        <w:keepLines/>
      </w:pPr>
      <w:r>
        <w:t xml:space="preserve">        &gt; tolerance.TotalSeconds)</w:t>
      </w:r>
    </w:p>
    <w:p>
      <w:pPr>
        <w:pStyle w:val="Listing"/>
        <w:keepNext/>
        <w:keepLines/>
      </w:pPr>
      <w:r>
        <w:t xml:space="preserve">    return false;</w:t>
      </w:r>
    </w:p>
    <w:p>
      <w:pPr>
        <w:pStyle w:val="Listing"/>
        <w:keepNext/>
        <w:keepLines/>
      </w:pPr>
      <w:r>
        <w:t xml:space="preserve"/>
      </w:r>
    </w:p>
    <w:p>
      <w:pPr>
        <w:pStyle w:val="Listing"/>
        <w:keepNext/>
        <w:keepLines/>
      </w:pPr>
      <w:r>
        <w:t xml:space="preserve">var expected = HMACSHA256.HashData(</w:t>
      </w:r>
    </w:p>
    <w:p>
      <w:pPr>
        <w:pStyle w:val="Listing"/>
        <w:keepNext/>
        <w:keepLines/>
      </w:pPr>
      <w:r>
        <w:t xml:space="preserve">    Encoding.UTF8.GetBytes(secret),</w:t>
      </w:r>
    </w:p>
    <w:p>
      <w:pPr>
        <w:pStyle w:val="Listing"/>
        <w:keepNext/>
        <w:keepLines/>
      </w:pPr>
      <w:r>
        <w:t xml:space="preserve">    Encoding.UTF8.GetBytes($"{timestamp}.{body}"));</w:t>
      </w:r>
    </w:p>
    <w:p>
      <w:pPr>
        <w:pStyle w:val="Listing"/>
        <w:keepNext/>
        <w:keepLines/>
      </w:pPr>
      <w:r>
        <w:t xml:space="preserve">var expectedHex = Encoding.ASCII.GetBytes(</w:t>
      </w:r>
    </w:p>
    <w:p>
      <w:pPr>
        <w:pStyle w:val="Listing"/>
        <w:keepNext/>
        <w:keepLines/>
      </w:pPr>
      <w:r>
        <w:t xml:space="preserve">    Convert.ToHexString(expected).ToLowerInvariant());</w:t>
      </w:r>
    </w:p>
    <w:p>
      <w:pPr>
        <w:pStyle w:val="Listing"/>
        <w:keepNext/>
        <w:keepLines/>
      </w:pPr>
      <w:r>
        <w:t xml:space="preserve">var givenHex = Encoding.ASCII.GetBytes(</w:t>
      </w:r>
    </w:p>
    <w:p>
      <w:pPr>
        <w:pStyle w:val="Listing"/>
        <w:keepNext/>
        <w:keepLines/>
      </w:pPr>
      <w:r>
        <w:t xml:space="preserve">    signature.ToLowerInvariant());</w:t>
      </w:r>
    </w:p>
    <w:p>
      <w:pPr>
        <w:pStyle w:val="Listing"/>
        <w:keepNext/>
        <w:keepLines/>
      </w:pPr>
      <w:r>
        <w:t xml:space="preserve"/>
      </w:r>
    </w:p>
    <w:p>
      <w:pPr>
        <w:pStyle w:val="Listing"/>
        <w:keepNext/>
        <w:keepLines/>
      </w:pPr>
      <w:r>
        <w:t xml:space="preserve">// Constant-time comparison: the time taken does not reveal</w:t>
      </w:r>
    </w:p>
    <w:p>
      <w:pPr>
        <w:pStyle w:val="Listing"/>
        <w:keepNext/>
        <w:keepLines/>
      </w:pPr>
      <w:r>
        <w:t xml:space="preserve">// how much of the signature was right.</w:t>
      </w:r>
    </w:p>
    <w:p>
      <w:pPr>
        <w:pStyle w:val="Listing"/>
        <w:keepNext/>
        <w:keepLines/>
      </w:pPr>
      <w:r>
        <w:t xml:space="preserve">return CryptographicOperations.FixedTimeEquals(</w:t>
      </w:r>
    </w:p>
    <w:p>
      <w:pPr>
        <w:pStyle w:val="Listing"/>
        <w:keepNext/>
        <w:keepLines/>
      </w:pPr>
      <w:r>
        <w:t xml:space="preserve">    expectedHex, givenHex);</w:t>
      </w:r>
    </w:p>
    <w:p>
      <w:pPr>
        <w:pStyle w:val="Caption"/>
      </w:pPr>
      <w:r>
        <w:t xml:space="preserve">Листинг </w:t>
      </w:r>
      <w:bookmarkStart w:id="5026" w:name="_Ref_lst_webhook"/>
      <w:r>
        <w:fldChar w:fldCharType="begin"/>
      </w:r>
      <w:r>
        <w:instrText xml:space="preserve"> SEQ Листинг \* ARABIC </w:instrText>
      </w:r>
      <w:r>
        <w:fldChar w:fldCharType="separate"/>
      </w:r>
      <w:r>
        <w:rPr>
          <w:noProof/>
        </w:rPr>
        <w:t xml:space="preserve">7</w:t>
      </w:r>
      <w:r>
        <w:fldChar w:fldCharType="end"/>
      </w:r>
      <w:bookmarkEnd w:id="5026"/>
      <w:r>
        <w:t xml:space="preserve">: Провјера потписа обавјештења (WebhookSignatureVerifier.IsValid, крај методе).</w:t>
      </w:r>
    </w:p>
    <w:p>
      <w:pPr>
        <w:pStyle w:val="Slika"/>
      </w:pPr>
      <w:r>
        <w:rPr>
          <w:i/>
          <w:color w:val="808080"/>
        </w:rPr>
        <w:t xml:space="preserve">[ снимак екрана: Плаћање поравнања сачуваном картицом. ]</w:t>
      </w:r>
    </w:p>
    <w:p>
      <w:pPr>
        <w:pStyle w:val="Caption"/>
      </w:pPr>
      <w:r>
        <w:t xml:space="preserve">Слика </w:t>
      </w:r>
      <w:bookmarkStart w:id="5027" w:name="_Ref_fig_s_pay"/>
      <w:r>
        <w:fldChar w:fldCharType="begin"/>
      </w:r>
      <w:r>
        <w:instrText xml:space="preserve"> SEQ Слика \* ARABIC </w:instrText>
      </w:r>
      <w:r>
        <w:fldChar w:fldCharType="separate"/>
      </w:r>
      <w:r>
        <w:rPr>
          <w:noProof/>
        </w:rPr>
        <w:t xml:space="preserve">14</w:t>
      </w:r>
      <w:r>
        <w:fldChar w:fldCharType="end"/>
      </w:r>
      <w:bookmarkEnd w:id="5027"/>
      <w:r>
        <w:t xml:space="preserve">: Плаћање поравнања сачуваном картицом.</w:t>
      </w:r>
    </w:p>
    <w:p>
      <w:pPr>
        <w:pStyle w:val="Heading2"/>
      </w:pPr>
      <w:r>
        <w:t xml:space="preserve">Обавјештења у реалном времену</w:t>
      </w:r>
    </w:p>
    <w:p>
      <w:r>
        <w:t xml:space="preserve">Сва обавјештења пролазе кроз </w:t>
      </w:r>
      <w:r>
        <w:rPr>
          <w:rStyle w:val="Kod"/>
        </w:rPr>
        <w:t xml:space="preserve">NotificationService</w:t>
      </w:r>
      <w:r>
        <w:t xml:space="preserve">, који обавјештење прво сними у базу, затим га преко SignalR-а пошаље отвореним апликацијама корисника, заједно са новим бројем непрочитаних, и на крају, ако је догађај довољно важан, стави поруку у ред за слање е-поште. Апликациони слој зна само за интерфејс </w:t>
      </w:r>
      <w:r>
        <w:rPr>
          <w:rStyle w:val="Kod"/>
        </w:rPr>
        <w:t xml:space="preserve">INotificationPublisher</w:t>
      </w:r>
      <w:r>
        <w:t xml:space="preserve">, а имплементација над SignalR-ом налази се у пројекту API. Неуспјело слање преко SignalR-а само се биљежи у лог: обавјештење је већ у бази и апликација ће га приказати при сљедећем учитавању.</w:t>
      </w:r>
    </w:p>
    <w:p>
      <w:r>
        <w:t xml:space="preserve">SignalR групише везе по идентификатору корисника, па обавјештење стиже у све отворене прозоре истог корисника. Клијент се при прекиду везе аутоматски поново повезује, након 0, 2, 10, 30 и 60 секунди, а прије повезивања обнавља приступни токен ако ускоро истиче. Е-пошта се шаље у позадини: поруке се стављају у ред у меморији (</w:t>
      </w:r>
      <w:r>
        <w:rPr>
          <w:rStyle w:val="Kod"/>
        </w:rPr>
        <w:t xml:space="preserve">Channel</w:t>
      </w:r>
      <w:r>
        <w:t xml:space="preserve">), а позадински сервис их шаље једну по једну преко SMTP-а, по HTML шаблону визуелно усклађеном са апликацијом, тако да слање не успорава одговор API-ја. Обавјештења у апликацији приказана су на слици </w:t>
      </w:r>
      <w:r>
        <w:fldChar w:fldCharType="begin"/>
      </w:r>
      <w:r>
        <w:instrText xml:space="preserve"> REF _Ref_fig_s_notifications \h </w:instrText>
      </w:r>
      <w:r>
        <w:fldChar w:fldCharType="separate"/>
      </w:r>
      <w:r>
        <w:rPr>
          <w:noProof/>
        </w:rPr>
        <w:t xml:space="preserve">15</w:t>
      </w:r>
      <w:r>
        <w:fldChar w:fldCharType="end"/>
      </w:r>
      <w:r>
        <w:t xml:space="preserve">.</w:t>
      </w:r>
    </w:p>
    <w:p>
      <w:pPr>
        <w:pStyle w:val="Slika"/>
      </w:pPr>
      <w:r>
        <w:rPr>
          <w:i/>
          <w:color w:val="808080"/>
        </w:rPr>
        <w:t xml:space="preserve">[ снимак екрана: Обавјештења у апликацији. ]</w:t>
      </w:r>
    </w:p>
    <w:p>
      <w:pPr>
        <w:pStyle w:val="Caption"/>
      </w:pPr>
      <w:r>
        <w:t xml:space="preserve">Слика </w:t>
      </w:r>
      <w:bookmarkStart w:id="5028" w:name="_Ref_fig_s_notifications"/>
      <w:r>
        <w:fldChar w:fldCharType="begin"/>
      </w:r>
      <w:r>
        <w:instrText xml:space="preserve"> SEQ Слика \* ARABIC </w:instrText>
      </w:r>
      <w:r>
        <w:fldChar w:fldCharType="separate"/>
      </w:r>
      <w:r>
        <w:rPr>
          <w:noProof/>
        </w:rPr>
        <w:t xml:space="preserve">15</w:t>
      </w:r>
      <w:r>
        <w:fldChar w:fldCharType="end"/>
      </w:r>
      <w:bookmarkEnd w:id="5028"/>
      <w:r>
        <w:t xml:space="preserve">: Обавјештења у апликацији.</w:t>
      </w:r>
    </w:p>
    <w:p>
      <w:pPr>
        <w:pStyle w:val="Heading2"/>
      </w:pPr>
      <w:r>
        <w:t xml:space="preserve">Кеширање и конкурентни приступ подацима</w:t>
      </w:r>
    </w:p>
    <w:p>
      <w:r>
        <w:t xml:space="preserve">Апликациони слој кешира резултате преко интерфејса </w:t>
      </w:r>
      <w:r>
        <w:rPr>
          <w:rStyle w:val="Kod"/>
        </w:rPr>
        <w:t xml:space="preserve">ICacheService</w:t>
      </w:r>
      <w:r>
        <w:t xml:space="preserve">, чија имплементација користи HybridCache. Он, поред самог кеширања, спречава да више истовремених захтјева за истим недостајућим уносом изврши исти скупи упит (</w:t>
      </w:r>
      <w:r>
        <w:rPr>
          <w:i/>
        </w:rPr>
        <w:t xml:space="preserve">cache stampede</w:t>
      </w:r>
      <w:r>
        <w:t xml:space="preserve">). Кеширају се списак категорија (до једног сата), аналитика (до десет минута), статус налога (до пет минута), салда група (до десет минута) и административна статистика (до два минута). Уноси су означени ознакама (</w:t>
      </w:r>
      <w:r>
        <w:rPr>
          <w:i/>
        </w:rPr>
        <w:t xml:space="preserve">tags</w:t>
      </w:r>
      <w:r>
        <w:t xml:space="preserve">), на примјер „потрошња корисника X“ или „салда групе Y“ (листинг </w:t>
      </w:r>
      <w:r>
        <w:fldChar w:fldCharType="begin"/>
      </w:r>
      <w:r>
        <w:instrText xml:space="preserve"> REF _Ref_lst_cache \h </w:instrText>
      </w:r>
      <w:r>
        <w:fldChar w:fldCharType="separate"/>
      </w:r>
      <w:r>
        <w:rPr>
          <w:noProof/>
        </w:rPr>
        <w:t xml:space="preserve">8</w:t>
      </w:r>
      <w:r>
        <w:fldChar w:fldCharType="end"/>
      </w:r>
      <w:r>
        <w:t xml:space="preserve">).</w:t>
      </w:r>
    </w:p>
    <w:p>
      <w:pPr>
        <w:pStyle w:val="Listing"/>
        <w:keepNext/>
        <w:keepLines/>
      </w:pPr>
      <w:r>
        <w:t xml:space="preserve">public static Task&lt;Dictionary&lt;Guid, decimal&gt;&gt;</w:t>
      </w:r>
    </w:p>
    <w:p>
      <w:pPr>
        <w:pStyle w:val="Listing"/>
        <w:keepNext/>
        <w:keepLines/>
      </w:pPr>
      <w:r>
        <w:t xml:space="preserve">    GetCachedGroupNetBalancesAsync(</w:t>
      </w:r>
    </w:p>
    <w:p>
      <w:pPr>
        <w:pStyle w:val="Listing"/>
        <w:keepNext/>
        <w:keepLines/>
      </w:pPr>
      <w:r>
        <w:t xml:space="preserve">        this IUnitOfWork unitOfWork,</w:t>
      </w:r>
    </w:p>
    <w:p>
      <w:pPr>
        <w:pStyle w:val="Listing"/>
        <w:keepNext/>
        <w:keepLines/>
      </w:pPr>
      <w:r>
        <w:t xml:space="preserve">        ICacheService cache,</w:t>
      </w:r>
    </w:p>
    <w:p>
      <w:pPr>
        <w:pStyle w:val="Listing"/>
        <w:keepNext/>
        <w:keepLines/>
      </w:pPr>
      <w:r>
        <w:t xml:space="preserve">        Guid groupId,</w:t>
      </w:r>
    </w:p>
    <w:p>
      <w:pPr>
        <w:pStyle w:val="Listing"/>
        <w:keepNext/>
        <w:keepLines/>
      </w:pPr>
      <w:r>
        <w:t xml:space="preserve">        CancellationToken cancellationToken = default)</w:t>
      </w:r>
    </w:p>
    <w:p>
      <w:pPr>
        <w:pStyle w:val="Listing"/>
        <w:keepNext/>
        <w:keepLines/>
      </w:pPr>
      <w:r>
        <w:t xml:space="preserve">    =&gt; cache.GetOrCreateAsync(</w:t>
      </w:r>
    </w:p>
    <w:p>
      <w:pPr>
        <w:pStyle w:val="Listing"/>
        <w:keepNext/>
        <w:keepLines/>
      </w:pPr>
      <w:r>
        <w:t xml:space="preserve">        CacheKeys.GroupBalances(groupId),</w:t>
      </w:r>
    </w:p>
    <w:p>
      <w:pPr>
        <w:pStyle w:val="Listing"/>
        <w:keepNext/>
        <w:keepLines/>
      </w:pPr>
      <w:r>
        <w:t xml:space="preserve">        token =&gt; unitOfWork.GetGroupNetBalancesAsync(</w:t>
      </w:r>
    </w:p>
    <w:p>
      <w:pPr>
        <w:pStyle w:val="Listing"/>
        <w:keepNext/>
        <w:keepLines/>
      </w:pPr>
      <w:r>
        <w:t xml:space="preserve">            groupId, token),</w:t>
      </w:r>
    </w:p>
    <w:p>
      <w:pPr>
        <w:pStyle w:val="Listing"/>
        <w:keepNext/>
        <w:keepLines/>
      </w:pPr>
      <w:r>
        <w:t xml:space="preserve">        CacheDurations.GroupBalances,</w:t>
      </w:r>
    </w:p>
    <w:p>
      <w:pPr>
        <w:pStyle w:val="Listing"/>
        <w:keepNext/>
        <w:keepLines/>
      </w:pPr>
      <w:r>
        <w:t xml:space="preserve">        new[] { CacheTags.GroupLedger(groupId) },</w:t>
      </w:r>
    </w:p>
    <w:p>
      <w:pPr>
        <w:pStyle w:val="Listing"/>
        <w:keepNext/>
        <w:keepLines/>
      </w:pPr>
      <w:r>
        <w:t xml:space="preserve">        cancellationToken);</w:t>
      </w:r>
    </w:p>
    <w:p>
      <w:pPr>
        <w:pStyle w:val="Caption"/>
      </w:pPr>
      <w:r>
        <w:t xml:space="preserve">Листинг </w:t>
      </w:r>
      <w:bookmarkStart w:id="5029" w:name="_Ref_lst_cache"/>
      <w:r>
        <w:fldChar w:fldCharType="begin"/>
      </w:r>
      <w:r>
        <w:instrText xml:space="preserve"> SEQ Листинг \* ARABIC </w:instrText>
      </w:r>
      <w:r>
        <w:fldChar w:fldCharType="separate"/>
      </w:r>
      <w:r>
        <w:rPr>
          <w:noProof/>
        </w:rPr>
        <w:t xml:space="preserve">8</w:t>
      </w:r>
      <w:r>
        <w:fldChar w:fldCharType="end"/>
      </w:r>
      <w:bookmarkEnd w:id="5029"/>
      <w:r>
        <w:t xml:space="preserve">: Кеширана салда групе (GroupLedgerExtensions).</w:t>
      </w:r>
    </w:p>
    <w:p>
      <w:r>
        <w:t xml:space="preserve">Поништавање кеша не мора памтити ниједан сервис. Пресретач </w:t>
      </w:r>
      <w:r>
        <w:rPr>
          <w:rStyle w:val="Kod"/>
        </w:rPr>
        <w:t xml:space="preserve">CacheInvalidationInterceptor</w:t>
      </w:r>
      <w:r>
        <w:t xml:space="preserve"> при сваком снимању прегледа измијењене ентитете и, тек послије успјешног снимања, поништава одговарајуће ознаке: лични трошак поништава аналитику корисника, групни трошак, удио или измирено поравнање салда групе, а категорија списак категорија. Генерисање приједлога поравнања не мијења салда, па не поништава кеш. Кеширани подаци служе само за приказ: гдје салдо одлучује да ли се нешто смије урадити, на примјер при напуштању групе, увијек се чита из базе. Подешавањем </w:t>
      </w:r>
      <w:r>
        <w:rPr>
          <w:rStyle w:val="Kod"/>
        </w:rPr>
        <w:t xml:space="preserve">Caching:Enabled=false</w:t>
      </w:r>
      <w:r>
        <w:t xml:space="preserve"> умјесто HybridCache-а региструје се имплементација која ништа не кешира, што је искоришћено за мјерење ефекта кеша у петом поглављу.</w:t>
      </w:r>
    </w:p>
    <w:p>
      <w:r>
        <w:t xml:space="preserve">Истовремене измјене истих података спречава оптимистичка контрола конкурентности. Ентитети </w:t>
      </w:r>
      <w:r>
        <w:rPr>
          <w:rStyle w:val="Kod"/>
        </w:rPr>
        <w:t xml:space="preserve">SettlementTransaction</w:t>
      </w:r>
      <w:r>
        <w:t xml:space="preserve">, </w:t>
      </w:r>
      <w:r>
        <w:rPr>
          <w:rStyle w:val="Kod"/>
        </w:rPr>
        <w:t xml:space="preserve">Payment</w:t>
      </w:r>
      <w:r>
        <w:t xml:space="preserve"> и </w:t>
      </w:r>
      <w:r>
        <w:rPr>
          <w:rStyle w:val="Kod"/>
        </w:rPr>
        <w:t xml:space="preserve">UserToken</w:t>
      </w:r>
      <w:r>
        <w:t xml:space="preserve"> као верзију реда користе системску колону xmin PostgreSQL-а: ако се ред промијенио од учитавања, EF Core не мијења ништа и баца изузетак </w:t>
      </w:r>
      <w:r>
        <w:rPr>
          <w:rStyle w:val="Kod"/>
        </w:rPr>
        <w:t xml:space="preserve">DbUpdateConcurrencyException</w:t>
      </w:r>
      <w:r>
        <w:t xml:space="preserve">, који се кориснику јавља као HTTP 409 са кодом грешке. Тестирање под оптерећењем открило је један случај у коме такав конфликт није требало пријавити кориснику: када два члана исте групе истовремено додају трошак, оба покушавају да обришу исте застарјеле приједлоге поравнања. </w:t>
      </w:r>
      <w:r>
        <w:rPr>
          <w:rStyle w:val="Kod"/>
        </w:rPr>
        <w:t xml:space="preserve">UnitOfWork</w:t>
      </w:r>
      <w:r>
        <w:t xml:space="preserve"> зато такав конфликт разрјешава сам и понавља снимање (листинг </w:t>
      </w:r>
      <w:r>
        <w:fldChar w:fldCharType="begin"/>
      </w:r>
      <w:r>
        <w:instrText xml:space="preserve"> REF _Ref_lst_uow \h </w:instrText>
      </w:r>
      <w:r>
        <w:fldChar w:fldCharType="separate"/>
      </w:r>
      <w:r>
        <w:rPr>
          <w:noProof/>
        </w:rPr>
        <w:t xml:space="preserve">9</w:t>
      </w:r>
      <w:r>
        <w:fldChar w:fldCharType="end"/>
      </w:r>
      <w:r>
        <w:t xml:space="preserve">), док сви остали конфликти и даље завршавају са HTTP 409.</w:t>
      </w:r>
    </w:p>
    <w:p>
      <w:pPr>
        <w:pStyle w:val="Listing"/>
        <w:keepNext/>
        <w:keepLines/>
      </w:pPr>
      <w:r>
        <w:t xml:space="preserve">for (var attempt = 1; ; attempt++)</w:t>
      </w:r>
    </w:p>
    <w:p>
      <w:pPr>
        <w:pStyle w:val="Listing"/>
        <w:keepNext/>
        <w:keepLines/>
      </w:pPr>
      <w:r>
        <w:t xml:space="preserve">{</w:t>
      </w:r>
    </w:p>
    <w:p>
      <w:pPr>
        <w:pStyle w:val="Listing"/>
        <w:keepNext/>
        <w:keepLines/>
      </w:pPr>
      <w:r>
        <w:t xml:space="preserve">    try</w:t>
      </w:r>
    </w:p>
    <w:p>
      <w:pPr>
        <w:pStyle w:val="Listing"/>
        <w:keepNext/>
        <w:keepLines/>
      </w:pPr>
      <w:r>
        <w:t xml:space="preserve">    {</w:t>
      </w:r>
    </w:p>
    <w:p>
      <w:pPr>
        <w:pStyle w:val="Listing"/>
        <w:keepNext/>
        <w:keepLines/>
      </w:pPr>
      <w:r>
        <w:t xml:space="preserve">        return await _context.SaveChangesAsync(</w:t>
      </w:r>
    </w:p>
    <w:p>
      <w:pPr>
        <w:pStyle w:val="Listing"/>
        <w:keepNext/>
        <w:keepLines/>
      </w:pPr>
      <w:r>
        <w:t xml:space="preserve">            cancellationToken);</w:t>
      </w:r>
    </w:p>
    <w:p>
      <w:pPr>
        <w:pStyle w:val="Listing"/>
        <w:keepNext/>
        <w:keepLines/>
      </w:pPr>
      <w:r>
        <w:t xml:space="preserve">    }</w:t>
      </w:r>
    </w:p>
    <w:p>
      <w:pPr>
        <w:pStyle w:val="Listing"/>
        <w:keepNext/>
        <w:keepLines/>
      </w:pPr>
      <w:r>
        <w:t xml:space="preserve">    catch (DbUpdateConcurrencyException conflict)</w:t>
      </w:r>
    </w:p>
    <w:p>
      <w:pPr>
        <w:pStyle w:val="Listing"/>
        <w:keepNext/>
        <w:keepLines/>
      </w:pPr>
      <w:r>
        <w:t xml:space="preserve">        when (attempt &lt; MaxSaveAttempts)</w:t>
      </w:r>
    </w:p>
    <w:p>
      <w:pPr>
        <w:pStyle w:val="Listing"/>
        <w:keepNext/>
        <w:keepLines/>
      </w:pPr>
      <w:r>
        <w:t xml:space="preserve">    {</w:t>
      </w:r>
    </w:p>
    <w:p>
      <w:pPr>
        <w:pStyle w:val="Listing"/>
        <w:keepNext/>
        <w:keepLines/>
      </w:pPr>
      <w:r>
        <w:t xml:space="preserve">        // Only "the outdated suggestion is already deleted"</w:t>
      </w:r>
    </w:p>
    <w:p>
      <w:pPr>
        <w:pStyle w:val="Listing"/>
        <w:keepNext/>
        <w:keepLines/>
      </w:pPr>
      <w:r>
        <w:t xml:space="preserve">        // is resolved here; any other conflict is HTTP 409.</w:t>
      </w:r>
    </w:p>
    <w:p>
      <w:pPr>
        <w:pStyle w:val="Listing"/>
        <w:keepNext/>
        <w:keepLines/>
      </w:pPr>
      <w:r>
        <w:t xml:space="preserve">        if (!await ResolveOutdatedSuggestionDeletesAsync(</w:t>
      </w:r>
    </w:p>
    <w:p>
      <w:pPr>
        <w:pStyle w:val="Listing"/>
        <w:keepNext/>
        <w:keepLines/>
      </w:pPr>
      <w:r>
        <w:t xml:space="preserve">                conflict, cancellationToken))</w:t>
      </w:r>
    </w:p>
    <w:p>
      <w:pPr>
        <w:pStyle w:val="Listing"/>
        <w:keepNext/>
        <w:keepLines/>
      </w:pPr>
      <w:r>
        <w:t xml:space="preserve">            throw;</w:t>
      </w:r>
    </w:p>
    <w:p>
      <w:pPr>
        <w:pStyle w:val="Listing"/>
        <w:keepNext/>
        <w:keepLines/>
      </w:pPr>
      <w:r>
        <w:t xml:space="preserve"/>
      </w:r>
    </w:p>
    <w:p>
      <w:pPr>
        <w:pStyle w:val="Listing"/>
        <w:keepNext/>
        <w:keepLines/>
      </w:pPr>
      <w:r>
        <w:t xml:space="preserve">        // A short random pause, so the requests that collided</w:t>
      </w:r>
    </w:p>
    <w:p>
      <w:pPr>
        <w:pStyle w:val="Listing"/>
        <w:keepNext/>
        <w:keepLines/>
      </w:pPr>
      <w:r>
        <w:t xml:space="preserve">        // do not collide again at once.</w:t>
      </w:r>
    </w:p>
    <w:p>
      <w:pPr>
        <w:pStyle w:val="Listing"/>
        <w:keepNext/>
        <w:keepLines/>
      </w:pPr>
      <w:r>
        <w:t xml:space="preserve">        await Task.Delay(Random.Shared.Next(5, 20) * attempt,</w:t>
      </w:r>
    </w:p>
    <w:p>
      <w:pPr>
        <w:pStyle w:val="Listing"/>
        <w:keepNext/>
        <w:keepLines/>
      </w:pPr>
      <w:r>
        <w:t xml:space="preserve">            cancellationToken);</w:t>
      </w:r>
    </w:p>
    <w:p>
      <w:pPr>
        <w:pStyle w:val="Listing"/>
        <w:keepNext/>
        <w:keepLines/>
      </w:pPr>
      <w:r>
        <w:t xml:space="preserve">    }</w:t>
      </w:r>
    </w:p>
    <w:p>
      <w:pPr>
        <w:pStyle w:val="Listing"/>
        <w:keepNext/>
        <w:keepLines/>
      </w:pPr>
      <w:r>
        <w:t xml:space="preserve">}</w:t>
      </w:r>
    </w:p>
    <w:p>
      <w:pPr>
        <w:pStyle w:val="Caption"/>
      </w:pPr>
      <w:r>
        <w:t xml:space="preserve">Листинг </w:t>
      </w:r>
      <w:bookmarkStart w:id="5030" w:name="_Ref_lst_uow"/>
      <w:r>
        <w:fldChar w:fldCharType="begin"/>
      </w:r>
      <w:r>
        <w:instrText xml:space="preserve"> SEQ Листинг \* ARABIC </w:instrText>
      </w:r>
      <w:r>
        <w:fldChar w:fldCharType="separate"/>
      </w:r>
      <w:r>
        <w:rPr>
          <w:noProof/>
        </w:rPr>
        <w:t xml:space="preserve">9</w:t>
      </w:r>
      <w:r>
        <w:fldChar w:fldCharType="end"/>
      </w:r>
      <w:bookmarkEnd w:id="5030"/>
      <w:r>
        <w:t xml:space="preserve">: Понављање снимања при застарјелом брисању приједлога (UnitOfWork.SaveChangesAsync).</w:t>
      </w:r>
    </w:p>
    <w:p>
      <w:pPr>
        <w:pStyle w:val="Heading2"/>
      </w:pPr>
      <w:r>
        <w:t xml:space="preserve">Администрација система</w:t>
      </w:r>
    </w:p>
    <w:p>
      <w:r>
        <w:t xml:space="preserve">При првом покретању </w:t>
      </w:r>
      <w:r>
        <w:rPr>
          <w:rStyle w:val="Kod"/>
        </w:rPr>
        <w:t xml:space="preserve">AdminUserSeeder</w:t>
      </w:r>
      <w:r>
        <w:t xml:space="preserve"> креира администраторски налог са насумично генерисаном лозинком, коју уписује у датотеку, и означава да лозинку треба промијенити. Администратор претражује кориснике уз страничење и блокира их или одблокира; блокада дјелује одмах, захваљујући поништавању кешираног статуса налога.</w:t>
      </w:r>
    </w:p>
    <w:p>
      <w:r>
        <w:t xml:space="preserve">Контролна табла приказује укупан број корисника (и блокираних), администратора, група, личних и групних трошкова, поравнања по стању и плаћања по стању, као и кретање нових корисника, група и трошкова кроз изабрани период (слика </w:t>
      </w:r>
      <w:r>
        <w:fldChar w:fldCharType="begin"/>
      </w:r>
      <w:r>
        <w:instrText xml:space="preserve"> REF _Ref_fig_s_admin \h </w:instrText>
      </w:r>
      <w:r>
        <w:fldChar w:fldCharType="separate"/>
      </w:r>
      <w:r>
        <w:rPr>
          <w:noProof/>
        </w:rPr>
        <w:t xml:space="preserve">16</w:t>
      </w:r>
      <w:r>
        <w:fldChar w:fldCharType="end"/>
      </w:r>
      <w:r>
        <w:t xml:space="preserve">). Ови бројеви обухватају цијели систем, па се не поништавају при сваком снимању, него се кеширају највише два минута. Ревизијски дневник се претражује и странича.</w:t>
      </w:r>
    </w:p>
    <w:p>
      <w:pPr>
        <w:pStyle w:val="Slika"/>
      </w:pPr>
      <w:r>
        <w:rPr>
          <w:i/>
          <w:color w:val="808080"/>
        </w:rPr>
        <w:t xml:space="preserve">[ снимак екрана: Контролна табла администратора. ]</w:t>
      </w:r>
    </w:p>
    <w:p>
      <w:pPr>
        <w:pStyle w:val="Caption"/>
      </w:pPr>
      <w:r>
        <w:t xml:space="preserve">Слика </w:t>
      </w:r>
      <w:bookmarkStart w:id="5031" w:name="_Ref_fig_s_admin"/>
      <w:r>
        <w:fldChar w:fldCharType="begin"/>
      </w:r>
      <w:r>
        <w:instrText xml:space="preserve"> SEQ Слика \* ARABIC </w:instrText>
      </w:r>
      <w:r>
        <w:fldChar w:fldCharType="separate"/>
      </w:r>
      <w:r>
        <w:rPr>
          <w:noProof/>
        </w:rPr>
        <w:t xml:space="preserve">16</w:t>
      </w:r>
      <w:r>
        <w:fldChar w:fldCharType="end"/>
      </w:r>
      <w:bookmarkEnd w:id="5031"/>
      <w:r>
        <w:t xml:space="preserve">: Контролна табла администратора.</w:t>
      </w:r>
    </w:p>
    <w:p>
      <w:r>
        <w:t xml:space="preserve">Одобравање категорија заснива се на методама самог ентитета </w:t>
      </w:r>
      <w:r>
        <w:rPr>
          <w:rStyle w:val="Kod"/>
        </w:rPr>
        <w:t xml:space="preserve">Category</w:t>
      </w:r>
      <w:r>
        <w:t xml:space="preserve">: </w:t>
      </w:r>
      <w:r>
        <w:rPr>
          <w:rStyle w:val="Kod"/>
        </w:rPr>
        <w:t xml:space="preserve">Propose</w:t>
      </w:r>
      <w:r>
        <w:t xml:space="preserve">, </w:t>
      </w:r>
      <w:r>
        <w:rPr>
          <w:rStyle w:val="Kod"/>
        </w:rPr>
        <w:t xml:space="preserve">Approve</w:t>
      </w:r>
      <w:r>
        <w:t xml:space="preserve"> и </w:t>
      </w:r>
      <w:r>
        <w:rPr>
          <w:rStyle w:val="Kod"/>
        </w:rPr>
        <w:t xml:space="preserve">Reject</w:t>
      </w:r>
      <w:r>
        <w:t xml:space="preserve"> мијењају стање само по дозвољеним прелазима (одобрити или одбити може се само категорија на чекању). Корисник може имати највише пет приједлога на чекању и добија обавјештење о одлуци администратора. Јединственост назива обезбјеђује филтрирани јединствени индекс, који не обухвата одбијене категорије, па се одбијени назив може поново предложити.</w:t>
      </w:r>
    </w:p>
    <w:p>
      <w:pPr>
        <w:pStyle w:val="Heading2"/>
      </w:pPr>
      <w:r>
        <w:t xml:space="preserve">Веб апликација</w:t>
      </w:r>
    </w:p>
    <w:p>
      <w:r>
        <w:t xml:space="preserve">Веб апликација је једнострана апликација написана у библиотеци React са језиком TypeScript, а алат Vite служи за развој и изградњу. Руте су дефинисане библиотеком React Router и заштићене компонентама које пропуштају само неулоговане кориснике (пријава, регистрација), само пријављене кориснике или само администраторе. Изворни код је подијељен по функционалностима: странице (трошкови, групе, буџети, аналитика, обавјештења, профил, администрација), модули за комуникацију са API-јем, аутентификација, обавјештења и заједничке компоненте корисничког интерфејса. Почетна страна пријављеног корисника приказана је на слици </w:t>
      </w:r>
      <w:r>
        <w:fldChar w:fldCharType="begin"/>
      </w:r>
      <w:r>
        <w:instrText xml:space="preserve"> REF _Ref_fig_s_overview \h </w:instrText>
      </w:r>
      <w:r>
        <w:fldChar w:fldCharType="separate"/>
      </w:r>
      <w:r>
        <w:rPr>
          <w:noProof/>
        </w:rPr>
        <w:t xml:space="preserve">17</w:t>
      </w:r>
      <w:r>
        <w:fldChar w:fldCharType="end"/>
      </w:r>
      <w:r>
        <w:t xml:space="preserve">.</w:t>
      </w:r>
    </w:p>
    <w:p>
      <w:pPr>
        <w:pStyle w:val="Slika"/>
      </w:pPr>
      <w:r>
        <w:rPr>
          <w:i/>
          <w:color w:val="808080"/>
        </w:rPr>
        <w:t xml:space="preserve">[ снимак екрана: Почетна страна пријављеног корисника. ]</w:t>
      </w:r>
    </w:p>
    <w:p>
      <w:pPr>
        <w:pStyle w:val="Caption"/>
      </w:pPr>
      <w:r>
        <w:t xml:space="preserve">Слика </w:t>
      </w:r>
      <w:bookmarkStart w:id="5032" w:name="_Ref_fig_s_overview"/>
      <w:r>
        <w:fldChar w:fldCharType="begin"/>
      </w:r>
      <w:r>
        <w:instrText xml:space="preserve"> SEQ Слика \* ARABIC </w:instrText>
      </w:r>
      <w:r>
        <w:fldChar w:fldCharType="separate"/>
      </w:r>
      <w:r>
        <w:rPr>
          <w:noProof/>
        </w:rPr>
        <w:t xml:space="preserve">17</w:t>
      </w:r>
      <w:r>
        <w:fldChar w:fldCharType="end"/>
      </w:r>
      <w:bookmarkEnd w:id="5032"/>
      <w:r>
        <w:t xml:space="preserve">: Почетна страна пријављеног корисника.</w:t>
      </w:r>
    </w:p>
    <w:p>
      <w:r>
        <w:t xml:space="preserve">Сви позиви API-ја пролазе кроз један модул. Ако сервер на заштићени захтјев одговори са HTTP 401, модул једном обнавља сесију и понавља захтјев. Пошто се токен за обнову може употријебити само једном, више захтјева који истовремено добију 401 чекају исту, јединствену обнову (листинг </w:t>
      </w:r>
      <w:r>
        <w:fldChar w:fldCharType="begin"/>
      </w:r>
      <w:r>
        <w:instrText xml:space="preserve"> REF _Ref_lst_client \h </w:instrText>
      </w:r>
      <w:r>
        <w:fldChar w:fldCharType="separate"/>
      </w:r>
      <w:r>
        <w:rPr>
          <w:noProof/>
        </w:rPr>
        <w:t xml:space="preserve">10</w:t>
      </w:r>
      <w:r>
        <w:fldChar w:fldCharType="end"/>
      </w:r>
      <w:r>
        <w:t xml:space="preserve">); у супротном би други покушај изгледао као крађа токена и сервер би затворио све сесије. Токени се чувају у </w:t>
      </w:r>
      <w:r>
        <w:rPr>
          <w:rStyle w:val="Kod"/>
        </w:rPr>
        <w:t xml:space="preserve">localStorage</w:t>
      </w:r>
      <w:r>
        <w:t xml:space="preserve"> ако корисник изабере опцију „запамти ме“, а иначе у </w:t>
      </w:r>
      <w:r>
        <w:rPr>
          <w:rStyle w:val="Kod"/>
        </w:rPr>
        <w:t xml:space="preserve">sessionStorage</w:t>
      </w:r>
      <w:r>
        <w:t xml:space="preserve">, тако да нестају са затварањем прегледача.</w:t>
      </w:r>
    </w:p>
    <w:p>
      <w:pPr>
        <w:pStyle w:val="Listing"/>
        <w:keepNext/>
        <w:keepLines/>
      </w:pPr>
      <w:r>
        <w:t xml:space="preserve">let refreshInFlight: Promise&lt;boolean&gt; | null = null;</w:t>
      </w:r>
    </w:p>
    <w:p>
      <w:pPr>
        <w:pStyle w:val="Listing"/>
        <w:keepNext/>
        <w:keepLines/>
      </w:pPr>
      <w:r>
        <w:t xml:space="preserve"/>
      </w:r>
    </w:p>
    <w:p>
      <w:pPr>
        <w:pStyle w:val="Listing"/>
        <w:keepNext/>
        <w:keepLines/>
      </w:pPr>
      <w:r>
        <w:t xml:space="preserve">export function refreshSession(): Promise&lt;boolean&gt; {</w:t>
      </w:r>
    </w:p>
    <w:p>
      <w:pPr>
        <w:pStyle w:val="Listing"/>
        <w:keepNext/>
        <w:keepLines/>
      </w:pPr>
      <w:r>
        <w:t xml:space="preserve">  if (!refreshInFlight) {</w:t>
      </w:r>
    </w:p>
    <w:p>
      <w:pPr>
        <w:pStyle w:val="Listing"/>
        <w:keepNext/>
        <w:keepLines/>
      </w:pPr>
      <w:r>
        <w:t xml:space="preserve">    refreshInFlight = (async () =&gt; {</w:t>
      </w:r>
    </w:p>
    <w:p>
      <w:pPr>
        <w:pStyle w:val="Listing"/>
        <w:keepNext/>
        <w:keepLines/>
      </w:pPr>
      <w:r>
        <w:t xml:space="preserve">      const refreshToken = tokenStore.getRefreshToken();</w:t>
      </w:r>
    </w:p>
    <w:p>
      <w:pPr>
        <w:pStyle w:val="Listing"/>
        <w:keepNext/>
        <w:keepLines/>
      </w:pPr>
      <w:r>
        <w:t xml:space="preserve">      if (!refreshToken) return false;</w:t>
      </w:r>
    </w:p>
    <w:p>
      <w:pPr>
        <w:pStyle w:val="Listing"/>
        <w:keepNext/>
        <w:keepLines/>
      </w:pPr>
      <w:r>
        <w:t xml:space="preserve">      const response = await send('/auth/refresh',</w:t>
      </w:r>
    </w:p>
    <w:p>
      <w:pPr>
        <w:pStyle w:val="Listing"/>
        <w:keepNext/>
        <w:keepLines/>
      </w:pPr>
      <w:r>
        <w:t xml:space="preserve">        { method: 'POST', body: { refreshToken } }, null);</w:t>
      </w:r>
    </w:p>
    <w:p>
      <w:pPr>
        <w:pStyle w:val="Listing"/>
        <w:keepNext/>
        <w:keepLines/>
      </w:pPr>
      <w:r>
        <w:t xml:space="preserve">      if (!response.ok) { tokenStore.clear(); return false; }</w:t>
      </w:r>
    </w:p>
    <w:p>
      <w:pPr>
        <w:pStyle w:val="Listing"/>
        <w:keepNext/>
        <w:keepLines/>
      </w:pPr>
      <w:r>
        <w:t xml:space="preserve">      const tokens = await parse&lt;AuthResponse&gt;(response);</w:t>
      </w:r>
    </w:p>
    <w:p>
      <w:pPr>
        <w:pStyle w:val="Listing"/>
        <w:keepNext/>
        <w:keepLines/>
      </w:pPr>
      <w:r>
        <w:t xml:space="preserve">      tokenStore.save(tokens, tokenStore.isRemembered());</w:t>
      </w:r>
    </w:p>
    <w:p>
      <w:pPr>
        <w:pStyle w:val="Listing"/>
        <w:keepNext/>
        <w:keepLines/>
      </w:pPr>
      <w:r>
        <w:t xml:space="preserve">      return true;</w:t>
      </w:r>
    </w:p>
    <w:p>
      <w:pPr>
        <w:pStyle w:val="Listing"/>
        <w:keepNext/>
        <w:keepLines/>
      </w:pPr>
      <w:r>
        <w:t xml:space="preserve">    })()</w:t>
      </w:r>
    </w:p>
    <w:p>
      <w:pPr>
        <w:pStyle w:val="Listing"/>
        <w:keepNext/>
        <w:keepLines/>
      </w:pPr>
      <w:r>
        <w:t xml:space="preserve">      .catch(() =&gt; false)</w:t>
      </w:r>
    </w:p>
    <w:p>
      <w:pPr>
        <w:pStyle w:val="Listing"/>
        <w:keepNext/>
        <w:keepLines/>
      </w:pPr>
      <w:r>
        <w:t xml:space="preserve">      .finally(() =&gt; { refreshInFlight = null; });</w:t>
      </w:r>
    </w:p>
    <w:p>
      <w:pPr>
        <w:pStyle w:val="Listing"/>
        <w:keepNext/>
        <w:keepLines/>
      </w:pPr>
      <w:r>
        <w:t xml:space="preserve">  }</w:t>
      </w:r>
    </w:p>
    <w:p>
      <w:pPr>
        <w:pStyle w:val="Listing"/>
        <w:keepNext/>
        <w:keepLines/>
      </w:pPr>
      <w:r>
        <w:t xml:space="preserve">  return refreshInFlight;</w:t>
      </w:r>
    </w:p>
    <w:p>
      <w:pPr>
        <w:pStyle w:val="Listing"/>
        <w:keepNext/>
        <w:keepLines/>
      </w:pPr>
      <w:r>
        <w:t xml:space="preserve">}</w:t>
      </w:r>
    </w:p>
    <w:p>
      <w:pPr>
        <w:pStyle w:val="Caption"/>
      </w:pPr>
      <w:r>
        <w:t xml:space="preserve">Листинг </w:t>
      </w:r>
      <w:bookmarkStart w:id="5033" w:name="_Ref_lst_client"/>
      <w:r>
        <w:fldChar w:fldCharType="begin"/>
      </w:r>
      <w:r>
        <w:instrText xml:space="preserve"> SEQ Листинг \* ARABIC </w:instrText>
      </w:r>
      <w:r>
        <w:fldChar w:fldCharType="separate"/>
      </w:r>
      <w:r>
        <w:rPr>
          <w:noProof/>
        </w:rPr>
        <w:t xml:space="preserve">10</w:t>
      </w:r>
      <w:r>
        <w:fldChar w:fldCharType="end"/>
      </w:r>
      <w:bookmarkEnd w:id="5033"/>
      <w:r>
        <w:t xml:space="preserve">: Јединствена обнова сесије у веб апликацији (api/client.ts).</w:t>
      </w:r>
    </w:p>
    <w:p>
      <w:r>
        <w:t xml:space="preserve">Кориснички интерфејс је на српском језику, ћирилицом и ијекавицом, и на енглеском, уз библиотеку i18next. Сервер уз сваку грешку враћа стабилан код, који апликација преводи на језик корисника. Распоред се прилагођава ширини екрана: на мањим екранима бочни мени се скрива и отвара дугметом, а табеле постају листе картица. Мапе трошкова приказују се библиотеком Leaflet, графикони су сопствене компоненте, а QR кодови се скенирају библиотеком jsQR.</w:t>
      </w:r>
    </w:p>
    <w:p w14:paraId="37450F4E" w14:textId="77777777">
      <w:pPr>
        <w:spacing w:after="0" w:line="20" w:lineRule="exact"/>
        <w:rPr>
          <w:sz w:val="2"/>
        </w:rPr>
        <w:sectPr>
          <w:headerReference w:type="even" r:id="rId26"/>
          <w:headerReference w:type="first" r:id="rId27"/>
          <w:type w:val="oddPage"/>
          <w:pgSz w:w="9978" w:h="14173"/>
          <w:pgMar w:top="1417" w:right="850" w:bottom="1417" w:left="1134" w:header="567" w:footer="992" w:gutter="0"/>
          <w:cols w:space="708"/>
          <w:titlePg/>
          <w:docGrid w:linePitch="360"/>
        </w:sectPr>
      </w:pPr>
    </w:p>
    <w:p>
      <w:pPr>
        <w:pStyle w:val="Glava"/>
      </w:pPr>
    </w:p>
    <w:p>
      <w:pPr>
        <w:pStyle w:val="Heading1"/>
      </w:pPr>
      <w:r>
        <w:t xml:space="preserve">Тестирање и евалуација</w:t>
      </w:r>
    </w:p>
    <w:p>
      <w:r>
        <w:t xml:space="preserve">[Уводни пасус поглавља.]</w:t>
      </w:r>
    </w:p>
    <w:p>
      <w:pPr>
        <w:pStyle w:val="Heading2"/>
      </w:pPr>
      <w:r>
        <w:t xml:space="preserve">Методологија и окружење</w:t>
      </w:r>
    </w:p>
    <w:p>
      <w:r>
        <w:t xml:space="preserve">[Текст.]</w:t>
      </w:r>
    </w:p>
    <w:p>
      <w:pPr>
        <w:pStyle w:val="Heading2"/>
      </w:pPr>
      <w:r>
        <w:t xml:space="preserve">Сценарији тестирања</w:t>
      </w:r>
    </w:p>
    <w:p>
      <w:r>
        <w:t xml:space="preserve">[Текст.]</w:t>
      </w:r>
    </w:p>
    <w:p>
      <w:pPr>
        <w:pStyle w:val="Heading2"/>
      </w:pPr>
      <w:r>
        <w:t xml:space="preserve">Резултати под оптерећењем</w:t>
      </w:r>
    </w:p>
    <w:p>
      <w:r>
        <w:t xml:space="preserve">[Текст.]</w:t>
      </w:r>
    </w:p>
    <w:p>
      <w:pPr>
        <w:pStyle w:val="Heading2"/>
      </w:pPr>
      <w:r>
        <w:t xml:space="preserve">Ефекат кеширања</w:t>
      </w:r>
    </w:p>
    <w:p>
      <w:r>
        <w:t xml:space="preserve">[Текст.]</w:t>
      </w:r>
    </w:p>
    <w:p>
      <w:pPr>
        <w:pStyle w:val="Heading2"/>
      </w:pPr>
      <w:r>
        <w:t xml:space="preserve">Конкурентност и ограничење захтјева</w:t>
      </w:r>
    </w:p>
    <w:p>
      <w:r>
        <w:t xml:space="preserve">[Текст.]</w:t>
      </w:r>
    </w:p>
    <w:p>
      <w:pPr>
        <w:pStyle w:val="Heading2"/>
      </w:pPr>
      <w:r>
        <w:t xml:space="preserve">Откривене грешке и исправке</w:t>
      </w:r>
    </w:p>
    <w:p>
      <w:r>
        <w:t xml:space="preserve">[Текст.]</w:t>
      </w:r>
    </w:p>
    <w:p>
      <w:pPr>
        <w:spacing w:after="0" w:line="20" w:lineRule="exact"/>
        <w:rPr>
          <w:sz w:val="2"/>
        </w:rPr>
        <w:sectPr>
          <w:headerReference w:type="even" r:id="rId26"/>
          <w:headerReference w:type="first" r:id="rId27"/>
          <w:type w:val="oddPage"/>
          <w:pgSz w:w="9978" w:h="14173"/>
          <w:pgMar w:top="1417" w:right="850" w:bottom="1417" w:left="1134" w:header="567" w:footer="992" w:gutter="0"/>
          <w:cols w:space="708"/>
          <w:titlePg/>
          <w:docGrid w:linePitch="360"/>
        </w:sectPr>
      </w:pPr>
    </w:p>
    <w:p w14:paraId="6F6903C4" w14:textId="77777777">
      <w:pPr>
        <w:pStyle w:val="Glava"/>
      </w:pPr>
    </w:p>
    <w:p w14:paraId="2AC26DA4" w14:textId="77777777">
      <w:pPr>
        <w:pStyle w:val="Heading1"/>
      </w:pPr>
      <w:bookmarkStart w:id="11" w:name="_Toc239973928"/>
      <w:r>
        <w:t>Закључак</w:t>
      </w:r>
      <w:bookmarkEnd w:id="11"/>
    </w:p>
    <w:p w14:paraId="7FF4F4BB" w14:textId="77777777">
      <w:r>
        <w:t>Неколико пасуса о томе шта је постигнуто — обично се понови увод, али у прошлом времену.</w:t>
      </w:r>
    </w:p>
    <w:p w14:paraId="735DA710" w14:textId="77777777">
      <w:r>
        <w:t>Један пасус о томе шта би могло да се унапреди у будућем раду.</w:t>
      </w:r>
    </w:p>
    <w:p w14:paraId="6ADEF7D6" w14:textId="77777777">
      <w:pPr>
        <w:spacing w:after="0" w:line="20" w:lineRule="exact"/>
        <w:rPr>
          <w:sz w:val="2"/>
        </w:rPr>
        <w:sectPr>
          <w:headerReference w:type="even" r:id="rId28"/>
          <w:headerReference w:type="first" r:id="rId29"/>
          <w:type w:val="oddPage"/>
          <w:pgSz w:w="9978" w:h="14173"/>
          <w:pgMar w:top="1417" w:right="850" w:bottom="1417" w:left="1134" w:header="567" w:footer="992" w:gutter="0"/>
          <w:cols w:space="708"/>
          <w:titlePg/>
          <w:docGrid w:linePitch="360"/>
        </w:sectPr>
      </w:pPr>
    </w:p>
    <w:p w14:paraId="06D6C3A8" w14:textId="77777777">
      <w:pPr>
        <w:pStyle w:val="Heading1"/>
      </w:pPr>
      <w:bookmarkStart w:id="12" w:name="_Toc239973929"/>
      <w:r>
        <w:lastRenderedPageBreak/>
        <w:t>Списак слика</w:t>
      </w:r>
      <w:bookmarkEnd w:id="12"/>
    </w:p>
    <w:p w14:paraId="781CC1B2" w14:textId="77777777">
      <w:pPr>
        <w:pStyle w:val="TableofFigures"/>
        <w:rPr>
          <w:rFonts w:asciiTheme="minorHAnsi" w:eastAsiaTheme="minorEastAsia" w:hAnsiTheme="minorHAnsi" w:cstheme="minorBidi"/>
          <w:noProof/>
          <w:kern w:val="2"/>
          <w:sz w:val="24"/>
          <w:szCs w:val="24"/>
          <w:lang w:val="sr-Latn-RS" w:eastAsia="sr-Latn-RS"/>
          <w14:ligatures w14:val="standardContextual"/>
        </w:rPr>
      </w:pPr>
      <w:r>
        <w:fldChar w:fldCharType="begin"/>
        <w:instrText>TOC \z \c "Слика"</w:instrText>
        <w:fldChar w:fldCharType="separate"/>
      </w:r>
      <w:r>
        <w:rPr>
          <w:noProof/>
        </w:rPr>
        <w:t>Слика 1: Пример натписа слике.</w:t>
      </w:r>
      <w:r>
        <w:rPr>
          <w:noProof/>
          <w:webHidden/>
        </w:rPr>
        <w:tab/>
        <w:fldChar w:fldCharType="begin"/>
        <w:instrText xml:space="preserve"> PAGEREF _Toc239973942 \h </w:instrText>
        <w:fldChar w:fldCharType="separate"/>
        <w:t>26</w:t>
        <w:fldChar w:fldCharType="end"/>
      </w:r>
    </w:p>
    <w:p w14:paraId="023FB650" w14:textId="77777777">
      <w:pPr>
        <w:pStyle w:val="TableofFigures"/>
      </w:pPr>
      <w:r>
        <w:fldChar w:fldCharType="end"/>
      </w:r>
    </w:p>
    <w:p w14:paraId="6141DD39" w14:textId="77777777">
      <w:pPr>
        <w:spacing w:after="0" w:line="20" w:lineRule="exact"/>
        <w:rPr>
          <w:sz w:val="2"/>
        </w:rPr>
        <w:sectPr>
          <w:headerReference w:type="even" r:id="rId30"/>
          <w:headerReference w:type="first" r:id="rId31"/>
          <w:type w:val="oddPage"/>
          <w:pgSz w:w="9978" w:h="14173"/>
          <w:pgMar w:top="1417" w:right="850" w:bottom="1417" w:left="1134" w:header="567" w:footer="992" w:gutter="0"/>
          <w:cols w:space="708"/>
          <w:titlePg/>
          <w:docGrid w:linePitch="360"/>
        </w:sectPr>
      </w:pPr>
    </w:p>
    <w:p w14:paraId="36D0BC76" w14:textId="77777777">
      <w:pPr>
        <w:pStyle w:val="Heading1"/>
      </w:pPr>
      <w:bookmarkStart w:id="13" w:name="_Toc239973930"/>
      <w:r>
        <w:lastRenderedPageBreak/>
        <w:t>Списак листинга</w:t>
      </w:r>
      <w:bookmarkEnd w:id="13"/>
    </w:p>
    <w:p w14:paraId="00DAC2CD" w14:textId="77777777">
      <w:pPr>
        <w:pStyle w:val="TableofFigures"/>
        <w:rPr>
          <w:rFonts w:asciiTheme="minorHAnsi" w:eastAsiaTheme="minorEastAsia" w:hAnsiTheme="minorHAnsi" w:cstheme="minorBidi"/>
          <w:noProof/>
          <w:kern w:val="2"/>
          <w:sz w:val="24"/>
          <w:szCs w:val="24"/>
          <w:lang w:val="sr-Latn-RS" w:eastAsia="sr-Latn-RS"/>
          <w14:ligatures w14:val="standardContextual"/>
        </w:rPr>
      </w:pPr>
      <w:r>
        <w:fldChar w:fldCharType="begin"/>
        <w:instrText>TOC \z \c "Листинг"</w:instrText>
        <w:fldChar w:fldCharType="separate"/>
      </w:r>
      <w:r>
        <w:rPr>
          <w:noProof/>
        </w:rPr>
        <w:t>Листинг 1: Пример листинга.</w:t>
      </w:r>
      <w:r>
        <w:rPr>
          <w:noProof/>
          <w:webHidden/>
        </w:rPr>
        <w:tab/>
        <w:fldChar w:fldCharType="begin"/>
        <w:instrText xml:space="preserve"> PAGEREF _Toc239973943 \h </w:instrText>
        <w:fldChar w:fldCharType="separate"/>
        <w:t>26</w:t>
        <w:fldChar w:fldCharType="end"/>
      </w:r>
    </w:p>
    <w:p w14:paraId="636FF455" w14:textId="77777777">
      <w:pPr>
        <w:pStyle w:val="TableofFigures"/>
      </w:pPr>
      <w:r>
        <w:fldChar w:fldCharType="end"/>
      </w:r>
    </w:p>
    <w:p w14:paraId="58FD541E" w14:textId="77777777">
      <w:pPr>
        <w:spacing w:after="0" w:line="20" w:lineRule="exact"/>
        <w:rPr>
          <w:sz w:val="2"/>
        </w:rPr>
        <w:sectPr>
          <w:headerReference w:type="even" r:id="rId32"/>
          <w:headerReference w:type="first" r:id="rId33"/>
          <w:type w:val="oddPage"/>
          <w:pgSz w:w="9978" w:h="14173"/>
          <w:pgMar w:top="1417" w:right="850" w:bottom="1417" w:left="1134" w:header="567" w:footer="992" w:gutter="0"/>
          <w:cols w:space="708"/>
          <w:titlePg/>
          <w:docGrid w:linePitch="360"/>
        </w:sectPr>
      </w:pPr>
    </w:p>
    <w:p w14:paraId="0990F624" w14:textId="77777777">
      <w:pPr>
        <w:pStyle w:val="Heading1"/>
      </w:pPr>
      <w:bookmarkStart w:id="14" w:name="_Toc239973931"/>
      <w:r>
        <w:lastRenderedPageBreak/>
        <w:t>Списак табела</w:t>
      </w:r>
      <w:bookmarkEnd w:id="14"/>
    </w:p>
    <w:p w14:paraId="193F847E" w14:textId="77777777">
      <w:pPr>
        <w:pStyle w:val="TableofFigures"/>
        <w:rPr>
          <w:rFonts w:asciiTheme="minorHAnsi" w:eastAsiaTheme="minorEastAsia" w:hAnsiTheme="minorHAnsi" w:cstheme="minorBidi"/>
          <w:noProof/>
          <w:kern w:val="2"/>
          <w:sz w:val="24"/>
          <w:szCs w:val="24"/>
          <w:lang w:val="sr-Latn-RS" w:eastAsia="sr-Latn-RS"/>
          <w14:ligatures w14:val="standardContextual"/>
        </w:rPr>
      </w:pPr>
      <w:r>
        <w:fldChar w:fldCharType="begin"/>
        <w:instrText>TOC \z \c "Табела"</w:instrText>
        <w:fldChar w:fldCharType="separate"/>
      </w:r>
      <w:r>
        <w:rPr>
          <w:noProof/>
        </w:rPr>
        <w:t>Табела 1: Пример табеле.</w:t>
      </w:r>
      <w:r>
        <w:rPr>
          <w:noProof/>
          <w:webHidden/>
        </w:rPr>
        <w:tab/>
        <w:fldChar w:fldCharType="begin"/>
        <w:instrText xml:space="preserve"> PAGEREF _Toc239973944 \h </w:instrText>
        <w:fldChar w:fldCharType="separate"/>
        <w:t>26</w:t>
        <w:fldChar w:fldCharType="end"/>
      </w:r>
    </w:p>
    <w:p w14:paraId="34CA9F34" w14:textId="77777777">
      <w:pPr>
        <w:pStyle w:val="TableofFigures"/>
      </w:pPr>
      <w:r>
        <w:fldChar w:fldCharType="end"/>
      </w:r>
    </w:p>
    <w:p w14:paraId="5C4A6807" w14:textId="77777777">
      <w:pPr>
        <w:spacing w:after="0" w:line="20" w:lineRule="exact"/>
        <w:rPr>
          <w:sz w:val="2"/>
        </w:rPr>
        <w:sectPr>
          <w:headerReference w:type="even" r:id="rId34"/>
          <w:headerReference w:type="first" r:id="rId35"/>
          <w:type w:val="oddPage"/>
          <w:pgSz w:w="9978" w:h="14173"/>
          <w:pgMar w:top="1417" w:right="850" w:bottom="1417" w:left="1134" w:header="567" w:footer="992" w:gutter="0"/>
          <w:cols w:space="708"/>
          <w:titlePg/>
          <w:docGrid w:linePitch="360"/>
        </w:sectPr>
      </w:pPr>
    </w:p>
    <w:p w14:paraId="2D85C217" w14:textId="77777777">
      <w:pPr>
        <w:pStyle w:val="Heading1"/>
      </w:pPr>
      <w:bookmarkStart w:id="15" w:name="_Toc239973932"/>
      <w:r>
        <w:lastRenderedPageBreak/>
        <w:t>Списак коришћених скраћеница</w:t>
      </w:r>
      <w:bookmarkEnd w:id="15"/>
    </w:p>
    <w:tbl>
      <w:tblPr>
        <w:tblStyle w:val="TabelaFTN"/>
        <w:tblW w:w="7994" w:type="dxa"/>
        <w:jc w:val="center"/>
        <w:tblBorders>
          <w:top w:val="none" w:sz="0" w:space="0" w:color="auto"/>
          <w:left w:val="none" w:sz="0" w:space="0" w:color="auto"/>
          <w:right w:val="none" w:sz="0" w:space="0" w:color="auto"/>
          <w:insideH w:val="single" w:sz="4" w:space="0" w:color="D9D9D9"/>
          <w:insideV w:val="none" w:sz="0" w:space="0" w:color="auto"/>
        </w:tblBorders>
        <w:tblLayout w:type="fixed"/>
        <w:tblCellMar>
          <w:top w:w="28" w:type="dxa"/>
          <w:bottom w:w="28" w:type="dxa"/>
        </w:tblCellMar>
        <w:tblLook w:val="04A0" w:firstRow="1" w:lastRow="0" w:firstColumn="1" w:lastColumn="0" w:noHBand="0" w:noVBand="1"/>
      </w:tblPr>
      <w:tblGrid>
        <w:gridCol w:w="1984"/>
        <w:gridCol w:w="6010"/>
      </w:tblGrid>
      <w:tr w14:paraId="603298D7"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984" w:type="dxa"/>
          </w:tcPr>
          <w:p w14:paraId="7F73B542" w14:textId="77777777">
            <w:pPr>
              <w:pStyle w:val="Tabelazaglavlje"/>
            </w:pPr>
            <w:r>
              <w:t>Скраћеница</w:t>
            </w:r>
          </w:p>
        </w:tc>
        <w:tc>
          <w:tcPr>
            <w:tcW w:w="6010" w:type="dxa"/>
          </w:tcPr>
          <w:p w14:paraId="14FD9B11" w14:textId="77777777">
            <w:pPr>
              <w:pStyle w:val="Tabelazaglavlje"/>
            </w:pPr>
            <w:r>
              <w:t>Опис</w:t>
            </w:r>
          </w:p>
        </w:tc>
      </w:tr>
      <w:tr w14:paraId="5ECC1870" w14:textId="77777777">
        <w:trPr>
          <w:cantSplit/>
          <w:jc w:val="center"/>
        </w:trPr>
        <w:tc>
          <w:tcPr>
            <w:tcW w:w="1984" w:type="dxa"/>
          </w:tcPr>
          <w:p w14:paraId="101E5CC1" w14:textId="77777777">
            <w:pPr>
              <w:pStyle w:val="Tabelatekst"/>
            </w:pPr>
            <w:r>
              <w:t>API</w:t>
            </w:r>
          </w:p>
        </w:tc>
        <w:tc>
          <w:tcPr>
            <w:tcW w:w="6010" w:type="dxa"/>
          </w:tcPr>
          <w:p w14:paraId="77D91A1F" w14:textId="77777777">
            <w:pPr>
              <w:pStyle w:val="Tabelatekst"/>
            </w:pPr>
            <w:r>
              <w:t xml:space="preserve">Application Programming Interface (апликациони програмски интерфејс)</w:t>
            </w:r>
          </w:p>
        </w:tc>
      </w:tr>
      <w:tr w14:paraId="3873BB90" w14:textId="77777777">
        <w:trPr>
          <w:cantSplit/>
          <w:jc w:val="center"/>
        </w:trPr>
        <w:tc>
          <w:tcPr>
            <w:tcW w:w="1984" w:type="dxa"/>
          </w:tcPr>
          <w:p w14:paraId="56D26038" w14:textId="77777777">
            <w:pPr>
              <w:pStyle w:val="Tabelatekst"/>
            </w:pPr>
            <w:r>
              <w:t>HTTP</w:t>
            </w:r>
          </w:p>
        </w:tc>
        <w:tc>
          <w:tcPr>
            <w:tcW w:w="6010" w:type="dxa"/>
          </w:tcPr>
          <w:p w14:paraId="5FC234E2" w14:textId="77777777">
            <w:pPr>
              <w:pStyle w:val="Tabelatekst"/>
            </w:pPr>
            <w:r>
              <w:t xml:space="preserve">HyperText Transfer Protocol (протокол за пренос хипертекста)</w:t>
            </w:r>
          </w:p>
        </w:tc>
      </w:tr>
      <w:tr w14:paraId="05B2C4E1" w14:textId="77777777">
        <w:trPr>
          <w:cantSplit/>
          <w:jc w:val="center"/>
        </w:trPr>
        <w:tc>
          <w:tcPr>
            <w:tcW w:w="1984" w:type="dxa"/>
          </w:tcPr>
          <w:p w14:paraId="4AEF47A6" w14:textId="77777777">
            <w:pPr>
              <w:pStyle w:val="Tabelatekst"/>
            </w:pPr>
            <w:r>
              <w:t>JSON</w:t>
            </w:r>
          </w:p>
        </w:tc>
        <w:tc>
          <w:tcPr>
            <w:tcW w:w="6010" w:type="dxa"/>
          </w:tcPr>
          <w:p w14:paraId="589C77F5" w14:textId="77777777">
            <w:pPr>
              <w:pStyle w:val="Tabelatekst"/>
            </w:pPr>
            <w:r>
              <w:t xml:space="preserve">JavaScript Object Notation (формат за размену података)</w:t>
            </w:r>
          </w:p>
        </w:tc>
      </w:tr>
      <w:tr w14:paraId="123AD3F7" w14:textId="77777777">
        <w:trPr>
          <w:cantSplit/>
          <w:jc w:val="center"/>
        </w:trPr>
        <w:tc>
          <w:tcPr>
            <w:tcW w:w="1984" w:type="dxa"/>
          </w:tcPr>
          <w:p w14:paraId="36379B2B" w14:textId="77777777">
            <w:pPr>
              <w:pStyle w:val="Tabelatekst"/>
            </w:pPr>
            <w:r>
              <w:t>UML</w:t>
            </w:r>
          </w:p>
        </w:tc>
        <w:tc>
          <w:tcPr>
            <w:tcW w:w="6010" w:type="dxa"/>
          </w:tcPr>
          <w:p w14:paraId="0E4899A4" w14:textId="77777777">
            <w:pPr>
              <w:pStyle w:val="Tabelatekst"/>
            </w:pPr>
            <w:r>
              <w:t xml:space="preserve">Unified Modeling Language (језик за моделовање дијаграма)</w:t>
            </w:r>
          </w:p>
        </w:tc>
      </w:tr>
    </w:tbl>
    <w:p w14:paraId="75E264B9" w14:textId="77777777">
      <w:pPr>
        <w:spacing w:after="0" w:line="20" w:lineRule="exact"/>
        <w:rPr>
          <w:sz w:val="2"/>
        </w:rPr>
        <w:sectPr>
          <w:headerReference w:type="even" r:id="rId36"/>
          <w:headerReference w:type="first" r:id="rId37"/>
          <w:type w:val="oddPage"/>
          <w:pgSz w:w="9978" w:h="14173"/>
          <w:pgMar w:top="1417" w:right="850" w:bottom="1417" w:left="1134" w:header="567" w:footer="992" w:gutter="0"/>
          <w:cols w:space="708"/>
          <w:titlePg/>
          <w:docGrid w:linePitch="360"/>
        </w:sectPr>
      </w:pPr>
    </w:p>
    <w:p w14:paraId="093EFDAE" w14:textId="77777777">
      <w:pPr>
        <w:pStyle w:val="Heading1"/>
      </w:pPr>
      <w:bookmarkStart w:id="16" w:name="_Toc239973933"/>
      <w:r>
        <w:lastRenderedPageBreak/>
        <w:t>Списак коришћених појмова</w:t>
      </w:r>
      <w:bookmarkEnd w:id="16"/>
    </w:p>
    <w:tbl>
      <w:tblPr>
        <w:tblStyle w:val="TabelaFTN"/>
        <w:tblW w:w="7994" w:type="dxa"/>
        <w:jc w:val="center"/>
        <w:tblBorders>
          <w:top w:val="none" w:sz="0" w:space="0" w:color="auto"/>
          <w:left w:val="none" w:sz="0" w:space="0" w:color="auto"/>
          <w:right w:val="none" w:sz="0" w:space="0" w:color="auto"/>
          <w:insideH w:val="single" w:sz="4" w:space="0" w:color="D9D9D9"/>
          <w:insideV w:val="none" w:sz="0" w:space="0" w:color="auto"/>
        </w:tblBorders>
        <w:tblLayout w:type="fixed"/>
        <w:tblCellMar>
          <w:top w:w="28" w:type="dxa"/>
          <w:bottom w:w="28" w:type="dxa"/>
        </w:tblCellMar>
        <w:tblLook w:val="04A0" w:firstRow="1" w:lastRow="0" w:firstColumn="1" w:lastColumn="0" w:noHBand="0" w:noVBand="1"/>
      </w:tblPr>
      <w:tblGrid>
        <w:gridCol w:w="2268"/>
        <w:gridCol w:w="5726"/>
      </w:tblGrid>
      <w:tr w14:paraId="7A1A25F5"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2268" w:type="dxa"/>
          </w:tcPr>
          <w:p w14:paraId="5096A20D" w14:textId="77777777">
            <w:pPr>
              <w:pStyle w:val="Tabelazaglavlje"/>
            </w:pPr>
            <w:r>
              <w:t>Појам</w:t>
            </w:r>
          </w:p>
        </w:tc>
        <w:tc>
          <w:tcPr>
            <w:tcW w:w="5726" w:type="dxa"/>
          </w:tcPr>
          <w:p w14:paraId="3DD39C26" w14:textId="77777777">
            <w:pPr>
              <w:pStyle w:val="Tabelazaglavlje"/>
            </w:pPr>
            <w:r>
              <w:t>Објашњење</w:t>
            </w:r>
          </w:p>
        </w:tc>
      </w:tr>
      <w:tr w14:paraId="42D409B6" w14:textId="77777777">
        <w:trPr>
          <w:cantSplit/>
          <w:jc w:val="center"/>
        </w:trPr>
        <w:tc>
          <w:tcPr>
            <w:tcW w:w="2268" w:type="dxa"/>
          </w:tcPr>
          <w:p w14:paraId="582F2522" w14:textId="77777777">
            <w:pPr>
              <w:pStyle w:val="Tabelatekst"/>
            </w:pPr>
            <w:r>
              <w:t>[Појам]</w:t>
            </w:r>
          </w:p>
        </w:tc>
        <w:tc>
          <w:tcPr>
            <w:tcW w:w="5726" w:type="dxa"/>
          </w:tcPr>
          <w:p w14:paraId="23B07061" w14:textId="77777777">
            <w:pPr>
              <w:pStyle w:val="Tabelatekst"/>
            </w:pPr>
            <w:r>
              <w:t>[Објашњење појма у једној или две реченице.]</w:t>
            </w:r>
          </w:p>
        </w:tc>
      </w:tr>
      <w:tr w14:paraId="607211A5" w14:textId="77777777">
        <w:trPr>
          <w:cantSplit/>
          <w:jc w:val="center"/>
        </w:trPr>
        <w:tc>
          <w:tcPr>
            <w:tcW w:w="2268" w:type="dxa"/>
          </w:tcPr>
          <w:p w14:paraId="5B85681A" w14:textId="77777777">
            <w:pPr>
              <w:pStyle w:val="Tabelatekst"/>
            </w:pPr>
            <w:r>
              <w:t>[Појам]</w:t>
            </w:r>
          </w:p>
        </w:tc>
        <w:tc>
          <w:tcPr>
            <w:tcW w:w="5726" w:type="dxa"/>
          </w:tcPr>
          <w:p w14:paraId="27F7973F" w14:textId="77777777">
            <w:pPr>
              <w:pStyle w:val="Tabelatekst"/>
            </w:pPr>
            <w:r>
              <w:t>[Објашњење појма у једној или две реченице.]</w:t>
            </w:r>
          </w:p>
        </w:tc>
      </w:tr>
    </w:tbl>
    <w:p w14:paraId="131BC4E8" w14:textId="77777777">
      <w:pPr>
        <w:spacing w:after="0" w:line="20" w:lineRule="exact"/>
        <w:rPr>
          <w:sz w:val="2"/>
        </w:rPr>
        <w:sectPr>
          <w:headerReference w:type="even" r:id="rId38"/>
          <w:headerReference w:type="first" r:id="rId39"/>
          <w:type w:val="oddPage"/>
          <w:pgSz w:w="9978" w:h="14173"/>
          <w:pgMar w:top="1417" w:right="850" w:bottom="1417" w:left="1134" w:header="567" w:footer="992" w:gutter="0"/>
          <w:cols w:space="708"/>
          <w:titlePg/>
          <w:docGrid w:linePitch="360"/>
        </w:sectPr>
      </w:pPr>
    </w:p>
    <w:p w14:paraId="2B5DA337" w14:textId="77777777">
      <w:pPr>
        <w:pStyle w:val="Heading1"/>
      </w:pPr>
      <w:bookmarkStart w:id="17" w:name="_Toc239973934"/>
      <w:r>
        <w:lastRenderedPageBreak/>
        <w:t>Биографија</w:t>
      </w:r>
      <w:bookmarkEnd w:id="17"/>
    </w:p>
    <w:p w14:paraId="424B51E4" w14:textId="77777777">
      <w:r>
        <w:t>[Кратка биографија кандидата: где и када рођен/а, основна и средња школа, студије, стручно искуство.]</w:t>
      </w:r>
    </w:p>
    <w:p w14:paraId="5E917AA8" w14:textId="77777777">
      <w:pPr>
        <w:spacing w:after="0" w:line="20" w:lineRule="exact"/>
        <w:rPr>
          <w:sz w:val="2"/>
        </w:rPr>
        <w:sectPr>
          <w:headerReference w:type="even" r:id="rId40"/>
          <w:headerReference w:type="first" r:id="rId41"/>
          <w:type w:val="oddPage"/>
          <w:pgSz w:w="9978" w:h="14173"/>
          <w:pgMar w:top="1417" w:right="850" w:bottom="1417" w:left="1134" w:header="567" w:footer="992" w:gutter="0"/>
          <w:cols w:space="708"/>
          <w:titlePg/>
          <w:docGrid w:linePitch="360"/>
        </w:sectPr>
      </w:pPr>
    </w:p>
    <w:p w14:paraId="0E1B6F47" w14:textId="77777777">
      <w:pPr>
        <w:pStyle w:val="Heading1"/>
      </w:pPr>
      <w:bookmarkStart w:id="18" w:name="_Toc239973935"/>
      <w:r>
        <w:lastRenderedPageBreak/>
        <w:t>Литература</w:t>
      </w:r>
      <w:bookmarkEnd w:id="18"/>
    </w:p>
    <w:p>
      <w:pPr>
        <w:pStyle w:val="Literaturastavka"/>
      </w:pPr>
      <w:r>
        <w:t xml:space="preserve">Splitwise, Inc., „Splitwise“. Доступно на: https://www.splitwise.com (приступљено 22. 10. 2026.).</w:t>
      </w:r>
    </w:p>
    <w:p>
      <w:pPr>
        <w:pStyle w:val="Literaturastavka"/>
      </w:pPr>
      <w:r>
        <w:t xml:space="preserve">Tricount, „Tricount joins forces with bunq“. Доступно на: https://blog.tricount.com/en/tricount-joins-forces-with-bunq (приступљено 22. 10. 2026.).</w:t>
      </w:r>
    </w:p>
    <w:p>
      <w:pPr>
        <w:pStyle w:val="Literaturastavka"/>
      </w:pPr>
      <w:r>
        <w:t xml:space="preserve">Martín, R. M., „Bizum and the success of instant credit transfers in Spain“, Banco de España, 21. 3. 2024. Доступно на: https://www.bde.es/wbe/en/noticias-eventos/blog/bizum-y-el-exito-de-las-transferencias-inmediatas-en-espana.html (приступљено 22. 10. 2026.).</w:t>
      </w:r>
    </w:p>
    <w:p>
      <w:pPr>
        <w:pStyle w:val="Literaturastavka"/>
      </w:pPr>
      <w:r>
        <w:t xml:space="preserve">Народна банка Србије, „Инстант плаћања Србије – NBS IPS QR код: препоруке и валидација“. Доступно на: https://ips.nbs.rs/PDF/pdfPreporukeValidacijaLat.pdf (приступљено 22. 10. 2026.).</w:t>
      </w:r>
    </w:p>
    <w:p>
      <w:pPr>
        <w:pStyle w:val="Literaturastavka"/>
      </w:pPr>
      <w:r>
        <w:t xml:space="preserve">Verhoeff, T., „Settling Multiple Debts Efficiently: An Invitation to Computing Science“, Informatics in Education, вол. 3, бр. 1, стр. 105–126, 2004.</w:t>
      </w:r>
    </w:p>
    <w:p>
      <w:pPr>
        <w:pStyle w:val="Literaturastavka"/>
      </w:pPr>
      <w:r>
        <w:t xml:space="preserve">Patcaș, C., „The debts' clearing problem: a new approach“, Acta Universitatis Sapientiae, Informatica, вол. 3, бр. 2, стр. 192–204, 2011.</w:t>
      </w:r>
    </w:p>
    <w:p>
      <w:pPr>
        <w:pStyle w:val="Literaturastavka"/>
      </w:pPr>
      <w:r>
        <w:t xml:space="preserve">PCI Security Standards Council, „Payment Card Industry Data Security Standard: Requirements and Testing Procedures, v4.0.1“, јун 2024. Доступно на: https://www.pcisecuritystandards.org/document_library/ (приступљено 22. 10. 2026.).</w:t>
      </w:r>
    </w:p>
    <w:p>
      <w:pPr>
        <w:pStyle w:val="Literaturastavka"/>
      </w:pPr>
      <w:r>
        <w:t xml:space="preserve">PCI Security Standards Council, „Information Supplement: PCI DSS Tokenization Guidelines“, август 2011.</w:t>
      </w:r>
    </w:p>
    <w:p>
      <w:pPr>
        <w:pStyle w:val="Literaturastavka"/>
      </w:pPr>
      <w:r>
        <w:t xml:space="preserve">ISO/IEC 7812-1:2017, „Identification cards — Identification of issuers — Part 1: Numbering system“, International Organization for Standardization, 2017.</w:t>
      </w:r>
    </w:p>
    <w:p>
      <w:pPr>
        <w:pStyle w:val="Literaturastavka"/>
      </w:pPr>
      <w:r>
        <w:t xml:space="preserve">Krawczyk, H., Bellare, M., Canetti, R., „HMAC: Keyed-Hashing for Message Authentication“, RFC 2104, IETF, фебруар 1997.</w:t>
      </w:r>
    </w:p>
    <w:p>
      <w:pPr>
        <w:pStyle w:val="Literaturastavka"/>
      </w:pPr>
      <w:r>
        <w:t xml:space="preserve">Palermo, J., „The Onion Architecture: part 1“, 2008. Доступно на: https://jeffreypalermo.com/blog/the-onion-architecture-part-1/ (приступљено 22. 10. 2026.).</w:t>
      </w:r>
    </w:p>
    <w:p>
      <w:pPr>
        <w:pStyle w:val="Literaturastavka"/>
      </w:pPr>
      <w:r>
        <w:t xml:space="preserve">Microsoft, „ASP.NET Core documentation“. Доступно на: https://learn.microsoft.com/aspnet/core/ (приступљено 22. 10. 2026.).</w:t>
      </w:r>
    </w:p>
    <w:p>
      <w:pPr>
        <w:pStyle w:val="Literaturastavka"/>
      </w:pPr>
      <w:r>
        <w:t xml:space="preserve">Jones, M., Bradley, J., Sakimura, N., „JSON Web Token (JWT)“, RFC 7519, IETF, мај 2015.</w:t>
      </w:r>
    </w:p>
    <w:p>
      <w:pPr>
        <w:pStyle w:val="Literaturastavka"/>
      </w:pPr>
      <w:r>
        <w:t xml:space="preserve">Microsoft, „Entity Framework Core documentation“. Доступно на: https://learn.microsoft.com/ef/core/ (приступљено 22. 10. 2026.).</w:t>
      </w:r>
    </w:p>
    <w:p>
      <w:pPr>
        <w:pStyle w:val="Literaturastavka"/>
      </w:pPr>
      <w:r>
        <w:t xml:space="preserve">The PostgreSQL Global Development Group, „PostgreSQL Documentation“. Доступно на: https://www.postgresql.org/docs/ (приступљено 22. 10. 2026.).</w:t>
      </w:r>
    </w:p>
    <w:p>
      <w:pPr>
        <w:pStyle w:val="Literaturastavka"/>
      </w:pPr>
      <w:r>
        <w:t xml:space="preserve">Microsoft, „Overview of ASP.NET Core SignalR“. Доступно на: https://learn.microsoft.com/aspnet/core/signalr/introduction (приступљено 22. 10. 2026.).</w:t>
      </w:r>
    </w:p>
    <w:p>
      <w:pPr>
        <w:pStyle w:val="Literaturastavka"/>
      </w:pPr>
      <w:r>
        <w:t xml:space="preserve">Microsoft, „HybridCache library in ASP.NET Core“. Доступно на: https://learn.microsoft.com/aspnet/core/performance/caching/hybrid (приступљено 22. 10. 2026.).</w:t>
      </w:r>
    </w:p>
    <w:p>
      <w:pPr>
        <w:pStyle w:val="Literaturastavka"/>
      </w:pPr>
      <w:r>
        <w:t xml:space="preserve">QuestPDF, „QuestPDF documentation“. Доступно на: https://www.questpdf.com/ (приступљено 22. 10. 2026.).</w:t>
      </w:r>
    </w:p>
    <w:p>
      <w:pPr>
        <w:pStyle w:val="Literaturastavka"/>
      </w:pPr>
      <w:r>
        <w:t xml:space="preserve">Meta Open Source, „React“. Доступно на: https://react.dev/ (приступљено 22. 10. 2026.).</w:t>
      </w:r>
    </w:p>
    <w:p>
      <w:pPr>
        <w:pStyle w:val="Literaturastavka"/>
      </w:pPr>
      <w:r>
        <w:t xml:space="preserve">Microsoft, „TypeScript documentation“. Доступно на: https://www.typescriptlang.org/docs/ (приступљено 22. 10. 2026.).</w:t>
      </w:r>
    </w:p>
    <w:p>
      <w:pPr>
        <w:pStyle w:val="Literaturastavka"/>
      </w:pPr>
      <w:r>
        <w:t xml:space="preserve">Vite, „Vite guide“. Доступно на: https://vite.dev/guide/ (приступљено 22. 10. 2026.).</w:t>
      </w:r>
    </w:p>
    <w:p>
      <w:pPr>
        <w:pStyle w:val="Literaturastavka"/>
      </w:pPr>
      <w:r>
        <w:t xml:space="preserve">Leaflet, „Leaflet – an open-source JavaScript library for interactive maps“. Доступно на: https://leafletjs.com/ (приступљено 22. 10. 2026.).</w:t>
      </w:r>
    </w:p>
    <w:p w14:paraId="56A52116" w14:textId="77777777">
      <w:pPr>
        <w:spacing w:after="0" w:line="20" w:lineRule="exact"/>
        <w:rPr>
          <w:sz w:val="2"/>
        </w:rPr>
        <w:sectPr>
          <w:headerReference w:type="even" r:id="rId42"/>
          <w:headerReference w:type="first" r:id="rId43"/>
          <w:type w:val="oddPage"/>
          <w:pgSz w:w="9978" w:h="14173"/>
          <w:pgMar w:top="1417" w:right="850" w:bottom="1417" w:left="1134" w:header="567" w:footer="992" w:gutter="0"/>
          <w:cols w:space="708"/>
          <w:titlePg/>
          <w:docGrid w:linePitch="360"/>
        </w:sectPr>
      </w:pPr>
    </w:p>
    <w:p>
      <w:pPr>
        <w:pStyle w:val="Heading1"/>
      </w:pPr>
      <w:r>
        <w:t xml:space="preserve">Прилог А: Комплетан модел података</w:t>
      </w:r>
    </w:p>
    <w:p xmlns:a="http://schemas.openxmlformats.org/drawingml/2006/main" xmlns:pic="http://schemas.openxmlformats.org/drawingml/2006/picture">
      <w:pPr>
        <w:pStyle w:val="Slika"/>
      </w:pPr>
      <w:r>
        <w:drawing>
          <wp:inline distT="0" distB="0" distL="0" distR="0">
            <wp:extent cx="6345237" cy="3447579"/>
            <wp:effectExtent l="0" t="0" r="0" b="0"/>
            <wp:docPr id="3008" name="Слика 3008"/>
            <wp:cNvGraphicFramePr>
              <a:graphicFrameLocks noChangeAspect="1"/>
            </wp:cNvGraphicFramePr>
            <a:graphic>
              <a:graphicData uri="http://schemas.openxmlformats.org/drawingml/2006/picture">
                <pic:pic>
                  <pic:nvPicPr>
                    <pic:cNvPr id="3008" name="fig8.png"/>
                    <pic:cNvPicPr/>
                  </pic:nvPicPr>
                  <pic:blipFill>
                    <a:blip r:embed="rIdFig8"/>
                    <a:stretch>
                      <a:fillRect/>
                    </a:stretch>
                  </pic:blipFill>
                  <pic:spPr>
                    <a:xfrm>
                      <a:off x="0" y="0"/>
                      <a:ext cx="6345237" cy="3447579"/>
                    </a:xfrm>
                    <a:prstGeom prst="rect">
                      <a:avLst/>
                    </a:prstGeom>
                  </pic:spPr>
                </pic:pic>
              </a:graphicData>
            </a:graphic>
          </wp:inline>
        </w:drawing>
      </w:r>
    </w:p>
    <w:p>
      <w:pPr>
        <w:pStyle w:val="Caption"/>
      </w:pPr>
      <w:r>
        <w:t xml:space="preserve">Слика </w:t>
      </w:r>
      <w:bookmarkStart w:id="5034" w:name="_Ref_fig_model_full"/>
      <w:r>
        <w:fldChar w:fldCharType="begin"/>
      </w:r>
      <w:r>
        <w:instrText xml:space="preserve"> SEQ Слика \* ARABIC </w:instrText>
      </w:r>
      <w:r>
        <w:fldChar w:fldCharType="separate"/>
      </w:r>
      <w:r>
        <w:rPr>
          <w:noProof/>
        </w:rPr>
        <w:t xml:space="preserve">18</w:t>
      </w:r>
      <w:r>
        <w:fldChar w:fldCharType="end"/>
      </w:r>
      <w:bookmarkEnd w:id="5034"/>
      <w:r>
        <w:t xml:space="preserve">: Комплетан модел података система FairShare: сви ентитети (насљеђују BaseEntity), набројиви типови и везе.</w:t>
      </w:r>
    </w:p>
    <w:p>
      <w:pPr>
        <w:spacing w:after="0" w:line="20" w:lineRule="exact"/>
        <w:rPr>
          <w:sz w:val="2"/>
        </w:rPr>
        <w:sectPr>
          <w:headerReference w:type="even" r:id="rId42"/>
          <w:headerReference w:type="first" r:id="rId43"/>
          <w:type w:val="oddPage"/>
          <w:pgSz w:w="14173" w:h="9978" w:orient="landscape"/>
          <w:pgMar w:top="1417" w:right="850" w:bottom="1417" w:left="1134" w:header="567" w:footer="992" w:gutter="0"/>
          <w:cols w:space="708"/>
          <w:titlePg/>
          <w:docGrid w:linePitch="360"/>
        </w:sectPr>
      </w:pPr>
    </w:p>
    <w:p w14:paraId="17F3247B" w14:textId="77777777">
      <w:pPr>
        <w:pStyle w:val="Heading1"/>
      </w:pPr>
      <w:bookmarkStart w:id="19" w:name="_Toc239973936"/>
      <w:r>
        <w:lastRenderedPageBreak/>
        <w:t>Упутство за коришћење шаблона</w:t>
      </w:r>
      <w:bookmarkEnd w:id="19"/>
    </w:p>
    <w:p w14:paraId="65CB5434" w14:textId="77777777">
      <w:r>
        <w:t xml:space="preserve">Ово поглавље обрисати пре предаје рада: означите га заједно са преломом секције испред њега и притисните Delete.</w:t>
      </w:r>
    </w:p>
    <w:p w14:paraId="446A40B5" w14:textId="77777777">
      <w:pPr>
        <w:pStyle w:val="Heading2"/>
      </w:pPr>
      <w:r>
        <w:t>Шта попунити</w:t>
      </w:r>
    </w:p>
    <w:p w14:paraId="3B413639" w14:textId="77777777">
      <w:r>
        <w:t>Сва места за попуњавање су у угластим заградама, па их најлакше налазите претрагом знака „[“. Обрасце попуните пре писања, а физички опис рада, датум одбране и чланове комисије тек на крају — те податке даје ментор.</w:t>
      </w:r>
    </w:p>
    <w:p w14:paraId="4FC9F3B6" w14:textId="77777777">
      <w:pPr>
        <w:pStyle w:val="Nabrajanje"/>
      </w:pPr>
      <w:r>
        <w:rPr>
          <w:bCs/>
        </w:rPr>
        <w:t>[Име и презиме] — насловна страна, задатак и кључна документација</w:t>
      </w:r>
    </w:p>
    <w:p w14:paraId="11976024" w14:textId="77777777">
      <w:pPr>
        <w:pStyle w:val="Nabrajanje"/>
      </w:pPr>
      <w:r>
        <w:rPr>
          <w:bCs/>
        </w:rPr>
        <w:t xml:space="preserve">[Name Surname] — само Key Words Documentation</w:t>
      </w:r>
    </w:p>
    <w:p w14:paraId="77500271" w14:textId="77777777">
      <w:pPr>
        <w:pStyle w:val="Nabrajanje"/>
      </w:pPr>
      <w:r>
        <w:rPr>
          <w:bCs/>
        </w:rPr>
        <w:t>[Наслов завршног рада] — насловна страна, задатак, кључна документација</w:t>
      </w:r>
    </w:p>
    <w:p w14:paraId="537AA030" w14:textId="77777777">
      <w:pPr>
        <w:pStyle w:val="Nabrajanje"/>
      </w:pPr>
      <w:r>
        <w:rPr>
          <w:bCs/>
        </w:rPr>
        <w:t xml:space="preserve">[Title of the thesis] — само Key Words Documentation</w:t>
      </w:r>
    </w:p>
    <w:p w14:paraId="22602416" w14:textId="77777777">
      <w:pPr>
        <w:pStyle w:val="Nabrajanje"/>
      </w:pPr>
      <w:r>
        <w:rPr>
          <w:bCs/>
        </w:rPr>
        <w:t>[студијски програм] — Софтверско инжењерство и информационе технологије, или Рачунарство и аутоматика</w:t>
      </w:r>
    </w:p>
    <w:p w14:paraId="5D5520E1" w14:textId="77777777">
      <w:pPr>
        <w:pStyle w:val="Nabrajanje"/>
      </w:pPr>
      <w:r>
        <w:rPr>
          <w:bCs/>
        </w:rPr>
        <w:t>[број индекса] — на обрасцу задатка</w:t>
      </w:r>
    </w:p>
    <w:p w14:paraId="25DB3D1E" w14:textId="77777777">
      <w:pPr>
        <w:pStyle w:val="Nabrajanje"/>
      </w:pPr>
      <w:r>
        <w:rPr>
          <w:bCs/>
        </w:rPr>
        <w:t>[звање] — редовни професор, ванредни професор или доцент</w:t>
      </w:r>
    </w:p>
    <w:p w14:paraId="66C47885" w14:textId="77777777">
      <w:pPr>
        <w:pStyle w:val="Nabrajanje"/>
      </w:pPr>
      <w:r>
        <w:rPr>
          <w:bCs/>
        </w:rPr>
        <w:t>[година] — година одбране</w:t>
      </w:r>
    </w:p>
    <w:p w14:paraId="1A50713E" w14:textId="77777777">
      <w:pPr>
        <w:pStyle w:val="Nabrajanje"/>
      </w:pPr>
      <w:r>
        <w:rPr>
          <w:bCs/>
        </w:rPr>
        <w:t xml:space="preserve">[кључне речи, раздвојене зарезом] — и енглески парњак у Key Words Documentation</w:t>
      </w:r>
    </w:p>
    <w:p w14:paraId="1B1512B8" w14:textId="77777777">
      <w:pPr>
        <w:pStyle w:val="Nabrajanje"/>
      </w:pPr>
      <w:r>
        <w:rPr>
          <w:bCs/>
        </w:rPr>
        <w:t>[Извод рада…] — неколико реченица; и енглески парњак</w:t>
      </w:r>
    </w:p>
    <w:p w14:paraId="127BE35B" w14:textId="77777777">
      <w:r>
        <w:t xml:space="preserve">Степен студија је подешен на основне академске студије. За мастер рад промените га на насловној страни и на обрасцу задатка, а у кључној документацији врсту рада на „Дипломски - мастер рад“, односно „MSc thesis“.</w:t>
      </w:r>
    </w:p>
    <w:p w14:paraId="35CDCA9D" w14:textId="77777777">
      <w:pPr>
        <w:pStyle w:val="Heading2"/>
      </w:pPr>
      <w:bookmarkStart w:id="20" w:name="_Toc239973937"/>
      <w:r>
        <w:t>Стилови</w:t>
      </w:r>
      <w:bookmarkEnd w:id="20"/>
    </w:p>
    <w:p w14:paraId="32E2B77C" w14:textId="77777777">
      <w:r>
        <w:t xml:space="preserve">Формат се не подешава ручно — увек се примењује стил. Списак стилова је у картици Home → Styles.</w:t>
      </w:r>
    </w:p>
    <w:p w14:paraId="3EA5F0B4" w14:textId="77777777">
      <w:pPr>
        <w:pStyle w:val="Nabrajanje"/>
      </w:pPr>
      <w:r>
        <w:rPr>
          <w:b/>
          <w:bCs/>
        </w:rPr>
        <w:t xml:space="preserve">Глава — </w:t>
      </w:r>
      <w:r>
        <w:t>ознака „Глава N“; број се сам увећава. Иза ње увек иде Наслов 1 са називом поглавља.</w:t>
      </w:r>
    </w:p>
    <w:p w14:paraId="7F100F5D" w14:textId="77777777">
      <w:pPr>
        <w:pStyle w:val="Nabrajanje"/>
      </w:pPr>
      <w:r>
        <w:rPr>
          <w:b/>
          <w:bCs/>
        </w:rPr>
        <w:t xml:space="preserve">Наслов 1 — </w:t>
      </w:r>
      <w:r>
        <w:t xml:space="preserve">наслов поглавља; иде и у садржај. Ако изнад њега нема стила Глава, наслов остаје ненумерисан (нпр. Литература).</w:t>
      </w:r>
    </w:p>
    <w:p w14:paraId="262A6B28" w14:textId="77777777">
      <w:pPr>
        <w:pStyle w:val="Nabrajanje"/>
      </w:pPr>
      <w:r>
        <w:rPr>
          <w:b/>
          <w:bCs/>
        </w:rPr>
        <w:lastRenderedPageBreak/>
        <w:t xml:space="preserve">Наслов 2 / 3 / 4 — </w:t>
      </w:r>
      <w:r>
        <w:t>одељци; нумерација 1.1, 1.1.1, 1.1.1.1 је аутоматска.</w:t>
      </w:r>
    </w:p>
    <w:p w14:paraId="445DA77C" w14:textId="77777777">
      <w:pPr>
        <w:pStyle w:val="Nabrajanje"/>
      </w:pPr>
      <w:r>
        <w:rPr>
          <w:b/>
          <w:bCs/>
        </w:rPr>
        <w:t xml:space="preserve">Слика — </w:t>
      </w:r>
      <w:r>
        <w:t>пасус у који се убацује слика (центрирано, држи се уз натпис испод).</w:t>
      </w:r>
    </w:p>
    <w:p w14:paraId="57EF2499" w14:textId="77777777">
      <w:pPr>
        <w:pStyle w:val="Nabrajanje"/>
      </w:pPr>
      <w:r>
        <w:rPr>
          <w:b/>
          <w:bCs/>
        </w:rPr>
        <w:t xml:space="preserve">caption — </w:t>
      </w:r>
      <w:r>
        <w:t>натпис испод слике или листинга.</w:t>
      </w:r>
    </w:p>
    <w:p w14:paraId="0C5BF8A6" w14:textId="77777777">
      <w:pPr>
        <w:pStyle w:val="Nabrajanje"/>
      </w:pPr>
      <w:r>
        <w:rPr>
          <w:b/>
          <w:bCs/>
        </w:rPr>
        <w:t xml:space="preserve">Натпис изнад — </w:t>
      </w:r>
      <w:r>
        <w:t>натпис изнад табеле.</w:t>
      </w:r>
    </w:p>
    <w:p w14:paraId="3F5E9D78" w14:textId="77777777">
      <w:pPr>
        <w:pStyle w:val="Nabrajanje"/>
      </w:pPr>
      <w:r>
        <w:rPr>
          <w:b/>
          <w:bCs/>
        </w:rPr>
        <w:t xml:space="preserve">Листинг — </w:t>
      </w:r>
      <w:r>
        <w:t xml:space="preserve">програмски код (Courier New 10, оквир и светла подлога).</w:t>
      </w:r>
    </w:p>
    <w:p w14:paraId="2BCBE208" w14:textId="77777777">
      <w:pPr>
        <w:pStyle w:val="Nabrajanje"/>
      </w:pPr>
      <w:r>
        <w:rPr>
          <w:b/>
          <w:bCs/>
        </w:rPr>
        <w:t xml:space="preserve">Набрајање / Набрајање (нумерисано) — </w:t>
      </w:r>
      <w:r>
        <w:t>листе.</w:t>
      </w:r>
    </w:p>
    <w:p w14:paraId="47AB13CA" w14:textId="77777777">
      <w:pPr>
        <w:pStyle w:val="Nabrajanje"/>
      </w:pPr>
      <w:r>
        <w:rPr>
          <w:b/>
          <w:bCs/>
        </w:rPr>
        <w:t xml:space="preserve">Литература (ставка) — </w:t>
      </w:r>
      <w:r>
        <w:t>ставка литературе; број [1] је аутоматски.</w:t>
      </w:r>
    </w:p>
    <w:p w14:paraId="0922FFC8" w14:textId="77777777">
      <w:pPr>
        <w:pStyle w:val="Nabrajanje"/>
      </w:pPr>
      <w:r>
        <w:rPr>
          <w:b/>
          <w:bCs/>
        </w:rPr>
        <w:t xml:space="preserve">Табела (заглавље) / Табела (текст) — </w:t>
      </w:r>
      <w:r>
        <w:t>текст у ћелијама табеле.</w:t>
      </w:r>
    </w:p>
    <w:p w14:paraId="1EBB5581" w14:textId="77777777">
      <w:pPr>
        <w:pStyle w:val="Nabrajanje"/>
      </w:pPr>
      <w:r>
        <w:rPr>
          <w:b/>
          <w:bCs/>
        </w:rPr>
        <w:t xml:space="preserve">Код — </w:t>
      </w:r>
      <w:r>
        <w:t>знаковни стил за имена класа, метода и наредби у тексту.</w:t>
      </w:r>
    </w:p>
    <w:p w14:paraId="13CBF209" w14:textId="77777777">
      <w:pPr>
        <w:pStyle w:val="Nabrajanje"/>
      </w:pPr>
      <w:r>
        <w:rPr>
          <w:b/>
          <w:bCs/>
        </w:rPr>
        <w:t xml:space="preserve">Појам — </w:t>
      </w:r>
      <w:r>
        <w:t>знаковни стил (курзив) за појмове са слика и из листинга.</w:t>
      </w:r>
    </w:p>
    <w:p w14:paraId="1210F147" w14:textId="77777777">
      <w:pPr>
        <w:pStyle w:val="Heading2"/>
      </w:pPr>
      <w:bookmarkStart w:id="21" w:name="_Toc239973938"/>
      <w:r>
        <w:t>Слике, табеле и листинзи</w:t>
      </w:r>
      <w:bookmarkEnd w:id="21"/>
    </w:p>
    <w:p w14:paraId="2F04F880" w14:textId="77777777">
      <w:r>
        <w:t xml:space="preserve">Свака слика, табела и листинг морају имати натпис са бројем и морају бити бар једном поменути у тексту. Број се убацује као поље, па се сам преуређује: Insert → Quick Parts → Field → Seq. Најједноставније је копирати постојећи натпис одавде.</w:t>
      </w:r>
    </w:p>
    <w:p w14:paraId="6CBE19D1" w14:textId="77777777">
      <w:r>
        <w:t>Пример натписа изнад табеле:</w:t>
      </w:r>
    </w:p>
    <w:p w14:paraId="53F16687" w14:textId="77777777">
      <w:pPr>
        <w:pStyle w:val="Natpisiznad"/>
      </w:pPr>
      <w:bookmarkStart w:id="22" w:name="_Toc239973944"/>
      <w:r>
        <w:t xml:space="preserve">Табела </w:t>
        <w:fldChar w:fldCharType="begin"/>
        <w:instrText>SEQ Табела \* ARABIC</w:instrText>
        <w:fldChar w:fldCharType="separate"/>
      </w:r>
      <w:r>
        <w:rPr>
          <w:noProof/>
        </w:rPr>
        <w:t>1</w:t>
      </w:r>
      <w:r>
        <w:fldChar w:fldCharType="end"/>
        <w:t>: Пример табеле.</w:t>
      </w:r>
      <w:bookmarkEnd w:id="22"/>
    </w:p>
    <w:tbl>
      <w:tblPr>
        <w:tblStyle w:val="TabelaFTN"/>
        <w:tblW w:w="7994" w:type="dxa"/>
        <w:jc w:val="center"/>
        <w:tblLayout w:type="fixed"/>
        <w:tblCellMar>
          <w:top w:w="28" w:type="dxa"/>
          <w:bottom w:w="28" w:type="dxa"/>
        </w:tblCellMar>
        <w:tblLook w:val="04A0" w:firstRow="1" w:lastRow="0" w:firstColumn="1" w:lastColumn="0" w:noHBand="0" w:noVBand="1"/>
      </w:tblPr>
      <w:tblGrid>
        <w:gridCol w:w="3997"/>
        <w:gridCol w:w="3997"/>
      </w:tblGrid>
      <w:tr w14:paraId="728CEFA9"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3997" w:type="dxa"/>
          </w:tcPr>
          <w:p w14:paraId="6EF72FC4" w14:textId="77777777">
            <w:pPr>
              <w:pStyle w:val="Tabelazaglavlje"/>
            </w:pPr>
            <w:r>
              <w:t>Податак 1</w:t>
            </w:r>
          </w:p>
        </w:tc>
        <w:tc>
          <w:tcPr>
            <w:tcW w:w="3997" w:type="dxa"/>
          </w:tcPr>
          <w:p w14:paraId="1BF07388" w14:textId="77777777">
            <w:pPr>
              <w:pStyle w:val="Tabelazaglavlje"/>
            </w:pPr>
            <w:r>
              <w:t>Податак 2</w:t>
            </w:r>
          </w:p>
        </w:tc>
      </w:tr>
      <w:tr w14:paraId="58B48C49" w14:textId="77777777">
        <w:trPr>
          <w:cantSplit/>
          <w:jc w:val="center"/>
        </w:trPr>
        <w:tc>
          <w:tcPr>
            <w:tcW w:w="3997" w:type="dxa"/>
          </w:tcPr>
          <w:p w14:paraId="23D31CA2" w14:textId="77777777">
            <w:pPr>
              <w:pStyle w:val="Tabelatekst"/>
            </w:pPr>
            <w:r>
              <w:t>Вредност 1</w:t>
            </w:r>
          </w:p>
        </w:tc>
        <w:tc>
          <w:tcPr>
            <w:tcW w:w="3997" w:type="dxa"/>
          </w:tcPr>
          <w:p w14:paraId="74FE3E9A" w14:textId="77777777">
            <w:pPr>
              <w:pStyle w:val="Tabelatekst"/>
            </w:pPr>
            <w:r>
              <w:t>Вредност 2</w:t>
            </w:r>
          </w:p>
        </w:tc>
      </w:tr>
    </w:tbl>
    <w:p w14:paraId="2176AD8E" w14:textId="77777777">
      <w:pPr>
        <w:spacing w:after="0" w:line="120" w:lineRule="exact"/>
      </w:pPr>
    </w:p>
    <w:p w14:paraId="60ECDCAD" w14:textId="77777777">
      <w:r>
        <w:t>Пример слике (слику убаците у пасус стила Слика):</w:t>
      </w:r>
    </w:p>
    <w:p w14:paraId="79DACC9C" w14:textId="77777777">
      <w:pPr>
        <w:pStyle w:val="Slika"/>
      </w:pPr>
      <w:r>
        <w:rPr>
          <w:i/>
          <w:iCs/>
          <w:color w:val="808080"/>
        </w:rPr>
        <w:t>[ овде убаците слику ]</w:t>
      </w:r>
    </w:p>
    <w:p w14:paraId="59E86EDD" w14:textId="77777777">
      <w:pPr>
        <w:pStyle w:val="Caption"/>
      </w:pPr>
      <w:bookmarkStart w:id="23" w:name="_Toc239973942"/>
      <w:r>
        <w:t xml:space="preserve">Слика </w:t>
        <w:fldChar w:fldCharType="begin"/>
        <w:instrText>SEQ Слика \* ARABIC</w:instrText>
        <w:fldChar w:fldCharType="separate"/>
      </w:r>
      <w:r>
        <w:rPr>
          <w:noProof/>
        </w:rPr>
        <w:t>1</w:t>
      </w:r>
      <w:r>
        <w:fldChar w:fldCharType="end"/>
        <w:t>: Пример натписа слике.</w:t>
      </w:r>
      <w:bookmarkEnd w:id="23"/>
    </w:p>
    <w:p w14:paraId="44F1E73B" w14:textId="77777777">
      <w:r>
        <w:t>Пример листинга:</w:t>
      </w:r>
    </w:p>
    <w:p w14:paraId="0F409F33" w14:textId="77777777">
      <w:pPr>
        <w:pStyle w:val="Listing"/>
      </w:pPr>
      <w:r>
        <w:t xml:space="preserve">public record Korisnik(UUID id, String email) {</w:t>
      </w:r>
    </w:p>
    <w:p w14:paraId="3D28160F" w14:textId="77777777">
      <w:pPr>
        <w:pStyle w:val="Listing"/>
      </w:pPr>
      <w:r>
        <w:t xml:space="preserve">    public boolean jeAktivan() {</w:t>
      </w:r>
    </w:p>
    <w:p w14:paraId="45E30F92" w14:textId="77777777">
      <w:pPr>
        <w:pStyle w:val="Listing"/>
      </w:pPr>
      <w:r>
        <w:t xml:space="preserve">        return email != null;</w:t>
      </w:r>
    </w:p>
    <w:p w14:paraId="32D930E0" w14:textId="77777777">
      <w:pPr>
        <w:pStyle w:val="Listing"/>
      </w:pPr>
      <w:r>
        <w:t xml:space="preserve">    }</w:t>
      </w:r>
    </w:p>
    <w:p w14:paraId="5134DD3D" w14:textId="77777777">
      <w:pPr>
        <w:pStyle w:val="Listing"/>
      </w:pPr>
      <w:r>
        <w:t>}</w:t>
      </w:r>
    </w:p>
    <w:p w14:paraId="74183B28" w14:textId="77777777">
      <w:pPr>
        <w:pStyle w:val="Caption"/>
      </w:pPr>
      <w:bookmarkStart w:id="24" w:name="_Toc239973943"/>
      <w:r>
        <w:t xml:space="preserve">Листинг </w:t>
        <w:fldChar w:fldCharType="begin"/>
        <w:instrText>SEQ Листинг \* ARABIC</w:instrText>
        <w:fldChar w:fldCharType="separate"/>
      </w:r>
      <w:r>
        <w:rPr>
          <w:noProof/>
        </w:rPr>
        <w:t>1</w:t>
      </w:r>
      <w:r>
        <w:fldChar w:fldCharType="end"/>
        <w:t>: Пример листинга.</w:t>
      </w:r>
      <w:bookmarkEnd w:id="24"/>
    </w:p>
    <w:p w14:paraId="60A2711B" w14:textId="77777777">
      <w:pPr>
        <w:pStyle w:val="Heading2"/>
      </w:pPr>
      <w:bookmarkStart w:id="25" w:name="_Toc239973939"/>
      <w:r>
        <w:lastRenderedPageBreak/>
        <w:t>Референце и цитати</w:t>
      </w:r>
      <w:bookmarkEnd w:id="25"/>
    </w:p>
    <w:p w14:paraId="52D9F126" w14:textId="77777777">
      <w:r>
        <w:t xml:space="preserve">Позив на слику у тексту се пише преко унакрсне референце (Insert → Cross-reference), да би број остао тачан: „…као што је приказано на слици 1“.</w:t>
      </w:r>
    </w:p>
    <w:p w14:paraId="0E051E91" w14:textId="77777777">
      <w:r>
        <w:t>Литература се цитира бројем у угластим заградама пре тачке која завршава реченицу, на пример [1]. У списак литературе иде само оно што је бар једном цитирано у тексту.</w:t>
      </w:r>
    </w:p>
    <w:p w14:paraId="75725965" w14:textId="77777777">
      <w:pPr>
        <w:pStyle w:val="Heading2"/>
      </w:pPr>
      <w:bookmarkStart w:id="26" w:name="_Toc239973940"/>
      <w:r>
        <w:t>Ново поглавље</w:t>
      </w:r>
      <w:bookmarkEnd w:id="26"/>
    </w:p>
    <w:p w14:paraId="3EDC64CA" w14:textId="77777777">
      <w:r>
        <w:t>Свако поглавље почиње на непарној (десној) страни. Зато свако поглавље стоји у својој секцији. Најлакши начин да се дода ново поглавље: означите цело постојеће поглавље заједно са преломом секције који му претходи, копирајте га и налепите на жељено место, па замените текст.</w:t>
      </w:r>
    </w:p>
    <w:p w14:paraId="28135ED8" w14:textId="77777777">
      <w:r>
        <w:t xml:space="preserve">Садржај и спискови слика, табела и листинга се не куцају ручно. Кад завршите писање, притисните Ctrl+A па F9 и изаберите „Update entire table“ да се сви попуне.</w:t>
      </w:r>
    </w:p>
    <w:p w14:paraId="0A2A468F" w14:textId="77777777">
      <w:pPr>
        <w:pStyle w:val="Heading2"/>
      </w:pPr>
      <w:bookmarkStart w:id="27" w:name="_Toc239973941"/>
      <w:r>
        <w:t>Живо заглавље</w:t>
      </w:r>
      <w:bookmarkEnd w:id="27"/>
    </w:p>
    <w:p w14:paraId="12E1975F" w14:textId="77777777">
      <w:r>
        <w:t xml:space="preserve">На непарним странама у заглављу стоји наслов поглавља, а на парним наслов текућег одељка (поља STYLEREF). У поглављима која немају одељке — увод и закључак — и на парној страни стоји наслов поглавља, јер би иначе Word приказао одељак из суседног поглавља. Ако таквом поглављу додате одељке, у заглављу парне стране (Insert → Header) замените поље STYLEREF 1 пољем STYLEREF 2.</w:t>
      </w:r>
    </w:p>
    <w:sectPr>
      <w:headerReference w:type="even" r:id="rId44"/>
      <w:headerReference w:type="first" r:id="rId45"/>
      <w:type w:val="oddPage"/>
      <w:pgSz w:w="9978" w:h="14173"/>
      <w:pgMar w:top="1417" w:right="850" w:bottom="1417" w:left="1134" w:header="567" w:footer="9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5ECB1" w14:textId="77777777">
      <w:pPr>
        <w:spacing w:after="0" w:line="240" w:lineRule="auto"/>
      </w:pPr>
      <w:r>
        <w:separator/>
      </w:r>
    </w:p>
  </w:endnote>
  <w:endnote w:type="continuationSeparator" w:id="0">
    <w:p w14:paraId="41125CC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B027A"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B92CA"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1C58D"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CAE0" w14:textId="77777777">
    <w:pPr>
      <w:pStyle w:val="Footer"/>
    </w:pPr>
    <w:r>
      <w:fldChar w:fldCharType="begin"/>
    </w:r>
    <w:r>
      <w:instrText>PAGE</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83BED" w14:textId="77777777">
    <w:pPr>
      <w:pStyle w:val="Footer"/>
    </w:pPr>
    <w:r>
      <w:fldChar w:fldCharType="begin"/>
    </w:r>
    <w:r>
      <w:instrText>PAGE</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263DD" w14:textId="77777777">
    <w:pPr>
      <w:pStyle w:val="Foo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FC6CC" w14:textId="77777777">
      <w:pPr>
        <w:spacing w:after="0" w:line="240" w:lineRule="auto"/>
      </w:pPr>
      <w:r>
        <w:separator/>
      </w:r>
    </w:p>
  </w:footnote>
  <w:footnote w:type="continuationSeparator" w:id="0">
    <w:p w14:paraId="38239F9F"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ADD4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39EB9"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CC924"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D4C63" w14:textId="77777777">
    <w:pPr>
      <w:pStyle w:val="Header"/>
    </w:pPr>
    <w:r>
      <w:fldChar w:fldCharType="begin"/>
    </w:r>
    <w:r>
      <w:instrText>STYLEREF 1 \* MERGEFORMAT</w:instrText>
    </w:r>
    <w:r>
      <w:fldChar w:fldCharType="separate"/>
    </w:r>
    <w:r>
      <w:t>Наслов целине</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69EC6" w14:textId="671D92B5">
    <w:pPr>
      <w:pStyle w:val="Header"/>
      <w:jc w:val="right"/>
    </w:pPr>
    <w:fldSimple w:instr="STYLEREF 1 \* MERGEFORMAT">
      <w:r>
        <w:rPr>
          <w:noProof/>
        </w:rPr>
        <w:t>Упутство за коришћење шаблона</w:t>
      </w:r>
    </w:fldSimple>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D8777" w14:textId="77777777">
    <w:pPr>
      <w:pStyle w:val="Zaglavljeprazn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45660" w14:textId="77777777">
    <w:pPr>
      <w:pStyle w:val="Header"/>
    </w:pPr>
    <w:r>
      <w:fldChar w:fldCharType="begin"/>
    </w:r>
    <w:r>
      <w:instrText>STYLEREF 2 \* MERGEFORMAT</w:instrText>
    </w:r>
    <w:r>
      <w:fldChar w:fldCharType="separate"/>
    </w:r>
    <w:r>
      <w:t>Наслов одељка</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12DB3" w14:textId="77777777">
    <w:pPr>
      <w:pStyle w:val="Zaglavljeprazn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78D07" w14:textId="77777777">
    <w:pPr>
      <w:pStyle w:val="Header"/>
    </w:pPr>
    <w:r>
      <w:fldChar w:fldCharType="begin"/>
    </w:r>
    <w:r>
      <w:instrText>STYLEREF 2 \* MERGEFORMAT</w:instrText>
    </w:r>
    <w:r>
      <w:fldChar w:fldCharType="separate"/>
    </w:r>
    <w:r>
      <w:t>Наслов одељка</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1CB84" w14:textId="77777777">
    <w:pPr>
      <w:pStyle w:val="Zaglavljeprazn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DD29" w14:textId="77777777">
    <w:pPr>
      <w:pStyle w:val="Header"/>
    </w:pPr>
    <w:r>
      <w:fldChar w:fldCharType="begin"/>
    </w:r>
    <w:r>
      <w:instrText>STYLEREF 2 \* MERGEFORMAT</w:instrText>
    </w:r>
    <w:r>
      <w:fldChar w:fldCharType="separate"/>
    </w:r>
    <w:r>
      <w:t>Наслов одељка</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57F9" w14:textId="77777777">
    <w:pPr>
      <w:pStyle w:val="Zaglavljeprazn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62AC0" w14:textId="77777777">
    <w:pPr>
      <w:pStyle w:val="Header"/>
    </w:pPr>
    <w:r>
      <w:fldChar w:fldCharType="begin"/>
    </w:r>
    <w:r>
      <w:instrText>STYLEREF 1 \* MERGEFORMAT</w:instrText>
    </w:r>
    <w:r>
      <w:fldChar w:fldCharType="separate"/>
    </w:r>
    <w:r>
      <w:t>Наслов целине</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31CE7" w14:textId="77777777">
    <w:pPr>
      <w:pStyle w:val="Zaglavljeprazn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BB8C0" w14:textId="77777777">
    <w:pPr>
      <w:pStyle w:val="Header"/>
    </w:pPr>
    <w:r>
      <w:fldChar w:fldCharType="begin"/>
    </w:r>
    <w:r>
      <w:instrText>STYLEREF 1 \* MERGEFORMAT</w:instrText>
    </w:r>
    <w:r>
      <w:fldChar w:fldCharType="separate"/>
    </w:r>
    <w:r>
      <w:t>Наслов целине</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5454" w14:textId="77777777">
    <w:pPr>
      <w:pStyle w:val="Zaglavljeprazn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14C76" w14:textId="77777777">
    <w:pPr>
      <w:pStyle w:val="Header"/>
    </w:pPr>
    <w:r>
      <w:fldChar w:fldCharType="begin"/>
    </w:r>
    <w:r>
      <w:instrText>STYLEREF 1 \* MERGEFORMAT</w:instrText>
    </w:r>
    <w:r>
      <w:fldChar w:fldCharType="separate"/>
    </w:r>
    <w:r>
      <w:t>Наслов целине</w:t>
    </w:r>
    <w: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0C845" w14:textId="77777777">
    <w:pPr>
      <w:pStyle w:val="Zaglavljeprazn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76AC" w14:textId="77777777">
    <w:pPr>
      <w:pStyle w:val="Header"/>
    </w:pPr>
    <w:r>
      <w:fldChar w:fldCharType="begin"/>
    </w:r>
    <w:r>
      <w:instrText>STYLEREF 1 \* MERGEFORMAT</w:instrText>
    </w:r>
    <w:r>
      <w:fldChar w:fldCharType="separate"/>
    </w:r>
    <w:r>
      <w:t>Наслов целине</w:t>
    </w:r>
    <w: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DC73" w14:textId="77777777">
    <w:pPr>
      <w:pStyle w:val="Zaglavljeprazn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393E" w14:textId="77777777">
    <w:pPr>
      <w:pStyle w:val="Header"/>
    </w:pPr>
    <w:r>
      <w:fldChar w:fldCharType="begin"/>
    </w:r>
    <w:r>
      <w:instrText>STYLEREF 1 \* MERGEFORMAT</w:instrText>
    </w:r>
    <w:r>
      <w:fldChar w:fldCharType="separate"/>
    </w:r>
    <w:r>
      <w:t>Наслов целине</w:t>
    </w:r>
    <w: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F83C7" w14:textId="77777777">
    <w:pPr>
      <w:pStyle w:val="Zaglavljeprazn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CDD89" w14:textId="77777777">
    <w:pPr>
      <w:pStyle w:val="Header"/>
    </w:pPr>
    <w:r>
      <w:fldChar w:fldCharType="begin"/>
    </w:r>
    <w:r>
      <w:instrText>STYLEREF 1 \* MERGEFORMAT</w:instrText>
    </w:r>
    <w:r>
      <w:fldChar w:fldCharType="separate"/>
    </w:r>
    <w:r>
      <w:t>Наслов целине</w:t>
    </w:r>
    <w: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E90BC" w14:textId="77777777">
    <w:pPr>
      <w:pStyle w:val="Zaglavljeprazn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F221B" w14:textId="77777777">
    <w:pPr>
      <w:pStyle w:val="Header"/>
    </w:pPr>
    <w:r>
      <w:fldChar w:fldCharType="begin"/>
    </w:r>
    <w:r>
      <w:instrText>STYLEREF 1 \* MERGEFORMAT</w:instrText>
    </w:r>
    <w:r>
      <w:fldChar w:fldCharType="separate"/>
    </w:r>
    <w:r>
      <w:t>Наслов целине</w:t>
    </w:r>
    <w: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C3DE6" w14:textId="77777777">
    <w:pPr>
      <w:pStyle w:val="Zaglavljeprazn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48BD9" w14:textId="77777777">
    <w:pPr>
      <w:pStyle w:val="Header"/>
    </w:pPr>
    <w:r>
      <w:fldChar w:fldCharType="begin"/>
    </w:r>
    <w:r>
      <w:instrText>STYLEREF 1 \* MERGEFORMAT</w:instrText>
    </w:r>
    <w:r>
      <w:fldChar w:fldCharType="separate"/>
    </w:r>
    <w:r>
      <w:t>Наслов целине</w:t>
    </w:r>
    <w:r>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4C14A" w14:textId="77777777">
    <w:pPr>
      <w:pStyle w:val="Zaglavljeprazn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8D81C" w14:textId="239A6D9F">
    <w:pPr>
      <w:pStyle w:val="Header"/>
    </w:pPr>
    <w:fldSimple w:instr="STYLEREF 1 \* MERGEFORMAT">
      <w:r>
        <w:rPr>
          <w:noProof/>
        </w:rPr>
        <w:t>Упутство за коришћење шаблона</w:t>
      </w:r>
    </w:fldSimple>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8AAB" w14:textId="77777777">
    <w:pPr>
      <w:pStyle w:val="Zaglavljeprazn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61ECC"/>
    <w:multiLevelType w:val="hybridMultilevel"/>
    <w:tmpl w:val="59EAC4BA"/>
    <w:name w:val="Нумерисано"/>
    <w:lvl w:ilvl="0" w:tplc="8AF45790">
      <w:start w:val="1"/>
      <w:numFmt w:val="decimal"/>
      <w:pStyle w:val="Nabrajanjenumerisano"/>
      <w:lvlText w:val="%1."/>
      <w:lvlJc w:val="left"/>
      <w:pPr>
        <w:ind w:left="397" w:hanging="284"/>
      </w:pPr>
    </w:lvl>
    <w:lvl w:ilvl="1" w:tplc="B81C8DAC">
      <w:start w:val="1"/>
      <w:numFmt w:val="lowerLetter"/>
      <w:lvlText w:val="%2."/>
      <w:lvlJc w:val="left"/>
      <w:pPr>
        <w:ind w:left="737" w:hanging="284"/>
      </w:pPr>
    </w:lvl>
    <w:lvl w:ilvl="2" w:tplc="9C18D0D4">
      <w:start w:val="1"/>
      <w:numFmt w:val="lowerRoman"/>
      <w:lvlText w:val="%3."/>
      <w:lvlJc w:val="left"/>
      <w:pPr>
        <w:ind w:left="1077" w:hanging="284"/>
      </w:pPr>
    </w:lvl>
    <w:lvl w:ilvl="3" w:tplc="12CA0B80">
      <w:start w:val="1"/>
      <w:numFmt w:val="decimal"/>
      <w:lvlText w:val="%4."/>
      <w:lvlJc w:val="left"/>
      <w:pPr>
        <w:ind w:left="1417" w:hanging="284"/>
      </w:pPr>
    </w:lvl>
    <w:lvl w:ilvl="4" w:tplc="877E4C3A">
      <w:start w:val="1"/>
      <w:numFmt w:val="lowerLetter"/>
      <w:lvlText w:val="%5."/>
      <w:lvlJc w:val="left"/>
      <w:pPr>
        <w:ind w:left="1757" w:hanging="284"/>
      </w:pPr>
    </w:lvl>
    <w:lvl w:ilvl="5" w:tplc="C33C55F6">
      <w:start w:val="1"/>
      <w:numFmt w:val="lowerRoman"/>
      <w:lvlText w:val="%6."/>
      <w:lvlJc w:val="left"/>
      <w:pPr>
        <w:ind w:left="2097" w:hanging="284"/>
      </w:pPr>
    </w:lvl>
    <w:lvl w:ilvl="6" w:tplc="38906CAC">
      <w:start w:val="1"/>
      <w:numFmt w:val="decimal"/>
      <w:lvlText w:val="%7."/>
      <w:lvlJc w:val="left"/>
      <w:pPr>
        <w:ind w:left="2437" w:hanging="284"/>
      </w:pPr>
    </w:lvl>
    <w:lvl w:ilvl="7" w:tplc="88885DC8">
      <w:start w:val="1"/>
      <w:numFmt w:val="lowerLetter"/>
      <w:lvlText w:val="%8."/>
      <w:lvlJc w:val="left"/>
      <w:pPr>
        <w:ind w:left="2777" w:hanging="284"/>
      </w:pPr>
    </w:lvl>
    <w:lvl w:ilvl="8" w:tplc="4502E392">
      <w:start w:val="1"/>
      <w:numFmt w:val="lowerRoman"/>
      <w:lvlText w:val="%9."/>
      <w:lvlJc w:val="left"/>
      <w:pPr>
        <w:ind w:left="3117" w:hanging="284"/>
      </w:pPr>
    </w:lvl>
  </w:abstractNum>
  <w:abstractNum w:abstractNumId="1" w15:restartNumberingAfterBreak="0">
    <w:nsid w:val="357B7925"/>
    <w:multiLevelType w:val="multilevel"/>
    <w:tmpl w:val="338CDEB2"/>
    <w:name w:val="Наслови"/>
    <w:lvl w:ilvl="0">
      <w:start w:val="1"/>
      <w:numFmt w:val="decimal"/>
      <w:pStyle w:val="Glava"/>
      <w:suff w:val="nothing"/>
      <w:lvlText w:val="Глава %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2" w15:restartNumberingAfterBreak="0">
    <w:nsid w:val="3B363BD1"/>
    <w:multiLevelType w:val="hybridMultilevel"/>
    <w:tmpl w:val="F8DCDCC4"/>
    <w:name w:val="Набрајање"/>
    <w:lvl w:ilvl="0" w:tplc="ECE82882">
      <w:start w:val="1"/>
      <w:numFmt w:val="bullet"/>
      <w:pStyle w:val="Nabrajanje"/>
      <w:lvlText w:val="•"/>
      <w:lvlJc w:val="left"/>
      <w:pPr>
        <w:ind w:left="397" w:hanging="284"/>
      </w:pPr>
      <w:rPr>
        <w:rFonts w:ascii="Arial" w:hAnsi="Arial" w:hint="default"/>
      </w:rPr>
    </w:lvl>
    <w:lvl w:ilvl="1" w:tplc="58F63694">
      <w:start w:val="1"/>
      <w:numFmt w:val="bullet"/>
      <w:lvlText w:val="◦"/>
      <w:lvlJc w:val="left"/>
      <w:pPr>
        <w:ind w:left="737" w:hanging="284"/>
      </w:pPr>
      <w:rPr>
        <w:rFonts w:ascii="Arial" w:hAnsi="Arial" w:hint="default"/>
      </w:rPr>
    </w:lvl>
    <w:lvl w:ilvl="2" w:tplc="2EFA9728">
      <w:start w:val="1"/>
      <w:numFmt w:val="bullet"/>
      <w:lvlText w:val="▪"/>
      <w:lvlJc w:val="left"/>
      <w:pPr>
        <w:ind w:left="1077" w:hanging="284"/>
      </w:pPr>
      <w:rPr>
        <w:rFonts w:ascii="Arial" w:hAnsi="Arial" w:hint="default"/>
      </w:rPr>
    </w:lvl>
    <w:lvl w:ilvl="3" w:tplc="4C4C8B82">
      <w:start w:val="1"/>
      <w:numFmt w:val="bullet"/>
      <w:lvlText w:val="•"/>
      <w:lvlJc w:val="left"/>
      <w:pPr>
        <w:ind w:left="1417" w:hanging="284"/>
      </w:pPr>
      <w:rPr>
        <w:rFonts w:ascii="Arial" w:hAnsi="Arial" w:hint="default"/>
      </w:rPr>
    </w:lvl>
    <w:lvl w:ilvl="4" w:tplc="964A1C94">
      <w:start w:val="1"/>
      <w:numFmt w:val="bullet"/>
      <w:lvlText w:val="◦"/>
      <w:lvlJc w:val="left"/>
      <w:pPr>
        <w:ind w:left="1757" w:hanging="284"/>
      </w:pPr>
      <w:rPr>
        <w:rFonts w:ascii="Arial" w:hAnsi="Arial" w:hint="default"/>
      </w:rPr>
    </w:lvl>
    <w:lvl w:ilvl="5" w:tplc="BB02F5F2">
      <w:start w:val="1"/>
      <w:numFmt w:val="bullet"/>
      <w:lvlText w:val="▪"/>
      <w:lvlJc w:val="left"/>
      <w:pPr>
        <w:ind w:left="2097" w:hanging="284"/>
      </w:pPr>
      <w:rPr>
        <w:rFonts w:ascii="Arial" w:hAnsi="Arial" w:hint="default"/>
      </w:rPr>
    </w:lvl>
    <w:lvl w:ilvl="6" w:tplc="D6A88A32">
      <w:start w:val="1"/>
      <w:numFmt w:val="bullet"/>
      <w:lvlText w:val="•"/>
      <w:lvlJc w:val="left"/>
      <w:pPr>
        <w:ind w:left="2437" w:hanging="284"/>
      </w:pPr>
      <w:rPr>
        <w:rFonts w:ascii="Arial" w:hAnsi="Arial" w:hint="default"/>
      </w:rPr>
    </w:lvl>
    <w:lvl w:ilvl="7" w:tplc="025A7B18">
      <w:start w:val="1"/>
      <w:numFmt w:val="bullet"/>
      <w:lvlText w:val="◦"/>
      <w:lvlJc w:val="left"/>
      <w:pPr>
        <w:ind w:left="2777" w:hanging="284"/>
      </w:pPr>
      <w:rPr>
        <w:rFonts w:ascii="Arial" w:hAnsi="Arial" w:hint="default"/>
      </w:rPr>
    </w:lvl>
    <w:lvl w:ilvl="8" w:tplc="B7527764">
      <w:start w:val="1"/>
      <w:numFmt w:val="bullet"/>
      <w:lvlText w:val="▪"/>
      <w:lvlJc w:val="left"/>
      <w:pPr>
        <w:ind w:left="3117" w:hanging="284"/>
      </w:pPr>
      <w:rPr>
        <w:rFonts w:ascii="Arial" w:hAnsi="Arial" w:hint="default"/>
      </w:rPr>
    </w:lvl>
  </w:abstractNum>
  <w:abstractNum w:abstractNumId="3" w15:restartNumberingAfterBreak="0">
    <w:nsid w:val="599A2F4D"/>
    <w:multiLevelType w:val="multilevel"/>
    <w:tmpl w:val="A566DBD4"/>
    <w:name w:val="Литература"/>
    <w:lvl w:ilvl="0">
      <w:start w:val="1"/>
      <w:numFmt w:val="decimal"/>
      <w:pStyle w:val="Literaturastavka"/>
      <w:lvlText w:val="[%1]"/>
      <w:lvlJc w:val="left"/>
      <w:pPr>
        <w:ind w:left="567" w:hanging="567"/>
      </w:pPr>
    </w:lvl>
    <w:lvl w:ilvl="1">
      <w:start w:val="1"/>
      <w:numFmt w:val="decimal"/>
      <w:lvlText w:val="%2."/>
      <w:lvlJc w:val="left"/>
      <w:pPr>
        <w:ind w:left="927" w:hanging="360"/>
      </w:pPr>
    </w:lvl>
    <w:lvl w:ilvl="2">
      <w:start w:val="1"/>
      <w:numFmt w:val="decimal"/>
      <w:lvlText w:val="%3."/>
      <w:lvlJc w:val="left"/>
      <w:pPr>
        <w:ind w:left="1287" w:hanging="360"/>
      </w:pPr>
    </w:lvl>
    <w:lvl w:ilvl="3">
      <w:start w:val="1"/>
      <w:numFmt w:val="decimal"/>
      <w:lvlText w:val="%4."/>
      <w:lvlJc w:val="left"/>
      <w:pPr>
        <w:ind w:left="1647" w:hanging="360"/>
      </w:pPr>
    </w:lvl>
    <w:lvl w:ilvl="4">
      <w:start w:val="1"/>
      <w:numFmt w:val="decimal"/>
      <w:lvlText w:val="%5."/>
      <w:lvlJc w:val="left"/>
      <w:pPr>
        <w:ind w:left="2007" w:hanging="360"/>
      </w:pPr>
    </w:lvl>
    <w:lvl w:ilvl="5">
      <w:start w:val="1"/>
      <w:numFmt w:val="decimal"/>
      <w:lvlText w:val="%6."/>
      <w:lvlJc w:val="left"/>
      <w:pPr>
        <w:ind w:left="2367" w:hanging="360"/>
      </w:pPr>
    </w:lvl>
    <w:lvl w:ilvl="6">
      <w:start w:val="1"/>
      <w:numFmt w:val="decimal"/>
      <w:lvlText w:val="%7."/>
      <w:lvlJc w:val="left"/>
      <w:pPr>
        <w:ind w:left="2727" w:hanging="360"/>
      </w:pPr>
    </w:lvl>
    <w:lvl w:ilvl="7">
      <w:start w:val="1"/>
      <w:numFmt w:val="decimal"/>
      <w:lvlText w:val="%8."/>
      <w:lvlJc w:val="left"/>
      <w:pPr>
        <w:ind w:left="3087" w:hanging="360"/>
      </w:pPr>
    </w:lvl>
    <w:lvl w:ilvl="8">
      <w:start w:val="1"/>
      <w:numFmt w:val="decimal"/>
      <w:lvlText w:val="%9."/>
      <w:lvlJc w:val="left"/>
      <w:pPr>
        <w:ind w:left="3447" w:hanging="360"/>
      </w:pPr>
    </w:lvl>
  </w:abstractNum>
  <w:num w:numId="1" w16cid:durableId="322197543">
    <w:abstractNumId w:val="1"/>
  </w:num>
  <w:num w:numId="2" w16cid:durableId="1006711487">
    <w:abstractNumId w:val="2"/>
  </w:num>
  <w:num w:numId="3" w16cid:durableId="1628703793">
    <w:abstractNumId w:val="0"/>
  </w:num>
  <w:num w:numId="4" w16cid:durableId="3162330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bordersDoNotSurroundHeader/>
  <w:bordersDoNotSurroundFooter/>
  <w:defaultTabStop w:val="567"/>
  <w:autoHyphenation/>
  <w:consecutiveHyphenLimit w:val="3"/>
  <w:hyphenationZone w:val="3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sr-Cyrl-R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378F45"/>
  <w15:docId w15:val="{AB8E1980-919F-4BD7-B402-0AE1EAE94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Cyrl-RS" w:eastAsia="sr-Cyrl-RS" w:bidi="ar-SA"/>
      </w:rPr>
    </w:rPrDefault>
    <w:pPrDefault>
      <w:pPr>
        <w:spacing w:after="120" w:line="276" w:lineRule="auto"/>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Normal"/>
    <w:link w:val="Heading1Char"/>
    <w:uiPriority w:val="3"/>
    <w:qFormat/>
    <w:pPr>
      <w:keepNext/>
      <w:keepLines/>
      <w:pBdr>
        <w:top w:val="single" w:sz="8" w:space="8" w:color="auto"/>
        <w:bottom w:val="single" w:sz="8" w:space="10" w:color="auto"/>
      </w:pBdr>
      <w:suppressAutoHyphens/>
      <w:spacing w:after="380" w:line="240" w:lineRule="auto"/>
      <w:jc w:val="right"/>
      <w:outlineLvl w:val="0"/>
    </w:pPr>
    <w:rPr>
      <w:b/>
      <w:bCs/>
      <w:sz w:val="44"/>
      <w:szCs w:val="44"/>
    </w:rPr>
  </w:style>
  <w:style w:type="paragraph" w:styleId="Heading2">
    <w:name w:val="heading 2"/>
    <w:basedOn w:val="Normal"/>
    <w:next w:val="Normal"/>
    <w:uiPriority w:val="4"/>
    <w:qFormat/>
    <w:pPr>
      <w:keepNext/>
      <w:keepLines/>
      <w:numPr>
        <w:ilvl w:val="1"/>
        <w:numId w:val="1"/>
      </w:numPr>
      <w:suppressAutoHyphens/>
      <w:spacing w:before="280" w:after="80" w:line="264" w:lineRule="auto"/>
      <w:jc w:val="left"/>
      <w:outlineLvl w:val="1"/>
    </w:pPr>
    <w:rPr>
      <w:b/>
      <w:bCs/>
      <w:sz w:val="26"/>
      <w:szCs w:val="26"/>
    </w:rPr>
  </w:style>
  <w:style w:type="paragraph" w:styleId="Heading3">
    <w:name w:val="heading 3"/>
    <w:basedOn w:val="Normal"/>
    <w:next w:val="Normal"/>
    <w:uiPriority w:val="5"/>
    <w:qFormat/>
    <w:pPr>
      <w:keepNext/>
      <w:keepLines/>
      <w:numPr>
        <w:ilvl w:val="2"/>
        <w:numId w:val="1"/>
      </w:numPr>
      <w:suppressAutoHyphens/>
      <w:spacing w:before="220" w:after="60" w:line="264" w:lineRule="auto"/>
      <w:jc w:val="left"/>
      <w:outlineLvl w:val="2"/>
    </w:pPr>
    <w:rPr>
      <w:b/>
      <w:bCs/>
      <w:sz w:val="23"/>
      <w:szCs w:val="23"/>
    </w:rPr>
  </w:style>
  <w:style w:type="paragraph" w:styleId="Heading4">
    <w:name w:val="heading 4"/>
    <w:basedOn w:val="Normal"/>
    <w:next w:val="Normal"/>
    <w:uiPriority w:val="6"/>
    <w:qFormat/>
    <w:pPr>
      <w:keepNext/>
      <w:keepLines/>
      <w:numPr>
        <w:ilvl w:val="3"/>
        <w:numId w:val="1"/>
      </w:numPr>
      <w:suppressAutoHyphens/>
      <w:spacing w:before="180" w:after="40" w:line="264" w:lineRule="auto"/>
      <w:jc w:val="left"/>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lava">
    <w:name w:val="Glava"/>
    <w:basedOn w:val="Normal"/>
    <w:next w:val="Heading1"/>
    <w:uiPriority w:val="2"/>
    <w:qFormat/>
    <w:pPr>
      <w:keepNext/>
      <w:keepLines/>
      <w:numPr>
        <w:numId w:val="1"/>
      </w:numPr>
      <w:suppressAutoHyphens/>
      <w:spacing w:after="60" w:line="240" w:lineRule="auto"/>
      <w:jc w:val="left"/>
    </w:pPr>
    <w:rPr>
      <w:b/>
      <w:bCs/>
      <w:sz w:val="44"/>
      <w:szCs w:val="44"/>
    </w:rPr>
  </w:style>
  <w:style w:type="paragraph" w:styleId="TOCHeading">
    <w:name w:val="TOC Heading"/>
    <w:basedOn w:val="Heading1"/>
    <w:next w:val="Normal"/>
    <w:uiPriority w:val="8"/>
    <w:qFormat/>
    <w:pPr>
      <w:outlineLvl w:val="9"/>
    </w:pPr>
  </w:style>
  <w:style w:type="character" w:customStyle="1" w:styleId="Heading1Char">
    <w:name w:val="Heading 1 Char"/>
    <w:basedOn w:val="DefaultParagraphFont"/>
    <w:link w:val="Heading1"/>
    <w:uiPriority w:val="3"/>
    <w:rPr>
      <w:rFonts w:ascii="Times New Roman" w:hAnsi="Times New Roman" w:cs="Times New Roman"/>
      <w:b/>
      <w:bCs/>
      <w:sz w:val="44"/>
      <w:szCs w:val="44"/>
    </w:rPr>
  </w:style>
  <w:style w:type="paragraph" w:customStyle="1" w:styleId="Nabrajanje">
    <w:name w:val="Nabrajanje"/>
    <w:basedOn w:val="Normal"/>
    <w:uiPriority w:val="10"/>
    <w:qFormat/>
    <w:pPr>
      <w:numPr>
        <w:numId w:val="2"/>
      </w:numPr>
      <w:spacing w:after="80"/>
    </w:pPr>
  </w:style>
  <w:style w:type="paragraph" w:customStyle="1" w:styleId="Nabrajanjenumerisano">
    <w:name w:val="Nabrajanje (numerisano)"/>
    <w:basedOn w:val="Normal"/>
    <w:uiPriority w:val="11"/>
    <w:qFormat/>
    <w:pPr>
      <w:numPr>
        <w:numId w:val="3"/>
      </w:numPr>
      <w:spacing w:after="80"/>
    </w:pPr>
  </w:style>
  <w:style w:type="paragraph" w:styleId="ListParagraph">
    <w:name w:val="List Paragraph"/>
    <w:basedOn w:val="Normal"/>
    <w:uiPriority w:val="34"/>
    <w:qFormat/>
    <w:pPr>
      <w:ind w:left="720"/>
      <w:contextualSpacing/>
    </w:pPr>
  </w:style>
  <w:style w:type="paragraph" w:customStyle="1" w:styleId="Slika">
    <w:name w:val="Slika"/>
    <w:basedOn w:val="Normal"/>
    <w:next w:val="Caption"/>
    <w:uiPriority w:val="12"/>
    <w:qFormat/>
    <w:pPr>
      <w:keepNext/>
      <w:keepLines/>
      <w:spacing w:before="240" w:after="60" w:line="240" w:lineRule="auto"/>
      <w:jc w:val="center"/>
    </w:pPr>
  </w:style>
  <w:style w:type="paragraph" w:styleId="Caption">
    <w:name w:val="caption"/>
    <w:basedOn w:val="Normal"/>
    <w:next w:val="Normal"/>
    <w:uiPriority w:val="13"/>
    <w:qFormat/>
    <w:pPr>
      <w:keepLines/>
      <w:spacing w:before="60" w:after="280" w:line="240" w:lineRule="auto"/>
      <w:jc w:val="center"/>
    </w:pPr>
    <w:rPr>
      <w:sz w:val="21"/>
      <w:szCs w:val="21"/>
    </w:rPr>
  </w:style>
  <w:style w:type="paragraph" w:customStyle="1" w:styleId="Natpisiznad">
    <w:name w:val="Natpis iznad"/>
    <w:basedOn w:val="Caption"/>
    <w:next w:val="Normal"/>
    <w:uiPriority w:val="14"/>
    <w:qFormat/>
    <w:pPr>
      <w:keepNext/>
      <w:spacing w:before="280" w:after="60"/>
    </w:pPr>
  </w:style>
  <w:style w:type="paragraph" w:customStyle="1" w:styleId="Listing">
    <w:name w:val="Listing"/>
    <w:basedOn w:val="Normal"/>
    <w:uiPriority w:val="15"/>
    <w:qFormat/>
    <w:pPr>
      <w:keepLines/>
      <w:pBdr>
        <w:top w:val="single" w:sz="4" w:space="4" w:color="D9D9D9"/>
        <w:left w:val="single" w:sz="4" w:space="4" w:color="D9D9D9"/>
        <w:bottom w:val="single" w:sz="4" w:space="4" w:color="D9D9D9"/>
        <w:right w:val="single" w:sz="4" w:space="4" w:color="D9D9D9"/>
      </w:pBdr>
      <w:shd w:val="clear" w:color="auto" w:fill="F7F7F7"/>
      <w:suppressAutoHyphens/>
      <w:spacing w:after="0" w:line="240" w:lineRule="auto"/>
      <w:ind w:left="170" w:right="170"/>
      <w:contextualSpacing/>
      <w:jc w:val="left"/>
    </w:pPr>
    <w:rPr>
      <w:rFonts w:ascii="Courier New" w:hAnsi="Courier New" w:cs="Courier New"/>
      <w:sz w:val="20"/>
      <w:szCs w:val="20"/>
      <w:lang w:val="en-US"/>
    </w:rPr>
  </w:style>
  <w:style w:type="paragraph" w:customStyle="1" w:styleId="Tabelatekst">
    <w:name w:val="Tabela (tekst)"/>
    <w:basedOn w:val="Normal"/>
    <w:uiPriority w:val="16"/>
    <w:qFormat/>
    <w:pPr>
      <w:spacing w:before="20" w:after="20" w:line="240" w:lineRule="auto"/>
      <w:jc w:val="left"/>
    </w:pPr>
    <w:rPr>
      <w:sz w:val="20"/>
      <w:szCs w:val="20"/>
    </w:rPr>
  </w:style>
  <w:style w:type="paragraph" w:customStyle="1" w:styleId="Tabelazaglavlje">
    <w:name w:val="Tabela (zaglavlje)"/>
    <w:basedOn w:val="Tabelatekst"/>
    <w:next w:val="Tabelatekst"/>
    <w:uiPriority w:val="17"/>
    <w:qFormat/>
    <w:pPr>
      <w:keepNext/>
    </w:pPr>
    <w:rPr>
      <w:b/>
      <w:bCs/>
    </w:rPr>
  </w:style>
  <w:style w:type="paragraph" w:customStyle="1" w:styleId="Literaturastavka">
    <w:name w:val="Literatura (stavka)"/>
    <w:basedOn w:val="Normal"/>
    <w:uiPriority w:val="18"/>
    <w:qFormat/>
    <w:pPr>
      <w:numPr>
        <w:numId w:val="4"/>
      </w:numPr>
      <w:spacing w:line="240" w:lineRule="auto"/>
      <w:jc w:val="left"/>
    </w:pPr>
  </w:style>
  <w:style w:type="paragraph" w:customStyle="1" w:styleId="Naslovnacentrirano">
    <w:name w:val="Naslovna (centrirano)"/>
    <w:basedOn w:val="Normal"/>
    <w:uiPriority w:val="20"/>
    <w:qFormat/>
    <w:pPr>
      <w:spacing w:after="0" w:line="240" w:lineRule="auto"/>
      <w:jc w:val="center"/>
    </w:pPr>
  </w:style>
  <w:style w:type="paragraph" w:customStyle="1" w:styleId="Formular">
    <w:name w:val="Formular"/>
    <w:basedOn w:val="Normal"/>
    <w:uiPriority w:val="40"/>
    <w:qFormat/>
    <w:pPr>
      <w:suppressAutoHyphens/>
      <w:spacing w:after="0" w:line="240" w:lineRule="auto"/>
      <w:jc w:val="left"/>
    </w:pPr>
    <w:rPr>
      <w:rFonts w:ascii="Arial" w:hAnsi="Arial" w:cs="Arial"/>
      <w:sz w:val="16"/>
      <w:szCs w:val="16"/>
    </w:rPr>
  </w:style>
  <w:style w:type="paragraph" w:customStyle="1" w:styleId="Formularnaslov">
    <w:name w:val="Formular (naslov)"/>
    <w:basedOn w:val="Formular"/>
    <w:next w:val="Formular"/>
    <w:uiPriority w:val="41"/>
    <w:qFormat/>
    <w:pPr>
      <w:spacing w:before="40" w:after="40"/>
      <w:jc w:val="center"/>
    </w:pPr>
    <w:rPr>
      <w:b/>
      <w:bCs/>
      <w:sz w:val="21"/>
      <w:szCs w:val="21"/>
    </w:rPr>
  </w:style>
  <w:style w:type="paragraph" w:styleId="Header">
    <w:name w:val="header"/>
    <w:basedOn w:val="Normal"/>
    <w:next w:val="Normal"/>
    <w:uiPriority w:val="50"/>
    <w:pPr>
      <w:pBdr>
        <w:bottom w:val="single" w:sz="8" w:space="4" w:color="auto"/>
      </w:pBdr>
      <w:tabs>
        <w:tab w:val="center" w:pos="3997"/>
        <w:tab w:val="right" w:pos="7994"/>
      </w:tabs>
      <w:spacing w:after="0" w:line="240" w:lineRule="auto"/>
      <w:jc w:val="left"/>
    </w:pPr>
    <w:rPr>
      <w:i/>
      <w:iCs/>
    </w:rPr>
  </w:style>
  <w:style w:type="paragraph" w:customStyle="1" w:styleId="Zaglavljeprazno">
    <w:name w:val="Zaglavlje (prazno)"/>
    <w:basedOn w:val="Normal"/>
    <w:next w:val="Normal"/>
    <w:uiPriority w:val="51"/>
    <w:pPr>
      <w:spacing w:after="0" w:line="240" w:lineRule="auto"/>
    </w:pPr>
  </w:style>
  <w:style w:type="paragraph" w:styleId="Footer">
    <w:name w:val="footer"/>
    <w:basedOn w:val="Normal"/>
    <w:next w:val="Normal"/>
    <w:uiPriority w:val="52"/>
    <w:pPr>
      <w:tabs>
        <w:tab w:val="center" w:pos="3997"/>
        <w:tab w:val="right" w:pos="7994"/>
      </w:tabs>
      <w:spacing w:after="0" w:line="240" w:lineRule="auto"/>
      <w:jc w:val="center"/>
    </w:pPr>
  </w:style>
  <w:style w:type="paragraph" w:styleId="TOC1">
    <w:name w:val="toc 1"/>
    <w:basedOn w:val="Normal"/>
    <w:next w:val="Normal"/>
    <w:uiPriority w:val="39"/>
    <w:pPr>
      <w:tabs>
        <w:tab w:val="right" w:leader="dot" w:pos="7994"/>
      </w:tabs>
      <w:spacing w:after="60" w:line="240" w:lineRule="auto"/>
      <w:jc w:val="left"/>
    </w:pPr>
  </w:style>
  <w:style w:type="paragraph" w:styleId="TOC2">
    <w:name w:val="toc 2"/>
    <w:basedOn w:val="Normal"/>
    <w:next w:val="Normal"/>
    <w:uiPriority w:val="39"/>
    <w:pPr>
      <w:tabs>
        <w:tab w:val="right" w:leader="dot" w:pos="7994"/>
      </w:tabs>
      <w:spacing w:after="60" w:line="240" w:lineRule="auto"/>
      <w:ind w:left="283"/>
      <w:jc w:val="left"/>
    </w:pPr>
  </w:style>
  <w:style w:type="paragraph" w:styleId="TOC3">
    <w:name w:val="toc 3"/>
    <w:basedOn w:val="Normal"/>
    <w:next w:val="Normal"/>
    <w:uiPriority w:val="39"/>
    <w:pPr>
      <w:tabs>
        <w:tab w:val="right" w:leader="dot" w:pos="7994"/>
      </w:tabs>
      <w:spacing w:after="60" w:line="240" w:lineRule="auto"/>
      <w:ind w:left="566"/>
      <w:jc w:val="left"/>
    </w:pPr>
  </w:style>
  <w:style w:type="paragraph" w:styleId="TableofFigures">
    <w:name w:val="table of figures"/>
    <w:basedOn w:val="Normal"/>
    <w:next w:val="Normal"/>
    <w:uiPriority w:val="99"/>
    <w:pPr>
      <w:tabs>
        <w:tab w:val="right" w:leader="dot" w:pos="7994"/>
      </w:tabs>
      <w:spacing w:after="60" w:line="240" w:lineRule="auto"/>
      <w:jc w:val="left"/>
    </w:pPr>
  </w:style>
  <w:style w:type="paragraph" w:styleId="FootnoteText">
    <w:name w:val="footnote text"/>
    <w:basedOn w:val="Normal"/>
    <w:uiPriority w:val="99"/>
    <w:pPr>
      <w:spacing w:after="0" w:line="240" w:lineRule="auto"/>
    </w:pPr>
    <w:rPr>
      <w:sz w:val="18"/>
      <w:szCs w:val="18"/>
    </w:rPr>
  </w:style>
  <w:style w:type="character" w:styleId="FootnoteReference">
    <w:name w:val="footnote reference"/>
    <w:basedOn w:val="DefaultParagraphFont"/>
    <w:uiPriority w:val="99"/>
    <w:rPr>
      <w:vertAlign w:val="superscript"/>
    </w:rPr>
  </w:style>
  <w:style w:type="character" w:customStyle="1" w:styleId="Kod">
    <w:name w:val="Kod"/>
    <w:basedOn w:val="DefaultParagraphFont"/>
    <w:uiPriority w:val="6"/>
    <w:qFormat/>
    <w:rPr>
      <w:rFonts w:ascii="Courier New" w:hAnsi="Courier New" w:cs="Courier New"/>
      <w:sz w:val="20"/>
      <w:szCs w:val="20"/>
      <w:lang w:val="en-US"/>
    </w:rPr>
  </w:style>
  <w:style w:type="character" w:customStyle="1" w:styleId="Pojam">
    <w:name w:val="Pojam"/>
    <w:basedOn w:val="DefaultParagraphFont"/>
    <w:uiPriority w:val="7"/>
    <w:qFormat/>
    <w:rPr>
      <w:i/>
      <w:iCs/>
    </w:rPr>
  </w:style>
  <w:style w:type="character" w:styleId="Hyperlink">
    <w:name w:val="Hyperlink"/>
    <w:basedOn w:val="DefaultParagraphFont"/>
    <w:uiPriority w:val="99"/>
    <w:rPr>
      <w:color w:val="0563C1"/>
      <w:u w:val="single"/>
    </w:rPr>
  </w:style>
  <w:style w:type="table" w:customStyle="1" w:styleId="TabelaFTN">
    <w:name w:val="Tabela FTN"/>
    <w:basedOn w:val="TableNormal"/>
    <w:uiPriority w:val="59"/>
    <w:qFormat/>
    <w:pPr>
      <w:spacing w:before="20" w:after="20" w:line="240" w:lineRule="auto"/>
    </w:pPr>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85" w:type="dxa"/>
        <w:bottom w:w="57" w:type="dxa"/>
        <w:right w:w="85" w:type="dxa"/>
      </w:tblCellMar>
    </w:tblPr>
    <w:tblStylePr w:type="firstRow">
      <w:rPr>
        <w:b/>
        <w:bCs/>
      </w:rPr>
      <w:tblPr/>
      <w:tcPr>
        <w:tcBorders>
          <w:bottom w:val="single" w:sz="12"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header" Target="header11.xml"/><Relationship Id="rId39" Type="http://schemas.openxmlformats.org/officeDocument/2006/relationships/header" Target="header24.xml"/><Relationship Id="rId21" Type="http://schemas.openxmlformats.org/officeDocument/2006/relationships/footer" Target="footer6.xml"/><Relationship Id="rId34" Type="http://schemas.openxmlformats.org/officeDocument/2006/relationships/header" Target="header19.xml"/><Relationship Id="rId42" Type="http://schemas.openxmlformats.org/officeDocument/2006/relationships/header" Target="header27.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header" Target="header17.xml"/><Relationship Id="rId37" Type="http://schemas.openxmlformats.org/officeDocument/2006/relationships/header" Target="header22.xml"/><Relationship Id="rId40" Type="http://schemas.openxmlformats.org/officeDocument/2006/relationships/header" Target="header25.xml"/><Relationship Id="rId45" Type="http://schemas.openxmlformats.org/officeDocument/2006/relationships/header" Target="header30.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8.xml"/><Relationship Id="rId28" Type="http://schemas.openxmlformats.org/officeDocument/2006/relationships/header" Target="header13.xml"/><Relationship Id="rId36" Type="http://schemas.openxmlformats.org/officeDocument/2006/relationships/header" Target="header21.xml"/><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header" Target="header16.xml"/><Relationship Id="rId44" Type="http://schemas.openxmlformats.org/officeDocument/2006/relationships/header" Target="header29.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20.xml"/><Relationship Id="rId43" Type="http://schemas.openxmlformats.org/officeDocument/2006/relationships/header" Target="header28.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10.xml"/><Relationship Id="rId33" Type="http://schemas.openxmlformats.org/officeDocument/2006/relationships/header" Target="header18.xml"/><Relationship Id="rId38" Type="http://schemas.openxmlformats.org/officeDocument/2006/relationships/header" Target="header23.xml"/><Relationship Id="rId46"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header" Target="header26.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 Id="rIdFig6" Type="http://schemas.openxmlformats.org/officeDocument/2006/relationships/image" Target="media/fig6.png"/><Relationship Id="rIdFig7" Type="http://schemas.openxmlformats.org/officeDocument/2006/relationships/image" Target="media/fig7.png"/><Relationship Id="rIdFig8" Type="http://schemas.openxmlformats.org/officeDocument/2006/relationships/image" Target="media/fig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Pages>39</Pages>
  <Words>1878</Words>
  <Characters>10706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[Наслов завршног рада]</vt:lpstr>
    </vt:vector>
  </TitlesOfParts>
  <LinksUpToDate>false</LinksUpToDate>
  <CharactersWithSpaces>12559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Завршни рад — шаблон</dc:title>
  <dc:creator/>
  <cp:lastModifiedBy/>
</cp:coreProperties>
</file>