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0A59E">
      <w:pPr>
        <w:pStyle w:val="2"/>
        <w:bidi w:val="0"/>
        <w:rPr>
          <w:rFonts w:hint="eastAsia"/>
          <w:lang w:val="en-US" w:eastAsia="zh-CN"/>
        </w:rPr>
      </w:pPr>
      <w:r>
        <w:rPr>
          <w:rFonts w:hint="eastAsia"/>
          <w:lang w:val="en-US" w:eastAsia="zh-CN"/>
        </w:rPr>
        <w:t>摘要</w:t>
      </w:r>
    </w:p>
    <w:p w14:paraId="657ACC08">
      <w:pPr>
        <w:pStyle w:val="23"/>
      </w:pPr>
      <w:r>
        <w:rPr>
          <w:rFonts w:hint="eastAsia"/>
        </w:rPr>
        <w:t>Kubernetes（简称</w:t>
      </w:r>
      <w:r>
        <w:t xml:space="preserve"> </w:t>
      </w:r>
      <w:r>
        <w:rPr>
          <w:rFonts w:hint="eastAsia"/>
        </w:rPr>
        <w:t>K8s）是由云原生计算基金会托管的容器集群编排系统，广泛用于微服务系统的大规模容器化部署与运维。K8s</w:t>
      </w:r>
      <w:r>
        <w:t xml:space="preserve"> </w:t>
      </w:r>
      <w:r>
        <w:rPr>
          <w:rFonts w:hint="eastAsia"/>
        </w:rPr>
        <w:t>中的第三方云原生应用可能存在导致权限提升的高危漏洞，在该类漏洞披露至补丁部署期间，权限提升攻击可能突破原有权限边界，并威胁集群内节点与工作负载的安全。现有研究多基于历史风险归纳规则，对应用配置进行静态风险检测，难以及时针对新披露的权限提升漏洞生成有效的监控与防护策略；现有动态安全防控工具的策略制定依赖专家经验编写领域特定语言代码，使用成本较高。</w:t>
      </w:r>
    </w:p>
    <w:p w14:paraId="10EFF604">
      <w:pPr>
        <w:pStyle w:val="3"/>
      </w:pPr>
      <w:r>
        <w:rPr>
          <w:rFonts w:hint="eastAsia"/>
        </w:rPr>
        <w:t>本文基于大语言模型漏洞分析与代码生成能力，提出一种针对权限提升漏洞的智能化安全策略生成方法。该方法通过对运行时监控、策略准入引擎、网络策略等多种安全工具的领域特定语言自动化生成与管理，对云原生应用权限提升漏洞攻击链条中的关键节点实施动态监控与防护。主要工作如下。</w:t>
      </w:r>
    </w:p>
    <w:p w14:paraId="1E2C8B48">
      <w:pPr>
        <w:pStyle w:val="3"/>
      </w:pPr>
      <w:r>
        <w:rPr>
          <w:rFonts w:hint="eastAsia"/>
          <w:b/>
          <w:bCs/>
        </w:rPr>
        <w:t>(1)提出一种智能化漏洞防控安全策略生成方法(KPEDefense)</w:t>
      </w:r>
      <w:r>
        <w:rPr>
          <w:rFonts w:hint="eastAsia"/>
        </w:rPr>
        <w:t>：首先，根据历史权限提升漏洞成因系统归纳并提出了一种权限提升漏洞成因分类框架，并基于漏洞来源的开源代码仓库中的多源信息构建安全知识库。然后，在安全知识库检索信息基础上，构建由安全上下文构建、思维链推理、反馈优化等步骤组成的多智能体工作流，生成用于防护和监控特定权限提升漏洞攻击的安全策略代码。最后，设计了针对安全策略的多源模型质量量化评估方法，覆盖有效性、无干扰性与可部署性三个不同维度。</w:t>
      </w:r>
    </w:p>
    <w:p w14:paraId="3E20C9AA">
      <w:pPr>
        <w:pStyle w:val="3"/>
      </w:pPr>
      <w:r>
        <w:rPr>
          <w:rFonts w:hint="eastAsia"/>
          <w:b/>
          <w:bCs/>
        </w:rPr>
        <w:t>(2)开发支持工具</w:t>
      </w:r>
      <w:r>
        <w:rPr>
          <w:rFonts w:hint="eastAsia"/>
        </w:rPr>
        <w:t>：设计并开发</w:t>
      </w:r>
      <w:r>
        <w:t xml:space="preserve"> KPEDefense </w:t>
      </w:r>
      <w:r>
        <w:rPr>
          <w:rFonts w:hint="eastAsia"/>
        </w:rPr>
        <w:t>方法支持工具，集成知识库管理、策略生成工作流、专家评审排序与策略部署验证等功能模块，实现面向云原生权限提升漏洞的智能化自动防控流程。</w:t>
      </w:r>
    </w:p>
    <w:p w14:paraId="26A63B38">
      <w:pPr>
        <w:pStyle w:val="3"/>
      </w:pPr>
      <w:r>
        <w:rPr>
          <w:rFonts w:hint="eastAsia"/>
          <w:b/>
          <w:bCs/>
        </w:rPr>
        <w:t>(3)实验评估</w:t>
      </w:r>
      <w:r>
        <w:rPr>
          <w:rFonts w:hint="eastAsia"/>
        </w:rPr>
        <w:t>：以近</w:t>
      </w:r>
      <w:r>
        <w:t xml:space="preserve"> 5 </w:t>
      </w:r>
      <w:r>
        <w:rPr>
          <w:rFonts w:hint="eastAsia"/>
        </w:rPr>
        <w:t>年权限提升漏洞样本作为实验对象，对</w:t>
      </w:r>
      <w:r>
        <w:t xml:space="preserve"> KPEDefense </w:t>
      </w:r>
      <w:r>
        <w:rPr>
          <w:rFonts w:hint="eastAsia"/>
        </w:rPr>
        <w:t>方法生成安全策略的质量和效率进行评估并进行案例分析。实验结果表明，相较现有的规则化风险扫描方法，KPEDefense</w:t>
      </w:r>
      <w:r>
        <w:t xml:space="preserve"> </w:t>
      </w:r>
      <w:r>
        <w:rPr>
          <w:rFonts w:hint="eastAsia"/>
        </w:rPr>
        <w:t>能够针对真实云原生权限提升漏洞提出更实际的防控方案，方法不同部分对安全策略有效性均有正向贡献，且时间与经济成本开销较低。</w:t>
      </w:r>
    </w:p>
    <w:p w14:paraId="46691328">
      <w:pPr>
        <w:pStyle w:val="3"/>
        <w:rPr>
          <w:rFonts w:hint="eastAsia"/>
        </w:rPr>
      </w:pPr>
      <w:r>
        <w:t xml:space="preserve">KPEDefense </w:t>
      </w:r>
      <w:r>
        <w:rPr>
          <w:rFonts w:hint="eastAsia"/>
        </w:rPr>
        <w:t>通过生成智能化漏洞防控安全策略，能够有效缓解</w:t>
      </w:r>
      <w:r>
        <w:t xml:space="preserve"> K8s </w:t>
      </w:r>
      <w:r>
        <w:rPr>
          <w:rFonts w:hint="eastAsia"/>
        </w:rPr>
        <w:t>第三方开源应用带来的权限提升等高危风险，从而保障</w:t>
      </w:r>
      <w:r>
        <w:t xml:space="preserve"> K8s </w:t>
      </w:r>
      <w:r>
        <w:rPr>
          <w:rFonts w:hint="eastAsia"/>
        </w:rPr>
        <w:t>集群的安全性。</w:t>
      </w:r>
    </w:p>
    <w:p w14:paraId="51DF3C26">
      <w:pPr>
        <w:pStyle w:val="3"/>
        <w:rPr>
          <w:rFonts w:hint="eastAsia"/>
        </w:rPr>
      </w:pPr>
      <w:bookmarkStart w:id="318" w:name="_GoBack"/>
      <w:bookmarkEnd w:id="318"/>
    </w:p>
    <w:p w14:paraId="691E1205">
      <w:pPr>
        <w:pStyle w:val="3"/>
      </w:pPr>
      <w:r>
        <w:t>Kubernetes (K8s) is a container cluster orchestration system hosted by the Cloud Native Computing Foundation and is widely used for large-scale containerized deployment and operation of microservice systems. Third-party cloud-native applications in K8s may contain high-risk vulnerabilities that can lead to privilege escalation. During the window period between vulnerability disclosure and patch deployment, privilege escalation attacks may break existing privilege boundaries and threaten the security of nodes and workloads in a cluster. Existing K8s risk-scanning methods mostly derive rules from historical risks and perform static configuration checks, making it difficult to generate effective monitoring and protection strategies for newly disclosed privilege escalation vulnerabilities in a timely manner. In addition, strategy design in existing dynamic security monitoring tools depends heavily on expert experience, making precise monitoring and protection for specific vulnerabilities difficult.</w:t>
      </w:r>
    </w:p>
    <w:p w14:paraId="08239AD8">
      <w:pPr>
        <w:pStyle w:val="3"/>
      </w:pPr>
      <w:r>
        <w:t>This thesis proposes an intelligent security strategy generation method for privilege escalation vulnerabilities based on the vulnerability analysis and code generation capabilities of large language models. The method automatically generates and manages domain-specific language configurations for multiple security tools, including runtime monitoring, policy admission engines, and network policies, so as to implement dynamic monitoring and protection of key attack-chain nodes in privilege escalation vulnerabilities of cloud-native applications. The main contributions are as follows.</w:t>
      </w:r>
    </w:p>
    <w:p w14:paraId="79A67D6D">
      <w:pPr>
        <w:pStyle w:val="3"/>
      </w:pPr>
      <w:r>
        <w:rPr>
          <w:b/>
          <w:bCs/>
        </w:rPr>
        <w:t>(1) An intelligent security strategy generation method for vulnerability monitoring and protection (KPEDefense):</w:t>
      </w:r>
      <w:r>
        <w:t xml:space="preserve"> First, based on the root causes of historical privilege escalation vulnerabilities, this work systematically summarizes and proposes a root-cause classification framework, and constructs a security knowledge base from multi-source information in the open-source repositories where vulnerabilities originate. Then, on the basis of knowledge retrieval, a multi-agent workflow is built, including security context construction, chain-of-thought reasoning, and feedback optimization, to generate security strategy code for monitoring and protection against specific privilege escalation attacks. Finally, a multi-source quantitative quality evaluation method is designed for generated strategies, covering three dimensions: effectiveness, non-interference, and deployability.</w:t>
      </w:r>
    </w:p>
    <w:p w14:paraId="7C526B1E">
      <w:pPr>
        <w:pStyle w:val="3"/>
      </w:pPr>
      <w:r>
        <w:rPr>
          <w:b/>
          <w:bCs/>
        </w:rPr>
        <w:t>(2) Supporting tool development:</w:t>
      </w:r>
      <w:r>
        <w:t xml:space="preserve"> A supporting tool for KPEDefense is designed and implemented. It integrates functional modules including knowledge-base management, strategy-generation workflow, expert review and ranking, and strategy deployment validation, thereby realizing an intelligent and automated monitoring-and-protection process for cloud-native privilege escalation vulnerabilities.</w:t>
      </w:r>
    </w:p>
    <w:p w14:paraId="6D413381">
      <w:pPr>
        <w:pStyle w:val="3"/>
      </w:pPr>
      <w:r>
        <w:rPr>
          <w:b/>
          <w:bCs/>
        </w:rPr>
        <w:t>(3) Experimental evaluation:</w:t>
      </w:r>
      <w:r>
        <w:t xml:space="preserve"> Using privilege escalation vulnerability samples from the past five years, this thesis evaluates the quality and efficiency of strategies generated by KPEDefense and conducts case studies. Experimental results show that, compared with existing rule-based risk-scanning methods, KPEDefense can provide more practical monitoring and protection strategies for real cloud-native privilege escalation vulnerabilities. Different components of the method all make positive contributions to strategy effectiveness, while the time and economic costs remain low.</w:t>
      </w:r>
    </w:p>
    <w:p w14:paraId="28D3229C">
      <w:pPr>
        <w:pStyle w:val="3"/>
      </w:pPr>
      <w:r>
        <w:t>By generating intelligent security strategies for vulnerability monitoring and protection, KPEDefense can effectively mitigate high-risk threats such as privilege escalation introduced by third-party open-source applications in K8s, thereby improving the security of K8s clusters.</w:t>
      </w:r>
    </w:p>
    <w:p w14:paraId="4C02FB97">
      <w:pPr>
        <w:pStyle w:val="2"/>
      </w:pPr>
      <w:bookmarkStart w:id="0" w:name="插图清单"/>
      <w:r>
        <w:rPr>
          <w:rFonts w:hint="eastAsia"/>
        </w:rPr>
        <w:t>插图清单</w:t>
      </w:r>
    </w:p>
    <w:bookmarkEnd w:id="0"/>
    <w:p w14:paraId="45F29FA2">
      <w:pPr>
        <w:pStyle w:val="2"/>
      </w:pPr>
      <w:bookmarkStart w:id="1" w:name="附表清单"/>
      <w:r>
        <w:rPr>
          <w:rFonts w:hint="eastAsia"/>
        </w:rPr>
        <w:t>附表清单</w:t>
      </w:r>
    </w:p>
    <w:bookmarkEnd w:id="1"/>
    <w:p w14:paraId="6F24257A">
      <w:pPr>
        <w:pStyle w:val="2"/>
      </w:pPr>
      <w:bookmarkStart w:id="2" w:name="符号清单与术语表"/>
      <w:r>
        <w:rPr>
          <w:rFonts w:hint="eastAsia"/>
        </w:rPr>
        <w:t>符号清单与术语表</w:t>
      </w:r>
    </w:p>
    <w:p w14:paraId="3B32ED45">
      <w:pPr>
        <w:pStyle w:val="23"/>
      </w:pPr>
      <w:bookmarkStart w:id="3" w:name="chap:sym-list"/>
      <w:bookmarkEnd w:id="3"/>
    </w:p>
    <w:p w14:paraId="4E1F966E">
      <w:pPr>
        <w:pStyle w:val="3"/>
      </w:pPr>
      <w:r>
        <w:rPr>
          <w:rFonts w:hint="eastAsia"/>
        </w:rPr>
        <w:t>全文主要符号汇总如下。</w:t>
      </w:r>
    </w:p>
    <w:p w14:paraId="737D9BD0">
      <w:pPr>
        <w:pStyle w:val="3"/>
      </w:pPr>
      <w:r>
        <w:rPr>
          <w:rFonts w:hint="eastAsia"/>
          <w:b/>
          <w:bCs/>
        </w:rPr>
        <w:t>符号清单</w:t>
      </w:r>
    </w:p>
    <w:tbl>
      <w:tblPr>
        <w:tblStyle w:val="41"/>
        <w:tblW w:w="0" w:type="auto"/>
        <w:tblInd w:w="0" w:type="dxa"/>
        <w:tblLayout w:type="autofit"/>
        <w:tblCellMar>
          <w:top w:w="0" w:type="dxa"/>
          <w:left w:w="108" w:type="dxa"/>
          <w:bottom w:w="0" w:type="dxa"/>
          <w:right w:w="108" w:type="dxa"/>
        </w:tblCellMar>
      </w:tblPr>
      <w:tblGrid>
        <w:gridCol w:w="1252"/>
        <w:gridCol w:w="7604"/>
      </w:tblGrid>
      <w:tr w14:paraId="2BE69562">
        <w:tblPrEx>
          <w:tblCellMar>
            <w:top w:w="0" w:type="dxa"/>
            <w:left w:w="108" w:type="dxa"/>
            <w:bottom w:w="0" w:type="dxa"/>
            <w:right w:w="108" w:type="dxa"/>
          </w:tblCellMar>
        </w:tblPrEx>
        <w:trPr>
          <w:tblHeader/>
        </w:trPr>
        <w:tc>
          <w:p w14:paraId="6B186568">
            <w:pPr>
              <w:pStyle w:val="24"/>
              <w:jc w:val="left"/>
            </w:pPr>
            <w:r>
              <w:rPr>
                <w:rFonts w:hint="eastAsia"/>
                <w:b/>
                <w:bCs/>
              </w:rPr>
              <w:t>符号</w:t>
            </w:r>
          </w:p>
        </w:tc>
        <w:tc>
          <w:p w14:paraId="0299119C">
            <w:pPr>
              <w:pStyle w:val="24"/>
              <w:jc w:val="left"/>
            </w:pPr>
            <w:r>
              <w:rPr>
                <w:rFonts w:hint="eastAsia"/>
                <w:b/>
                <w:bCs/>
              </w:rPr>
              <w:t>含义说明</w:t>
            </w:r>
          </w:p>
        </w:tc>
      </w:tr>
      <w:tr w14:paraId="713007B0">
        <w:tblPrEx>
          <w:tblCellMar>
            <w:top w:w="0" w:type="dxa"/>
            <w:left w:w="108" w:type="dxa"/>
            <w:bottom w:w="0" w:type="dxa"/>
            <w:right w:w="108" w:type="dxa"/>
          </w:tblCellMar>
        </w:tblPrEx>
        <w:tc>
          <w:p w14:paraId="52FEEBA8">
            <w:pPr>
              <w:pStyle w:val="24"/>
            </w:pPr>
          </w:p>
        </w:tc>
        <w:tc>
          <w:p w14:paraId="5368E98A">
            <w:pPr>
              <w:pStyle w:val="24"/>
            </w:pPr>
          </w:p>
        </w:tc>
      </w:tr>
      <w:tr w14:paraId="16BA549D">
        <w:tblPrEx>
          <w:tblCellMar>
            <w:top w:w="0" w:type="dxa"/>
            <w:left w:w="108" w:type="dxa"/>
            <w:bottom w:w="0" w:type="dxa"/>
            <w:right w:w="108" w:type="dxa"/>
          </w:tblCellMar>
        </w:tblPrEx>
        <w:tc>
          <w:p w14:paraId="1E3977A2">
            <w:pPr>
              <w:pStyle w:val="24"/>
              <w:jc w:val="left"/>
            </w:pPr>
            <w:r>
              <w:rPr>
                <w:rFonts w:hint="eastAsia"/>
                <w:b/>
                <w:bCs/>
              </w:rPr>
              <w:t>符号</w:t>
            </w:r>
          </w:p>
        </w:tc>
        <w:tc>
          <w:p w14:paraId="241C7C42">
            <w:pPr>
              <w:pStyle w:val="24"/>
              <w:jc w:val="left"/>
            </w:pPr>
            <w:r>
              <w:rPr>
                <w:rFonts w:hint="eastAsia"/>
                <w:b/>
                <w:bCs/>
              </w:rPr>
              <w:t>含义说明</w:t>
            </w:r>
          </w:p>
        </w:tc>
      </w:tr>
      <w:tr w14:paraId="76F3498D">
        <w:tblPrEx>
          <w:tblCellMar>
            <w:top w:w="0" w:type="dxa"/>
            <w:left w:w="108" w:type="dxa"/>
            <w:bottom w:w="0" w:type="dxa"/>
            <w:right w:w="108" w:type="dxa"/>
          </w:tblCellMar>
        </w:tblPrEx>
        <w:tc>
          <w:p w14:paraId="60ECA9BA">
            <w:pPr>
              <w:pStyle w:val="24"/>
              <w:jc w:val="left"/>
            </w:pPr>
            <m:oMathPara>
              <m:oMath>
                <m:r>
                  <m:rPr/>
                  <m:t>v</m:t>
                </m:r>
              </m:oMath>
            </m:oMathPara>
          </w:p>
        </w:tc>
        <w:tc>
          <w:p w14:paraId="2BBD7F9E">
            <w:pPr>
              <w:pStyle w:val="24"/>
              <w:jc w:val="left"/>
            </w:pPr>
            <w:r>
              <w:rPr>
                <w:rFonts w:hint="eastAsia"/>
              </w:rPr>
              <w:t>漏洞实例，三元组形式</w:t>
            </w:r>
            <w:r>
              <w:t xml:space="preserve"> </w:t>
            </w:r>
            <m:oMath>
              <m:r>
                <m:rPr>
                  <m:sty m:val="p"/>
                </m:rPr>
                <m:t>⟨</m:t>
              </m:r>
              <m:r>
                <m:rPr/>
                <m:t>id</m:t>
              </m:r>
              <m:r>
                <m:rPr>
                  <m:sty m:val="p"/>
                </m:rPr>
                <m:t>,</m:t>
              </m:r>
              <m:r>
                <m:rPr/>
                <m:t>d</m:t>
              </m:r>
              <m:r>
                <m:rPr>
                  <m:sty m:val="p"/>
                </m:rPr>
                <m:t>,</m:t>
              </m:r>
              <m:r>
                <m:rPr/>
                <m:t>m</m:t>
              </m:r>
              <m:r>
                <m:rPr>
                  <m:sty m:val="p"/>
                </m:rPr>
                <m:t>⟩</m:t>
              </m:r>
            </m:oMath>
            <w:r>
              <w:rPr>
                <w:rFonts w:hint="eastAsia"/>
              </w:rPr>
              <w:t>，由编号、描述与元数据组成。</w:t>
            </w:r>
          </w:p>
        </w:tc>
      </w:tr>
      <w:tr w14:paraId="22954526">
        <w:tblPrEx>
          <w:tblCellMar>
            <w:top w:w="0" w:type="dxa"/>
            <w:left w:w="108" w:type="dxa"/>
            <w:bottom w:w="0" w:type="dxa"/>
            <w:right w:w="108" w:type="dxa"/>
          </w:tblCellMar>
        </w:tblPrEx>
        <w:tc>
          <w:p w14:paraId="2DB45F9A">
            <w:pPr>
              <w:pStyle w:val="24"/>
              <w:jc w:val="left"/>
            </w:pPr>
            <m:oMathPara>
              <m:oMath>
                <m:r>
                  <m:rPr/>
                  <m:t>c</m:t>
                </m:r>
              </m:oMath>
            </m:oMathPara>
          </w:p>
        </w:tc>
        <w:tc>
          <w:p w14:paraId="0941933A">
            <w:pPr>
              <w:pStyle w:val="24"/>
              <w:jc w:val="left"/>
            </w:pPr>
            <w:r>
              <w:rPr>
                <w:rFonts w:hint="eastAsia"/>
              </w:rPr>
              <w:t>安全上下文，即带来源标识的有限证据集合。</w:t>
            </w:r>
          </w:p>
        </w:tc>
      </w:tr>
      <w:tr w14:paraId="7ACC06CC">
        <w:tblPrEx>
          <w:tblCellMar>
            <w:top w:w="0" w:type="dxa"/>
            <w:left w:w="108" w:type="dxa"/>
            <w:bottom w:w="0" w:type="dxa"/>
            <w:right w:w="108" w:type="dxa"/>
          </w:tblCellMar>
        </w:tblPrEx>
        <w:tc>
          <w:p w14:paraId="24D1AC96">
            <w:pPr>
              <w:pStyle w:val="24"/>
              <w:jc w:val="left"/>
            </w:pPr>
            <m:oMathPara>
              <m:oMath>
                <m:sSub>
                  <m:sSubPr/>
                  <m:e>
                    <m:r>
                      <m:rPr/>
                      <m:t>t</m:t>
                    </m:r>
                  </m:e>
                  <m:sub>
                    <m:r>
                      <m:rPr/>
                      <m:t>i</m:t>
                    </m:r>
                  </m:sub>
                </m:sSub>
              </m:oMath>
            </m:oMathPara>
          </w:p>
        </w:tc>
        <w:tc>
          <w:p w14:paraId="5C03C2D2">
            <w:pPr>
              <w:pStyle w:val="24"/>
              <w:jc w:val="left"/>
            </w:pPr>
            <w:r>
              <w:rPr>
                <w:rFonts w:hint="eastAsia"/>
              </w:rPr>
              <w:t>第</w:t>
            </w:r>
            <w:r>
              <w:t xml:space="preserve"> </w:t>
            </w:r>
            <m:oMath>
              <m:r>
                <m:rPr/>
                <m:t>i</m:t>
              </m:r>
            </m:oMath>
            <w:r>
              <w:t xml:space="preserve"> </w:t>
            </w:r>
            <w:r>
              <w:rPr>
                <w:rFonts w:hint="eastAsia"/>
              </w:rPr>
              <w:t>条证据内容，如代码片段、公告文本或文档片段。</w:t>
            </w:r>
          </w:p>
        </w:tc>
      </w:tr>
      <w:tr w14:paraId="7F10A307">
        <w:tblPrEx>
          <w:tblCellMar>
            <w:top w:w="0" w:type="dxa"/>
            <w:left w:w="108" w:type="dxa"/>
            <w:bottom w:w="0" w:type="dxa"/>
            <w:right w:w="108" w:type="dxa"/>
          </w:tblCellMar>
        </w:tblPrEx>
        <w:tc>
          <w:p w14:paraId="76531241">
            <w:pPr>
              <w:pStyle w:val="24"/>
              <w:jc w:val="left"/>
            </w:pPr>
            <m:oMathPara>
              <m:oMath>
                <m:sSub>
                  <m:sSubPr/>
                  <m:e>
                    <m:r>
                      <m:rPr/>
                      <m:t>src</m:t>
                    </m:r>
                  </m:e>
                  <m:sub>
                    <m:r>
                      <m:rPr/>
                      <m:t>i</m:t>
                    </m:r>
                  </m:sub>
                </m:sSub>
              </m:oMath>
            </m:oMathPara>
          </w:p>
        </w:tc>
        <w:tc>
          <w:p w14:paraId="183617A4">
            <w:pPr>
              <w:pStyle w:val="24"/>
              <w:jc w:val="left"/>
            </w:pPr>
            <w:r>
              <w:rPr>
                <w:rFonts w:hint="eastAsia"/>
              </w:rPr>
              <w:t>第</w:t>
            </w:r>
            <w:r>
              <w:t xml:space="preserve"> </w:t>
            </w:r>
            <m:oMath>
              <m:r>
                <m:rPr/>
                <m:t>i</m:t>
              </m:r>
            </m:oMath>
            <w:r>
              <w:t xml:space="preserve"> </w:t>
            </w:r>
            <w:r>
              <w:rPr>
                <w:rFonts w:hint="eastAsia"/>
              </w:rPr>
              <w:t>条证据来源，如文档路径、链接或代码位置。</w:t>
            </w:r>
          </w:p>
        </w:tc>
      </w:tr>
      <w:tr w14:paraId="6C4C96E8">
        <w:tblPrEx>
          <w:tblCellMar>
            <w:top w:w="0" w:type="dxa"/>
            <w:left w:w="108" w:type="dxa"/>
            <w:bottom w:w="0" w:type="dxa"/>
            <w:right w:w="108" w:type="dxa"/>
          </w:tblCellMar>
        </w:tblPrEx>
        <w:tc>
          <w:p w14:paraId="0CB8CF2D">
            <w:pPr>
              <w:pStyle w:val="24"/>
              <w:jc w:val="left"/>
            </w:pPr>
            <m:oMathPara>
              <m:oMath>
                <m:sSub>
                  <m:sSubPr/>
                  <m:e>
                    <m:r>
                      <m:rPr/>
                      <m:t>n</m:t>
                    </m:r>
                  </m:e>
                  <m:sub>
                    <m:r>
                      <m:rPr/>
                      <m:t>c</m:t>
                    </m:r>
                  </m:sub>
                </m:sSub>
              </m:oMath>
            </m:oMathPara>
          </w:p>
        </w:tc>
        <w:tc>
          <w:p w14:paraId="29124791">
            <w:pPr>
              <w:pStyle w:val="24"/>
              <w:jc w:val="left"/>
            </w:pPr>
            <w:r>
              <w:rPr>
                <w:rFonts w:hint="eastAsia"/>
              </w:rPr>
              <w:t>安全上下文</w:t>
            </w:r>
            <w:r>
              <w:t xml:space="preserve"> </w:t>
            </w:r>
            <m:oMath>
              <m:r>
                <m:rPr/>
                <m:t>c</m:t>
              </m:r>
            </m:oMath>
            <w:r>
              <w:t xml:space="preserve"> </w:t>
            </w:r>
            <w:r>
              <w:rPr>
                <w:rFonts w:hint="eastAsia"/>
              </w:rPr>
              <w:t>中的证据条数，即</w:t>
            </w:r>
            <w:r>
              <w:t xml:space="preserve"> </w:t>
            </w:r>
            <m:oMath>
              <m:r>
                <m:rPr>
                  <m:sty m:val="p"/>
                </m:rPr>
                <m:t>|</m:t>
              </m:r>
              <m:r>
                <m:rPr/>
                <m:t>c</m:t>
              </m:r>
              <m:r>
                <m:rPr>
                  <m:sty m:val="p"/>
                </m:rPr>
                <m:t>|</m:t>
              </m:r>
            </m:oMath>
            <w:r>
              <w:t>。</w:t>
            </w:r>
          </w:p>
        </w:tc>
      </w:tr>
      <w:tr w14:paraId="2A8C85AB">
        <w:tblPrEx>
          <w:tblCellMar>
            <w:top w:w="0" w:type="dxa"/>
            <w:left w:w="108" w:type="dxa"/>
            <w:bottom w:w="0" w:type="dxa"/>
            <w:right w:w="108" w:type="dxa"/>
          </w:tblCellMar>
        </w:tblPrEx>
        <w:tc>
          <w:p w14:paraId="47F6321A">
            <w:pPr>
              <w:pStyle w:val="24"/>
              <w:jc w:val="left"/>
            </w:pPr>
            <m:oMathPara>
              <m:oMath>
                <m:sSub>
                  <m:sSubPr/>
                  <m:e>
                    <m:r>
                      <m:rPr>
                        <m:sty m:val="p"/>
                        <m:scr m:val="script"/>
                      </m:rPr>
                      <m:t>K</m:t>
                    </m:r>
                  </m:e>
                  <m:sub>
                    <m:r>
                      <m:rPr/>
                      <m:t>v</m:t>
                    </m:r>
                  </m:sub>
                </m:sSub>
              </m:oMath>
            </m:oMathPara>
          </w:p>
        </w:tc>
        <w:tc>
          <w:p w14:paraId="46E3947C">
            <w:pPr>
              <w:pStyle w:val="24"/>
              <w:jc w:val="left"/>
            </w:pPr>
            <w:r>
              <w:rPr>
                <w:rFonts w:hint="eastAsia"/>
              </w:rPr>
              <w:t>针对漏洞</w:t>
            </w:r>
            <w:r>
              <w:t xml:space="preserve"> </w:t>
            </w:r>
            <m:oMath>
              <m:r>
                <m:rPr/>
                <m:t>v</m:t>
              </m:r>
            </m:oMath>
            <w:r>
              <w:t xml:space="preserve"> </w:t>
            </w:r>
            <w:r>
              <w:rPr>
                <w:rFonts w:hint="eastAsia"/>
              </w:rPr>
              <w:t>构建的安全知识库，存放多源证据、向量索引与元数据。</w:t>
            </w:r>
          </w:p>
        </w:tc>
      </w:tr>
      <w:tr w14:paraId="0D1D41B0">
        <w:tblPrEx>
          <w:tblCellMar>
            <w:top w:w="0" w:type="dxa"/>
            <w:left w:w="108" w:type="dxa"/>
            <w:bottom w:w="0" w:type="dxa"/>
            <w:right w:w="108" w:type="dxa"/>
          </w:tblCellMar>
        </w:tblPrEx>
        <w:tc>
          <w:p w14:paraId="0395CEEA">
            <w:pPr>
              <w:pStyle w:val="24"/>
              <w:jc w:val="left"/>
            </w:pPr>
            <m:oMathPara>
              <m:oMath>
                <m:r>
                  <m:rPr>
                    <m:sty m:val="p"/>
                    <m:scr m:val="script"/>
                  </m:rPr>
                  <m:t>ℰ</m:t>
                </m:r>
              </m:oMath>
            </m:oMathPara>
          </w:p>
        </w:tc>
        <w:tc>
          <w:p w14:paraId="48792234">
            <w:pPr>
              <w:pStyle w:val="24"/>
              <w:jc w:val="left"/>
            </w:pPr>
            <w:r>
              <w:rPr>
                <w:rFonts w:hint="eastAsia"/>
              </w:rPr>
              <w:t>防控条目全集，由监控型与防护型防控条目共同构成。</w:t>
            </w:r>
          </w:p>
        </w:tc>
      </w:tr>
      <w:tr w14:paraId="7C860F91">
        <w:tblPrEx>
          <w:tblCellMar>
            <w:top w:w="0" w:type="dxa"/>
            <w:left w:w="108" w:type="dxa"/>
            <w:bottom w:w="0" w:type="dxa"/>
            <w:right w:w="108" w:type="dxa"/>
          </w:tblCellMar>
        </w:tblPrEx>
        <w:tc>
          <w:p w14:paraId="78A90D8E">
            <w:pPr>
              <w:pStyle w:val="24"/>
              <w:jc w:val="left"/>
            </w:pPr>
            <m:oMathPara>
              <m:oMath>
                <m:r>
                  <m:rPr>
                    <m:sty m:val="p"/>
                  </m:rPr>
                  <m:t>Π</m:t>
                </m:r>
              </m:oMath>
            </m:oMathPara>
          </w:p>
        </w:tc>
        <w:tc>
          <w:p w14:paraId="3E753571">
            <w:pPr>
              <w:pStyle w:val="24"/>
              <w:jc w:val="left"/>
            </w:pPr>
            <w:r>
              <w:rPr>
                <w:rFonts w:hint="eastAsia"/>
              </w:rPr>
              <w:t>安全策略全集，满足</w:t>
            </w:r>
            <w:r>
              <w:t xml:space="preserve"> </w:t>
            </w:r>
            <m:oMath>
              <m:r>
                <m:rPr>
                  <m:sty m:val="p"/>
                </m:rPr>
                <m:t>Π=</m:t>
              </m:r>
              <m:sSup>
                <m:sSupPr/>
                <m:e>
                  <m:r>
                    <m:rPr/>
                    <m:t>2</m:t>
                  </m:r>
                </m:e>
                <m:sup>
                  <m:r>
                    <m:rPr>
                      <m:sty m:val="p"/>
                      <m:scr m:val="script"/>
                    </m:rPr>
                    <m:t>ℰ</m:t>
                  </m:r>
                </m:sup>
              </m:sSup>
            </m:oMath>
            <w:r>
              <w:t>。</w:t>
            </w:r>
          </w:p>
        </w:tc>
      </w:tr>
      <w:tr w14:paraId="0B26ACE7">
        <w:tblPrEx>
          <w:tblCellMar>
            <w:top w:w="0" w:type="dxa"/>
            <w:left w:w="108" w:type="dxa"/>
            <w:bottom w:w="0" w:type="dxa"/>
            <w:right w:w="108" w:type="dxa"/>
          </w:tblCellMar>
        </w:tblPrEx>
        <w:tc>
          <w:p w14:paraId="26745FD5">
            <w:pPr>
              <w:pStyle w:val="24"/>
              <w:jc w:val="left"/>
            </w:pPr>
            <m:oMathPara>
              <m:oMath>
                <m:r>
                  <m:rPr/>
                  <m:t>e</m:t>
                </m:r>
              </m:oMath>
            </m:oMathPara>
          </w:p>
        </w:tc>
        <w:tc>
          <w:p w14:paraId="662E3574">
            <w:pPr>
              <w:pStyle w:val="24"/>
              <w:jc w:val="left"/>
            </w:pPr>
            <w:r>
              <w:rPr>
                <w:rFonts w:hint="eastAsia"/>
              </w:rPr>
              <w:t>防控条目，三元组形式</w:t>
            </w:r>
            <w:r>
              <w:t xml:space="preserve"> </w:t>
            </w:r>
            <m:oMath>
              <m:r>
                <m:rPr>
                  <m:sty m:val="p"/>
                </m:rPr>
                <m:t>⟨</m:t>
              </m:r>
              <m:r>
                <m:rPr/>
                <m:t>τ</m:t>
              </m:r>
              <m:r>
                <m:rPr>
                  <m:sty m:val="p"/>
                </m:rPr>
                <m:t>,</m:t>
              </m:r>
              <m:r>
                <m:rPr/>
                <m:t>m</m:t>
              </m:r>
              <m:r>
                <m:rPr>
                  <m:sty m:val="p"/>
                </m:rPr>
                <m:t>,</m:t>
              </m:r>
              <m:r>
                <m:rPr>
                  <m:sty m:val="bi"/>
                </m:rPr>
                <m:t>a</m:t>
              </m:r>
              <m:r>
                <m:rPr>
                  <m:sty m:val="p"/>
                </m:rPr>
                <m:t>⟩</m:t>
              </m:r>
            </m:oMath>
            <w:r>
              <w:rPr>
                <w:rFonts w:hint="eastAsia"/>
              </w:rPr>
              <w:t>，由控制类型、控制机理与执行表达序列组成。</w:t>
            </w:r>
          </w:p>
        </w:tc>
      </w:tr>
      <w:tr w14:paraId="490A8A4D">
        <w:tblPrEx>
          <w:tblCellMar>
            <w:top w:w="0" w:type="dxa"/>
            <w:left w:w="108" w:type="dxa"/>
            <w:bottom w:w="0" w:type="dxa"/>
            <w:right w:w="108" w:type="dxa"/>
          </w:tblCellMar>
        </w:tblPrEx>
        <w:tc>
          <w:p w14:paraId="6D70C78C">
            <w:pPr>
              <w:pStyle w:val="24"/>
              <w:jc w:val="left"/>
            </w:pPr>
            <m:oMathPara>
              <m:oMath>
                <m:r>
                  <m:rPr/>
                  <m:t>π</m:t>
                </m:r>
              </m:oMath>
            </m:oMathPara>
          </w:p>
        </w:tc>
        <w:tc>
          <w:p w14:paraId="250A14A4">
            <w:pPr>
              <w:pStyle w:val="24"/>
              <w:jc w:val="left"/>
            </w:pPr>
            <w:r>
              <w:rPr>
                <w:rFonts w:hint="eastAsia"/>
              </w:rPr>
              <w:t>单个安全策略，是防控条目的有限集合</w:t>
            </w:r>
            <w:r>
              <w:t xml:space="preserve"> </w:t>
            </w:r>
            <m:oMath>
              <m:r>
                <m:rPr>
                  <m:sty m:val="p"/>
                </m:rPr>
                <m:t>{</m:t>
              </m:r>
              <m:sSub>
                <m:sSubPr/>
                <m:e>
                  <m:r>
                    <m:rPr/>
                    <m:t>e</m:t>
                  </m:r>
                </m:e>
                <m:sub>
                  <m:r>
                    <m:rPr/>
                    <m:t>1</m:t>
                  </m:r>
                </m:sub>
              </m:sSub>
              <m:r>
                <m:rPr>
                  <m:sty m:val="p"/>
                </m:rPr>
                <m:t>,</m:t>
              </m:r>
              <m:sSub>
                <m:sSubPr/>
                <m:e>
                  <m:r>
                    <m:rPr/>
                    <m:t>e</m:t>
                  </m:r>
                </m:e>
                <m:sub>
                  <m:r>
                    <m:rPr/>
                    <m:t>2</m:t>
                  </m:r>
                </m:sub>
              </m:sSub>
              <m:r>
                <m:rPr>
                  <m:sty m:val="p"/>
                </m:rPr>
                <m:t>,…,</m:t>
              </m:r>
              <m:sSub>
                <m:sSubPr/>
                <m:e>
                  <m:r>
                    <m:rPr/>
                    <m:t>e</m:t>
                  </m:r>
                </m:e>
                <m:sub>
                  <m:r>
                    <m:rPr/>
                    <m:t>n</m:t>
                  </m:r>
                </m:sub>
              </m:sSub>
              <m:r>
                <m:rPr>
                  <m:sty m:val="p"/>
                </m:rPr>
                <m:t>}</m:t>
              </m:r>
            </m:oMath>
            <w:r>
              <w:t>。</w:t>
            </w:r>
          </w:p>
        </w:tc>
      </w:tr>
      <w:tr w14:paraId="16776C22">
        <w:tblPrEx>
          <w:tblCellMar>
            <w:top w:w="0" w:type="dxa"/>
            <w:left w:w="108" w:type="dxa"/>
            <w:bottom w:w="0" w:type="dxa"/>
            <w:right w:w="108" w:type="dxa"/>
          </w:tblCellMar>
        </w:tblPrEx>
        <w:tc>
          <w:p w14:paraId="53768945">
            <w:pPr>
              <w:pStyle w:val="24"/>
              <w:jc w:val="left"/>
            </w:pPr>
            <m:oMathPara>
              <m:oMath>
                <m:r>
                  <m:rPr/>
                  <m:t>τ</m:t>
                </m:r>
              </m:oMath>
            </m:oMathPara>
          </w:p>
        </w:tc>
        <w:tc>
          <w:p w14:paraId="4AE61F4F">
            <w:pPr>
              <w:pStyle w:val="24"/>
              <w:jc w:val="left"/>
            </w:pPr>
            <w:r>
              <w:rPr>
                <w:rFonts w:hint="eastAsia"/>
              </w:rPr>
              <w:t>控制类型，取值为</w:t>
            </w:r>
            <w:r>
              <w:t xml:space="preserve"> </w:t>
            </w:r>
            <m:oMath>
              <m:r>
                <m:rPr>
                  <m:sty m:val="p"/>
                </m:rPr>
                <m:t>{mon,prot}</m:t>
              </m:r>
            </m:oMath>
            <w:r>
              <w:rPr>
                <w:rFonts w:hint="eastAsia"/>
              </w:rPr>
              <w:t>：</w:t>
            </w:r>
            <m:oMath>
              <m:r>
                <m:rPr>
                  <m:sty m:val="p"/>
                </m:rPr>
                <m:t>mon</m:t>
              </m:r>
            </m:oMath>
            <w:r>
              <w:t xml:space="preserve"> </w:t>
            </w:r>
            <w:r>
              <w:rPr>
                <w:rFonts w:hint="eastAsia"/>
              </w:rPr>
              <w:t>表示监控型(以观测告警为目标)，</w:t>
            </w:r>
            <m:oMath>
              <m:r>
                <m:rPr>
                  <m:sty m:val="p"/>
                </m:rPr>
                <m:t>prot</m:t>
              </m:r>
            </m:oMath>
            <w:r>
              <w:t xml:space="preserve"> </w:t>
            </w:r>
            <w:r>
              <w:rPr>
                <w:rFonts w:hint="eastAsia"/>
              </w:rPr>
              <w:t>表示防护型(以阻断收敛为目标)。</w:t>
            </w:r>
          </w:p>
        </w:tc>
      </w:tr>
      <w:tr w14:paraId="32145151">
        <w:tblPrEx>
          <w:tblCellMar>
            <w:top w:w="0" w:type="dxa"/>
            <w:left w:w="108" w:type="dxa"/>
            <w:bottom w:w="0" w:type="dxa"/>
            <w:right w:w="108" w:type="dxa"/>
          </w:tblCellMar>
        </w:tblPrEx>
        <w:tc>
          <w:p w14:paraId="61439122">
            <w:pPr>
              <w:pStyle w:val="24"/>
              <w:jc w:val="left"/>
            </w:pPr>
            <m:oMathPara>
              <m:oMath>
                <m:r>
                  <m:rPr/>
                  <m:t>m</m:t>
                </m:r>
              </m:oMath>
            </m:oMathPara>
          </w:p>
        </w:tc>
        <w:tc>
          <w:p w14:paraId="52EB491B">
            <w:pPr>
              <w:pStyle w:val="24"/>
              <w:jc w:val="left"/>
            </w:pPr>
            <w:r>
              <w:rPr>
                <w:rFonts w:hint="eastAsia"/>
              </w:rPr>
              <w:t>控制机理，描述一项控制手段的作用路径与机理，如</w:t>
            </w:r>
            <w:r>
              <w:t xml:space="preserve"> Falco </w:t>
            </w:r>
            <w:r>
              <w:rPr>
                <w:rFonts w:hint="eastAsia"/>
              </w:rPr>
              <w:t>规则告警、Kyverno</w:t>
            </w:r>
            <w:r>
              <w:t xml:space="preserve"> </w:t>
            </w:r>
            <w:r>
              <w:rPr>
                <w:rFonts w:hint="eastAsia"/>
              </w:rPr>
              <w:t>准入审计、RBAC</w:t>
            </w:r>
            <w:r>
              <w:t xml:space="preserve"> </w:t>
            </w:r>
            <w:r>
              <w:rPr>
                <w:rFonts w:hint="eastAsia"/>
              </w:rPr>
              <w:t>权限收缩等。</w:t>
            </w:r>
          </w:p>
        </w:tc>
      </w:tr>
      <w:tr w14:paraId="0CC29B82">
        <w:tblPrEx>
          <w:tblCellMar>
            <w:top w:w="0" w:type="dxa"/>
            <w:left w:w="108" w:type="dxa"/>
            <w:bottom w:w="0" w:type="dxa"/>
            <w:right w:w="108" w:type="dxa"/>
          </w:tblCellMar>
        </w:tblPrEx>
        <w:tc>
          <w:p w14:paraId="5E96F207">
            <w:pPr>
              <w:pStyle w:val="24"/>
              <w:jc w:val="left"/>
            </w:pPr>
            <m:oMathPara>
              <m:oMath>
                <m:r>
                  <m:rPr>
                    <m:sty m:val="bi"/>
                  </m:rPr>
                  <m:t>a</m:t>
                </m:r>
              </m:oMath>
            </m:oMathPara>
          </w:p>
        </w:tc>
        <w:tc>
          <w:p w14:paraId="04045F43">
            <w:pPr>
              <w:pStyle w:val="24"/>
              <w:jc w:val="left"/>
            </w:pPr>
            <w:r>
              <w:rPr>
                <w:rFonts w:hint="eastAsia"/>
              </w:rPr>
              <w:t>执行表达序列，表示与控制机理对应的可部署规则片段、配置声明或可执行命令。</w:t>
            </w:r>
          </w:p>
        </w:tc>
      </w:tr>
      <w:tr w14:paraId="6A3D9F47">
        <w:tblPrEx>
          <w:tblCellMar>
            <w:top w:w="0" w:type="dxa"/>
            <w:left w:w="108" w:type="dxa"/>
            <w:bottom w:w="0" w:type="dxa"/>
            <w:right w:w="108" w:type="dxa"/>
          </w:tblCellMar>
        </w:tblPrEx>
        <w:tc>
          <w:p w14:paraId="5BF5E172">
            <w:pPr>
              <w:pStyle w:val="24"/>
              <w:jc w:val="left"/>
            </w:pPr>
            <m:oMathPara>
              <m:oMath>
                <m:r>
                  <m:rPr>
                    <m:sty m:val="p"/>
                    <m:scr m:val="script"/>
                  </m:rPr>
                  <m:t>A</m:t>
                </m:r>
              </m:oMath>
            </m:oMathPara>
          </w:p>
        </w:tc>
        <w:tc>
          <w:p w14:paraId="1504364B">
            <w:pPr>
              <w:pStyle w:val="24"/>
              <w:jc w:val="left"/>
            </w:pPr>
            <w:r>
              <w:rPr>
                <w:rFonts w:hint="eastAsia"/>
              </w:rPr>
              <w:t>生成方法配置集合，用于刻画提示词组织、目标侧重或工作流设定等差异。</w:t>
            </w:r>
          </w:p>
        </w:tc>
      </w:tr>
      <w:tr w14:paraId="05A7A21B">
        <w:tblPrEx>
          <w:tblCellMar>
            <w:top w:w="0" w:type="dxa"/>
            <w:left w:w="108" w:type="dxa"/>
            <w:bottom w:w="0" w:type="dxa"/>
            <w:right w:w="108" w:type="dxa"/>
          </w:tblCellMar>
        </w:tblPrEx>
        <w:tc>
          <w:p w14:paraId="2273E8E5">
            <w:pPr>
              <w:pStyle w:val="24"/>
              <w:jc w:val="left"/>
            </w:pPr>
            <m:oMathPara>
              <m:oMath>
                <m:r>
                  <m:rPr>
                    <m:sty m:val="p"/>
                    <m:scr m:val="script"/>
                  </m:rPr>
                  <m:t>ℳ</m:t>
                </m:r>
              </m:oMath>
            </m:oMathPara>
          </w:p>
        </w:tc>
        <w:tc>
          <w:p w14:paraId="7A3FD4AF">
            <w:pPr>
              <w:pStyle w:val="24"/>
              <w:jc w:val="left"/>
            </w:pPr>
            <w:r>
              <w:rPr>
                <w:rFonts w:hint="eastAsia"/>
              </w:rPr>
              <w:t>底层大语言模型集合，表示参与候选策略生成的模型类型。</w:t>
            </w:r>
          </w:p>
        </w:tc>
      </w:tr>
      <w:tr w14:paraId="39920584">
        <w:tblPrEx>
          <w:tblCellMar>
            <w:top w:w="0" w:type="dxa"/>
            <w:left w:w="108" w:type="dxa"/>
            <w:bottom w:w="0" w:type="dxa"/>
            <w:right w:w="108" w:type="dxa"/>
          </w:tblCellMar>
        </w:tblPrEx>
        <w:tc>
          <w:p w14:paraId="3C940927">
            <w:pPr>
              <w:pStyle w:val="24"/>
              <w:jc w:val="left"/>
            </w:pPr>
            <m:oMathPara>
              <m:oMath>
                <m:sSub>
                  <m:sSubPr/>
                  <m:e>
                    <m:r>
                      <m:rPr>
                        <m:sty m:val="p"/>
                        <m:scr m:val="script"/>
                      </m:rPr>
                      <m:t>G</m:t>
                    </m:r>
                  </m:e>
                  <m:sub>
                    <m:r>
                      <m:rPr/>
                      <m:t>v</m:t>
                    </m:r>
                  </m:sub>
                </m:sSub>
              </m:oMath>
            </m:oMathPara>
          </w:p>
        </w:tc>
        <w:tc>
          <w:p w14:paraId="482A9D6E">
            <w:pPr>
              <w:pStyle w:val="24"/>
              <w:jc w:val="left"/>
            </w:pPr>
            <w:r>
              <w:rPr>
                <w:rFonts w:hint="eastAsia"/>
              </w:rPr>
              <w:t>漏洞</w:t>
            </w:r>
            <w:r>
              <w:t xml:space="preserve"> </w:t>
            </w:r>
            <m:oMath>
              <m:r>
                <m:rPr/>
                <m:t>v</m:t>
              </m:r>
            </m:oMath>
            <w:r>
              <w:t xml:space="preserve"> </w:t>
            </w:r>
            <w:r>
              <w:rPr>
                <w:rFonts w:hint="eastAsia"/>
              </w:rPr>
              <w:t>的生成配置集合，满足</w:t>
            </w:r>
            <w:r>
              <w:t xml:space="preserve"> </w:t>
            </w:r>
            <m:oMath>
              <m:sSub>
                <m:sSubPr/>
                <m:e>
                  <m:r>
                    <m:rPr>
                      <m:sty m:val="p"/>
                      <m:scr m:val="script"/>
                    </m:rPr>
                    <m:t>G</m:t>
                  </m:r>
                </m:e>
                <m:sub>
                  <m:r>
                    <m:rPr/>
                    <m:t>v</m:t>
                  </m:r>
                </m:sub>
              </m:sSub>
              <m:r>
                <m:rPr>
                  <m:sty m:val="p"/>
                </m:rPr>
                <m:t>⊆</m:t>
              </m:r>
              <m:r>
                <m:rPr>
                  <m:sty m:val="p"/>
                  <m:scr m:val="script"/>
                </m:rPr>
                <m:t>A</m:t>
              </m:r>
              <m:r>
                <m:rPr>
                  <m:sty m:val="p"/>
                </m:rPr>
                <m:t>×</m:t>
              </m:r>
              <m:r>
                <m:rPr>
                  <m:sty m:val="p"/>
                  <m:scr m:val="script"/>
                </m:rPr>
                <m:t>ℳ</m:t>
              </m:r>
            </m:oMath>
            <w:r>
              <w:t>。</w:t>
            </w:r>
          </w:p>
        </w:tc>
      </w:tr>
      <w:tr w14:paraId="6D921077">
        <w:tblPrEx>
          <w:tblCellMar>
            <w:top w:w="0" w:type="dxa"/>
            <w:left w:w="108" w:type="dxa"/>
            <w:bottom w:w="0" w:type="dxa"/>
            <w:right w:w="108" w:type="dxa"/>
          </w:tblCellMar>
        </w:tblPrEx>
        <w:tc>
          <w:p w14:paraId="469F36D5">
            <w:pPr>
              <w:pStyle w:val="24"/>
              <w:jc w:val="left"/>
            </w:pPr>
            <m:oMathPara>
              <m:oMath>
                <m:r>
                  <m:rPr/>
                  <m:t>g</m:t>
                </m:r>
                <m:r>
                  <m:rPr>
                    <m:sty m:val="p"/>
                  </m:rPr>
                  <m:t>=(</m:t>
                </m:r>
                <m:r>
                  <m:rPr/>
                  <m:t>a</m:t>
                </m:r>
                <m:r>
                  <m:rPr>
                    <m:sty m:val="p"/>
                  </m:rPr>
                  <m:t>,</m:t>
                </m:r>
                <m:r>
                  <m:rPr/>
                  <m:t>h</m:t>
                </m:r>
                <m:r>
                  <m:rPr>
                    <m:sty m:val="p"/>
                  </m:rPr>
                  <m:t>)</m:t>
                </m:r>
              </m:oMath>
            </m:oMathPara>
          </w:p>
        </w:tc>
        <w:tc>
          <w:p w14:paraId="7B675F9F">
            <w:pPr>
              <w:pStyle w:val="24"/>
              <w:jc w:val="left"/>
            </w:pPr>
            <w:r>
              <w:rPr>
                <w:rFonts w:hint="eastAsia"/>
              </w:rPr>
              <w:t>生成配置，表示方法配置</w:t>
            </w:r>
            <w:r>
              <w:t xml:space="preserve"> </w:t>
            </w:r>
            <m:oMath>
              <m:r>
                <m:rPr/>
                <m:t>a</m:t>
              </m:r>
            </m:oMath>
            <w:r>
              <w:t xml:space="preserve"> </w:t>
            </w:r>
            <w:r>
              <w:rPr>
                <w:rFonts w:hint="eastAsia"/>
              </w:rPr>
              <w:t>与底层大语言模型</w:t>
            </w:r>
            <w:r>
              <w:t xml:space="preserve"> </w:t>
            </w:r>
            <m:oMath>
              <m:r>
                <m:rPr/>
                <m:t>h</m:t>
              </m:r>
            </m:oMath>
            <w:r>
              <w:t xml:space="preserve"> </w:t>
            </w:r>
            <w:r>
              <w:rPr>
                <w:rFonts w:hint="eastAsia"/>
              </w:rPr>
              <w:t>的组合(定义</w:t>
            </w:r>
            <w:r>
              <w:t> </w:t>
            </w:r>
            <w:r>
              <w:fldChar w:fldCharType="begin"/>
            </w:r>
            <w:r>
              <w:instrText xml:space="preserve"> HYPERLINK \l "def:gen-config" \h </w:instrText>
            </w:r>
            <w:r>
              <w:fldChar w:fldCharType="separate"/>
            </w:r>
            <w:r>
              <w:rPr>
                <w:rStyle w:val="20"/>
              </w:rPr>
              <w:t>[def:gen-config]</w:t>
            </w:r>
            <w:r>
              <w:rPr>
                <w:rStyle w:val="20"/>
              </w:rPr>
              <w:fldChar w:fldCharType="end"/>
            </w:r>
            <w:r>
              <w:t>)。</w:t>
            </w:r>
          </w:p>
        </w:tc>
      </w:tr>
      <w:tr w14:paraId="0224C0D2">
        <w:tblPrEx>
          <w:tblCellMar>
            <w:top w:w="0" w:type="dxa"/>
            <w:left w:w="108" w:type="dxa"/>
            <w:bottom w:w="0" w:type="dxa"/>
            <w:right w:w="108" w:type="dxa"/>
          </w:tblCellMar>
        </w:tblPrEx>
        <w:tc>
          <w:p w14:paraId="42C02500">
            <w:pPr>
              <w:pStyle w:val="24"/>
              <w:jc w:val="left"/>
            </w:pPr>
            <m:oMathPara>
              <m:oMath>
                <m:sSubSup>
                  <m:sSubSupPr/>
                  <m:e>
                    <m:r>
                      <m:rPr>
                        <m:sty m:val="p"/>
                      </m:rPr>
                      <m:t>Π</m:t>
                    </m:r>
                  </m:e>
                  <m:sub>
                    <m:r>
                      <m:rPr/>
                      <m:t>v</m:t>
                    </m:r>
                  </m:sub>
                  <m:sup>
                    <m:r>
                      <m:rPr>
                        <m:sty m:val="p"/>
                      </m:rPr>
                      <m:t>(</m:t>
                    </m:r>
                    <m:r>
                      <m:rPr/>
                      <m:t>g</m:t>
                    </m:r>
                    <m:r>
                      <m:rPr>
                        <m:sty m:val="p"/>
                      </m:rPr>
                      <m:t>)</m:t>
                    </m:r>
                  </m:sup>
                </m:sSubSup>
              </m:oMath>
            </m:oMathPara>
          </w:p>
        </w:tc>
        <w:tc>
          <w:p w14:paraId="65AFE54C">
            <w:pPr>
              <w:pStyle w:val="24"/>
              <w:jc w:val="left"/>
            </w:pPr>
            <w:r>
              <w:rPr>
                <w:rFonts w:hint="eastAsia"/>
              </w:rPr>
              <w:t>漏洞</w:t>
            </w:r>
            <w:r>
              <w:t xml:space="preserve"> </w:t>
            </w:r>
            <m:oMath>
              <m:r>
                <m:rPr/>
                <m:t>v</m:t>
              </m:r>
            </m:oMath>
            <w:r>
              <w:t xml:space="preserve"> </w:t>
            </w:r>
            <w:r>
              <w:rPr>
                <w:rFonts w:hint="eastAsia"/>
              </w:rPr>
              <w:t>在生成配置</w:t>
            </w:r>
            <w:r>
              <w:t xml:space="preserve"> </w:t>
            </w:r>
            <m:oMath>
              <m:r>
                <m:rPr/>
                <m:t>g</m:t>
              </m:r>
            </m:oMath>
            <w:r>
              <w:t xml:space="preserve"> </w:t>
            </w:r>
            <w:r>
              <w:rPr>
                <w:rFonts w:hint="eastAsia"/>
              </w:rPr>
              <w:t>下输出的候选安全策略子集。</w:t>
            </w:r>
          </w:p>
        </w:tc>
      </w:tr>
      <w:tr w14:paraId="5450051D">
        <w:tblPrEx>
          <w:tblCellMar>
            <w:top w:w="0" w:type="dxa"/>
            <w:left w:w="108" w:type="dxa"/>
            <w:bottom w:w="0" w:type="dxa"/>
            <w:right w:w="108" w:type="dxa"/>
          </w:tblCellMar>
        </w:tblPrEx>
        <w:tc>
          <w:p w14:paraId="52C30559">
            <w:pPr>
              <w:pStyle w:val="24"/>
              <w:jc w:val="left"/>
            </w:pPr>
            <m:oMathPara>
              <m:oMath>
                <m:sSub>
                  <m:sSubPr/>
                  <m:e>
                    <m:r>
                      <m:rPr>
                        <m:sty m:val="p"/>
                      </m:rPr>
                      <m:t>Π</m:t>
                    </m:r>
                  </m:e>
                  <m:sub>
                    <m:r>
                      <m:rPr/>
                      <m:t>v</m:t>
                    </m:r>
                  </m:sub>
                </m:sSub>
              </m:oMath>
            </m:oMathPara>
          </w:p>
        </w:tc>
        <w:tc>
          <w:p w14:paraId="348C5D52">
            <w:pPr>
              <w:pStyle w:val="24"/>
              <w:jc w:val="left"/>
            </w:pPr>
            <w:r>
              <w:rPr>
                <w:rFonts w:hint="eastAsia"/>
              </w:rPr>
              <w:t>漏洞</w:t>
            </w:r>
            <w:r>
              <w:t xml:space="preserve"> </w:t>
            </w:r>
            <m:oMath>
              <m:r>
                <m:rPr/>
                <m:t>v</m:t>
              </m:r>
            </m:oMath>
            <w:r>
              <w:t xml:space="preserve"> </w:t>
            </w:r>
            <w:r>
              <w:rPr>
                <w:rFonts w:hint="eastAsia"/>
              </w:rPr>
              <w:t>的候选策略集合，包括多个不同生成配置输出的候选安全策略。</w:t>
            </w:r>
          </w:p>
        </w:tc>
      </w:tr>
      <w:tr w14:paraId="6A99EC49">
        <w:tblPrEx>
          <w:tblCellMar>
            <w:top w:w="0" w:type="dxa"/>
            <w:left w:w="108" w:type="dxa"/>
            <w:bottom w:w="0" w:type="dxa"/>
            <w:right w:w="108" w:type="dxa"/>
          </w:tblCellMar>
        </w:tblPrEx>
        <w:tc>
          <w:p w14:paraId="3DFD52EF">
            <w:pPr>
              <w:pStyle w:val="24"/>
              <w:jc w:val="left"/>
            </w:pPr>
            <m:oMathPara>
              <m:oMath>
                <m:sSubSup>
                  <m:sSubSupPr/>
                  <m:e>
                    <m:r>
                      <m:rPr>
                        <m:sty m:val="p"/>
                      </m:rPr>
                      <m:t>Π</m:t>
                    </m:r>
                  </m:e>
                  <m:sub>
                    <m:r>
                      <m:rPr/>
                      <m:t>v</m:t>
                    </m:r>
                  </m:sub>
                  <m:sup>
                    <m:r>
                      <m:rPr/>
                      <m:t>τ</m:t>
                    </m:r>
                  </m:sup>
                </m:sSubSup>
              </m:oMath>
            </m:oMathPara>
          </w:p>
        </w:tc>
        <w:tc>
          <w:p w14:paraId="34DF7D1A">
            <w:pPr>
              <w:pStyle w:val="24"/>
              <w:jc w:val="left"/>
            </w:pPr>
            <w:r>
              <w:rPr>
                <w:rFonts w:hint="eastAsia"/>
              </w:rPr>
              <w:t>同类型候选子集，表示漏洞</w:t>
            </w:r>
            <w:r>
              <w:t xml:space="preserve"> </w:t>
            </w:r>
            <m:oMath>
              <m:r>
                <m:rPr/>
                <m:t>v</m:t>
              </m:r>
            </m:oMath>
            <w:r>
              <w:t xml:space="preserve"> </w:t>
            </w:r>
            <w:r>
              <w:rPr>
                <w:rFonts w:hint="eastAsia"/>
              </w:rPr>
              <w:t>在类型</w:t>
            </w:r>
            <w:r>
              <w:t xml:space="preserve"> </w:t>
            </w:r>
            <m:oMath>
              <m:r>
                <m:rPr/>
                <m:t>τ</m:t>
              </m:r>
            </m:oMath>
            <w:r>
              <w:t xml:space="preserve"> </w:t>
            </w:r>
            <w:r>
              <w:rPr>
                <w:rFonts w:hint="eastAsia"/>
              </w:rPr>
              <w:t>下的候选安全策略集合。</w:t>
            </w:r>
          </w:p>
        </w:tc>
      </w:tr>
      <w:tr w14:paraId="3F91F038">
        <w:tblPrEx>
          <w:tblCellMar>
            <w:top w:w="0" w:type="dxa"/>
            <w:left w:w="108" w:type="dxa"/>
            <w:bottom w:w="0" w:type="dxa"/>
            <w:right w:w="108" w:type="dxa"/>
          </w:tblCellMar>
        </w:tblPrEx>
        <w:tc>
          <w:p w14:paraId="68205C2B">
            <w:pPr>
              <w:pStyle w:val="24"/>
              <w:jc w:val="left"/>
            </w:pPr>
            <m:oMathPara>
              <m:oMath>
                <m:sSubSup>
                  <m:sSubSupPr/>
                  <m:e>
                    <m:r>
                      <m:rPr>
                        <m:sty m:val="p"/>
                      </m:rPr>
                      <m:t>Π</m:t>
                    </m:r>
                  </m:e>
                  <m:sub>
                    <m:r>
                      <m:rPr/>
                      <m:t>v</m:t>
                    </m:r>
                  </m:sub>
                  <m:sup>
                    <m:r>
                      <m:rPr>
                        <m:sty m:val="p"/>
                      </m:rPr>
                      <m:t>mon</m:t>
                    </m:r>
                  </m:sup>
                </m:sSubSup>
                <m:r>
                  <m:rPr>
                    <m:sty m:val="p"/>
                  </m:rPr>
                  <m:t>,</m:t>
                </m:r>
                <m:sSubSup>
                  <m:sSubSupPr/>
                  <m:e>
                    <m:r>
                      <m:rPr>
                        <m:sty m:val="p"/>
                      </m:rPr>
                      <m:t>Π</m:t>
                    </m:r>
                  </m:e>
                  <m:sub>
                    <m:r>
                      <m:rPr/>
                      <m:t>v</m:t>
                    </m:r>
                  </m:sub>
                  <m:sup>
                    <m:r>
                      <m:rPr>
                        <m:sty m:val="p"/>
                      </m:rPr>
                      <m:t>prot</m:t>
                    </m:r>
                  </m:sup>
                </m:sSubSup>
              </m:oMath>
            </m:oMathPara>
          </w:p>
        </w:tc>
        <w:tc>
          <w:p w14:paraId="441BD73B">
            <w:pPr>
              <w:pStyle w:val="24"/>
              <w:jc w:val="left"/>
            </w:pPr>
            <w:r>
              <w:rPr>
                <w:rFonts w:hint="eastAsia"/>
              </w:rPr>
              <w:t>漏洞</w:t>
            </w:r>
            <w:r>
              <w:t xml:space="preserve"> </w:t>
            </w:r>
            <m:oMath>
              <m:r>
                <m:rPr/>
                <m:t>v</m:t>
              </m:r>
            </m:oMath>
            <w:r>
              <w:t xml:space="preserve"> </w:t>
            </w:r>
            <w:r>
              <w:rPr>
                <w:rFonts w:hint="eastAsia"/>
              </w:rPr>
              <w:t>的监控型与防护型候选子集，是</w:t>
            </w:r>
            <w:r>
              <w:t xml:space="preserve"> </w:t>
            </w:r>
            <m:oMath>
              <m:sSubSup>
                <m:sSubSupPr/>
                <m:e>
                  <m:r>
                    <m:rPr>
                      <m:sty m:val="p"/>
                    </m:rPr>
                    <m:t>Π</m:t>
                  </m:r>
                </m:e>
                <m:sub>
                  <m:r>
                    <m:rPr/>
                    <m:t>v</m:t>
                  </m:r>
                </m:sub>
                <m:sup>
                  <m:r>
                    <m:rPr/>
                    <m:t>τ</m:t>
                  </m:r>
                </m:sup>
              </m:sSubSup>
            </m:oMath>
            <w:r>
              <w:t xml:space="preserve"> </w:t>
            </w:r>
            <w:r>
              <w:rPr>
                <w:rFonts w:hint="eastAsia"/>
              </w:rPr>
              <w:t>的两种具体情形。</w:t>
            </w:r>
          </w:p>
        </w:tc>
      </w:tr>
      <w:tr w14:paraId="0C002399">
        <w:tblPrEx>
          <w:tblCellMar>
            <w:top w:w="0" w:type="dxa"/>
            <w:left w:w="108" w:type="dxa"/>
            <w:bottom w:w="0" w:type="dxa"/>
            <w:right w:w="108" w:type="dxa"/>
          </w:tblCellMar>
        </w:tblPrEx>
        <w:tc>
          <w:p w14:paraId="58F62D73">
            <w:pPr>
              <w:pStyle w:val="24"/>
              <w:jc w:val="left"/>
            </w:pPr>
            <m:oMathPara>
              <m:oMath>
                <m:r>
                  <m:rPr>
                    <m:sty m:val="p"/>
                  </m:rPr>
                  <m:t>Δ</m:t>
                </m:r>
              </m:oMath>
            </m:oMathPara>
          </w:p>
        </w:tc>
        <w:tc>
          <w:p w14:paraId="00EAA0F8">
            <w:pPr>
              <w:pStyle w:val="24"/>
              <w:jc w:val="left"/>
            </w:pPr>
            <w:r>
              <w:rPr>
                <w:rFonts w:hint="eastAsia"/>
              </w:rPr>
              <w:t>评价维度集合，取值为</w:t>
            </w:r>
            <w:r>
              <w:t xml:space="preserve"> </w:t>
            </w:r>
            <m:oMath>
              <m:r>
                <m:rPr>
                  <m:sty m:val="p"/>
                </m:rPr>
                <m:t>{</m:t>
              </m:r>
              <m:r>
                <m:rPr/>
                <m:t>E</m:t>
              </m:r>
              <m:r>
                <m:rPr>
                  <m:sty m:val="p"/>
                </m:rPr>
                <m:t>,</m:t>
              </m:r>
              <m:r>
                <m:rPr/>
                <m:t>I</m:t>
              </m:r>
              <m:r>
                <m:rPr>
                  <m:sty m:val="p"/>
                </m:rPr>
                <m:t>,</m:t>
              </m:r>
              <m:r>
                <m:rPr/>
                <m:t>D</m:t>
              </m:r>
              <m:r>
                <m:rPr>
                  <m:sty m:val="p"/>
                </m:rPr>
                <m:t>}</m:t>
              </m:r>
            </m:oMath>
            <w:r>
              <w:rPr>
                <w:rFonts w:hint="eastAsia"/>
              </w:rPr>
              <w:t>，分别对应有效性、无干扰性与可部署性。</w:t>
            </w:r>
          </w:p>
        </w:tc>
      </w:tr>
      <w:tr w14:paraId="2787D7C4">
        <w:tblPrEx>
          <w:tblCellMar>
            <w:top w:w="0" w:type="dxa"/>
            <w:left w:w="108" w:type="dxa"/>
            <w:bottom w:w="0" w:type="dxa"/>
            <w:right w:w="108" w:type="dxa"/>
          </w:tblCellMar>
        </w:tblPrEx>
        <w:tc>
          <w:p w14:paraId="4D05C6E5">
            <w:pPr>
              <w:pStyle w:val="24"/>
              <w:jc w:val="left"/>
            </w:pPr>
            <m:oMathPara>
              <m:oMath>
                <m:r>
                  <m:rPr/>
                  <m:t>q</m:t>
                </m:r>
                <m:r>
                  <m:rPr>
                    <m:sty m:val="p"/>
                  </m:rPr>
                  <m:t>(</m:t>
                </m:r>
                <m:r>
                  <m:rPr/>
                  <m:t>π</m:t>
                </m:r>
                <m:r>
                  <m:rPr>
                    <m:sty m:val="p"/>
                  </m:rPr>
                  <m:t>)</m:t>
                </m:r>
              </m:oMath>
            </m:oMathPara>
          </w:p>
        </w:tc>
        <w:tc>
          <w:p w14:paraId="087266A8">
            <w:pPr>
              <w:pStyle w:val="24"/>
              <w:jc w:val="left"/>
            </w:pPr>
            <w:r>
              <w:rPr>
                <w:rFonts w:hint="eastAsia"/>
              </w:rPr>
              <w:t>三维质量向量，表示策略</w:t>
            </w:r>
            <w:r>
              <w:t xml:space="preserve"> </w:t>
            </w:r>
            <m:oMath>
              <m:r>
                <m:rPr/>
                <m:t>π</m:t>
              </m:r>
            </m:oMath>
            <w:r>
              <w:t xml:space="preserve"> </w:t>
            </w:r>
            <w:r>
              <w:rPr>
                <w:rFonts w:hint="eastAsia"/>
              </w:rPr>
              <w:t>在三个维度上的质量。</w:t>
            </w:r>
          </w:p>
        </w:tc>
      </w:tr>
      <w:tr w14:paraId="10CAFE03">
        <w:tblPrEx>
          <w:tblCellMar>
            <w:top w:w="0" w:type="dxa"/>
            <w:left w:w="108" w:type="dxa"/>
            <w:bottom w:w="0" w:type="dxa"/>
            <w:right w:w="108" w:type="dxa"/>
          </w:tblCellMar>
        </w:tblPrEx>
        <w:tc>
          <w:p w14:paraId="289995D2">
            <w:pPr>
              <w:pStyle w:val="24"/>
              <w:jc w:val="left"/>
            </w:pPr>
            <m:oMathPara>
              <m:oMath>
                <m:r>
                  <m:rPr/>
                  <m:t>E</m:t>
                </m:r>
                <m:r>
                  <m:rPr>
                    <m:sty m:val="p"/>
                  </m:rPr>
                  <m:t>(</m:t>
                </m:r>
                <m:r>
                  <m:rPr/>
                  <m:t>π</m:t>
                </m:r>
                <m:r>
                  <m:rPr>
                    <m:sty m:val="p"/>
                  </m:rPr>
                  <m:t>)</m:t>
                </m:r>
              </m:oMath>
            </m:oMathPara>
          </w:p>
        </w:tc>
        <w:tc>
          <w:p w14:paraId="38B4B1F0">
            <w:pPr>
              <w:pStyle w:val="24"/>
              <w:jc w:val="left"/>
            </w:pPr>
            <w:r>
              <w:rPr>
                <w:rFonts w:hint="eastAsia"/>
              </w:rPr>
              <w:t>有效性，用于衡量对主要攻击路径与关键风险面的覆盖程度。</w:t>
            </w:r>
          </w:p>
        </w:tc>
      </w:tr>
      <w:tr w14:paraId="229266C2">
        <w:tblPrEx>
          <w:tblCellMar>
            <w:top w:w="0" w:type="dxa"/>
            <w:left w:w="108" w:type="dxa"/>
            <w:bottom w:w="0" w:type="dxa"/>
            <w:right w:w="108" w:type="dxa"/>
          </w:tblCellMar>
        </w:tblPrEx>
        <w:tc>
          <w:p w14:paraId="0541B32A">
            <w:pPr>
              <w:pStyle w:val="24"/>
              <w:jc w:val="left"/>
            </w:pPr>
            <m:oMathPara>
              <m:oMath>
                <m:r>
                  <m:rPr/>
                  <m:t>I</m:t>
                </m:r>
                <m:r>
                  <m:rPr>
                    <m:sty m:val="p"/>
                  </m:rPr>
                  <m:t>(</m:t>
                </m:r>
                <m:r>
                  <m:rPr/>
                  <m:t>π</m:t>
                </m:r>
                <m:r>
                  <m:rPr>
                    <m:sty m:val="p"/>
                  </m:rPr>
                  <m:t>)</m:t>
                </m:r>
              </m:oMath>
            </m:oMathPara>
          </w:p>
        </w:tc>
        <w:tc>
          <w:p w14:paraId="142CF587">
            <w:pPr>
              <w:pStyle w:val="24"/>
              <w:jc w:val="left"/>
            </w:pPr>
            <w:r>
              <w:rPr>
                <w:rFonts w:hint="eastAsia"/>
              </w:rPr>
              <w:t>无干扰性，衡量对正常业务的扰动程度及误报风险。</w:t>
            </w:r>
          </w:p>
        </w:tc>
      </w:tr>
      <w:tr w14:paraId="501F6F31">
        <w:tblPrEx>
          <w:tblCellMar>
            <w:top w:w="0" w:type="dxa"/>
            <w:left w:w="108" w:type="dxa"/>
            <w:bottom w:w="0" w:type="dxa"/>
            <w:right w:w="108" w:type="dxa"/>
          </w:tblCellMar>
        </w:tblPrEx>
        <w:tc>
          <w:p w14:paraId="26797F97">
            <w:pPr>
              <w:pStyle w:val="24"/>
              <w:jc w:val="left"/>
            </w:pPr>
            <m:oMathPara>
              <m:oMath>
                <m:r>
                  <m:rPr/>
                  <m:t>D</m:t>
                </m:r>
                <m:r>
                  <m:rPr>
                    <m:sty m:val="p"/>
                  </m:rPr>
                  <m:t>(</m:t>
                </m:r>
                <m:r>
                  <m:rPr/>
                  <m:t>π</m:t>
                </m:r>
                <m:r>
                  <m:rPr>
                    <m:sty m:val="p"/>
                  </m:rPr>
                  <m:t>)</m:t>
                </m:r>
              </m:oMath>
            </m:oMathPara>
          </w:p>
        </w:tc>
        <w:tc>
          <w:p w14:paraId="5E08DCCD">
            <w:pPr>
              <w:pStyle w:val="24"/>
              <w:jc w:val="left"/>
            </w:pPr>
            <w:r>
              <w:rPr>
                <w:rFonts w:hint="eastAsia"/>
              </w:rPr>
              <w:t>可部署性，衡量策略在现有环境中的落地难度。</w:t>
            </w:r>
          </w:p>
        </w:tc>
      </w:tr>
      <w:tr w14:paraId="608B589C">
        <w:tblPrEx>
          <w:tblCellMar>
            <w:top w:w="0" w:type="dxa"/>
            <w:left w:w="108" w:type="dxa"/>
            <w:bottom w:w="0" w:type="dxa"/>
            <w:right w:w="108" w:type="dxa"/>
          </w:tblCellMar>
        </w:tblPrEx>
        <w:tc>
          <w:p w14:paraId="4CD34FE7">
            <w:pPr>
              <w:pStyle w:val="24"/>
              <w:jc w:val="left"/>
            </w:pPr>
            <m:oMathPara>
              <m:oMath>
                <m:r>
                  <m:rPr>
                    <m:sty m:val="p"/>
                    <m:scr m:val="script"/>
                  </m:rPr>
                  <m:t>ℋ</m:t>
                </m:r>
              </m:oMath>
            </m:oMathPara>
          </w:p>
        </w:tc>
        <w:tc>
          <w:p w14:paraId="128C6AFC">
            <w:pPr>
              <w:pStyle w:val="24"/>
              <w:jc w:val="left"/>
            </w:pPr>
            <w:r>
              <w:rPr>
                <w:rFonts w:hint="eastAsia"/>
              </w:rPr>
              <w:t>评价主体集合，表示多个评审主体构成的集合。</w:t>
            </w:r>
          </w:p>
        </w:tc>
      </w:tr>
      <w:tr w14:paraId="17BB1D6C">
        <w:tblPrEx>
          <w:tblCellMar>
            <w:top w:w="0" w:type="dxa"/>
            <w:left w:w="108" w:type="dxa"/>
            <w:bottom w:w="0" w:type="dxa"/>
            <w:right w:w="108" w:type="dxa"/>
          </w:tblCellMar>
        </w:tblPrEx>
        <w:tc>
          <w:p w14:paraId="22035735">
            <w:pPr>
              <w:pStyle w:val="24"/>
              <w:jc w:val="left"/>
            </w:pPr>
            <m:oMathPara>
              <m:oMath>
                <m:sSub>
                  <m:sSubPr/>
                  <m:e>
                    <m:r>
                      <m:rPr/>
                      <m:t>n</m:t>
                    </m:r>
                  </m:e>
                  <m:sub>
                    <m:r>
                      <m:rPr/>
                      <m:t>v</m:t>
                    </m:r>
                  </m:sub>
                </m:sSub>
              </m:oMath>
            </m:oMathPara>
          </w:p>
        </w:tc>
        <w:tc>
          <w:p w14:paraId="783BC346">
            <w:pPr>
              <w:pStyle w:val="24"/>
              <w:jc w:val="left"/>
            </w:pPr>
            <w:r>
              <w:rPr>
                <w:rFonts w:hint="eastAsia"/>
              </w:rPr>
              <w:t>候选集合</w:t>
            </w:r>
            <w:r>
              <w:t xml:space="preserve"> </w:t>
            </w:r>
            <m:oMath>
              <m:sSub>
                <m:sSubPr/>
                <m:e>
                  <m:r>
                    <m:rPr>
                      <m:sty m:val="p"/>
                    </m:rPr>
                    <m:t>Π</m:t>
                  </m:r>
                </m:e>
                <m:sub>
                  <m:r>
                    <m:rPr/>
                    <m:t>v</m:t>
                  </m:r>
                </m:sub>
              </m:sSub>
            </m:oMath>
            <w:r>
              <w:t xml:space="preserve"> </w:t>
            </w:r>
            <w:r>
              <w:rPr>
                <w:rFonts w:hint="eastAsia"/>
              </w:rPr>
              <w:t>的规模，即</w:t>
            </w:r>
            <w:r>
              <w:t xml:space="preserve"> </w:t>
            </w:r>
            <m:oMath>
              <m:r>
                <m:rPr>
                  <m:sty m:val="p"/>
                </m:rPr>
                <m:t>|</m:t>
              </m:r>
              <m:sSub>
                <m:sSubPr/>
                <m:e>
                  <m:r>
                    <m:rPr>
                      <m:sty m:val="p"/>
                    </m:rPr>
                    <m:t>Π</m:t>
                  </m:r>
                </m:e>
                <m:sub>
                  <m:r>
                    <m:rPr/>
                    <m:t>v</m:t>
                  </m:r>
                </m:sub>
              </m:sSub>
              <m:r>
                <m:rPr>
                  <m:sty m:val="p"/>
                </m:rPr>
                <m:t>|</m:t>
              </m:r>
            </m:oMath>
            <w:r>
              <w:t>。</w:t>
            </w:r>
          </w:p>
        </w:tc>
      </w:tr>
      <w:tr w14:paraId="51CC79AA">
        <w:tblPrEx>
          <w:tblCellMar>
            <w:top w:w="0" w:type="dxa"/>
            <w:left w:w="108" w:type="dxa"/>
            <w:bottom w:w="0" w:type="dxa"/>
            <w:right w:w="108" w:type="dxa"/>
          </w:tblCellMar>
        </w:tblPrEx>
        <w:tc>
          <w:p w14:paraId="3334DC55">
            <w:pPr>
              <w:pStyle w:val="24"/>
              <w:jc w:val="left"/>
            </w:pPr>
            <m:oMathPara>
              <m:oMath>
                <m:sSubSup>
                  <m:sSubSupPr/>
                  <m:e>
                    <m:r>
                      <m:rPr/>
                      <m:t>r</m:t>
                    </m:r>
                  </m:e>
                  <m:sub>
                    <m:r>
                      <m:rPr/>
                      <m:t>δ</m:t>
                    </m:r>
                  </m:sub>
                  <m:sup>
                    <m:r>
                      <m:rPr>
                        <m:sty m:val="p"/>
                      </m:rPr>
                      <m:t>(</m:t>
                    </m:r>
                    <m:r>
                      <m:rPr/>
                      <m:t>h</m:t>
                    </m:r>
                    <m:r>
                      <m:rPr>
                        <m:sty m:val="p"/>
                      </m:rPr>
                      <m:t>)</m:t>
                    </m:r>
                  </m:sup>
                </m:sSubSup>
              </m:oMath>
            </m:oMathPara>
          </w:p>
        </w:tc>
        <w:tc>
          <w:p w14:paraId="70E037F5">
            <w:pPr>
              <w:pStyle w:val="24"/>
              <w:jc w:val="left"/>
            </w:pPr>
            <w:r>
              <w:rPr>
                <w:rFonts w:hint="eastAsia"/>
              </w:rPr>
              <w:t>秩函数，表示评价主体</w:t>
            </w:r>
            <w:r>
              <w:t xml:space="preserve"> </w:t>
            </w:r>
            <m:oMath>
              <m:r>
                <m:rPr/>
                <m:t>h</m:t>
              </m:r>
            </m:oMath>
            <w:r>
              <w:t xml:space="preserve"> </w:t>
            </w:r>
            <w:r>
              <w:rPr>
                <w:rFonts w:hint="eastAsia"/>
              </w:rPr>
              <w:t>在维度</w:t>
            </w:r>
            <w:r>
              <w:t xml:space="preserve"> </w:t>
            </w:r>
            <m:oMath>
              <m:r>
                <m:rPr/>
                <m:t>δ</m:t>
              </m:r>
            </m:oMath>
            <w:r>
              <w:t xml:space="preserve"> </w:t>
            </w:r>
            <w:r>
              <w:rPr>
                <w:rFonts w:hint="eastAsia"/>
              </w:rPr>
              <w:t>上给出的排序位置。</w:t>
            </w:r>
          </w:p>
        </w:tc>
      </w:tr>
      <w:tr w14:paraId="117B431D">
        <w:tblPrEx>
          <w:tblCellMar>
            <w:top w:w="0" w:type="dxa"/>
            <w:left w:w="108" w:type="dxa"/>
            <w:bottom w:w="0" w:type="dxa"/>
            <w:right w:w="108" w:type="dxa"/>
          </w:tblCellMar>
        </w:tblPrEx>
        <w:tc>
          <w:p w14:paraId="6FEC5C32">
            <w:pPr>
              <w:pStyle w:val="24"/>
              <w:jc w:val="left"/>
            </w:pPr>
            <m:oMathPara>
              <m:oMath>
                <m:sSub>
                  <m:sSubPr/>
                  <m:e>
                    <m:acc>
                      <m:accPr/>
                      <m:e>
                        <m:r>
                          <m:rPr/>
                          <m:t>S</m:t>
                        </m:r>
                      </m:e>
                    </m:acc>
                  </m:e>
                  <m:sub>
                    <m:r>
                      <m:rPr/>
                      <m:t>δ</m:t>
                    </m:r>
                  </m:sub>
                </m:sSub>
                <m:r>
                  <m:rPr>
                    <m:sty m:val="p"/>
                  </m:rPr>
                  <m:t>(</m:t>
                </m:r>
                <m:r>
                  <m:rPr/>
                  <m:t>π</m:t>
                </m:r>
                <m:r>
                  <m:rPr>
                    <m:sty m:val="p"/>
                  </m:rPr>
                  <m:t>)</m:t>
                </m:r>
              </m:oMath>
            </m:oMathPara>
          </w:p>
        </w:tc>
        <w:tc>
          <w:p w14:paraId="6ECDE60F">
            <w:pPr>
              <w:pStyle w:val="24"/>
              <w:jc w:val="left"/>
            </w:pPr>
            <w:r>
              <w:rPr>
                <w:rFonts w:hint="eastAsia"/>
              </w:rPr>
              <w:t>共识得分，表示多个评价主体在维度</w:t>
            </w:r>
            <w:r>
              <w:t xml:space="preserve"> </w:t>
            </w:r>
            <m:oMath>
              <m:r>
                <m:rPr/>
                <m:t>δ</m:t>
              </m:r>
            </m:oMath>
            <w:r>
              <w:t xml:space="preserve"> </w:t>
            </w:r>
            <w:r>
              <w:rPr>
                <w:rFonts w:hint="eastAsia"/>
              </w:rPr>
              <w:t>上对策略</w:t>
            </w:r>
            <w:r>
              <w:t xml:space="preserve"> </w:t>
            </w:r>
            <m:oMath>
              <m:r>
                <m:rPr/>
                <m:t>π</m:t>
              </m:r>
            </m:oMath>
            <w:r>
              <w:t xml:space="preserve"> </w:t>
            </w:r>
            <w:r>
              <w:rPr>
                <w:rFonts w:hint="eastAsia"/>
              </w:rPr>
              <w:t>的聚合质量分。</w:t>
            </w:r>
          </w:p>
        </w:tc>
      </w:tr>
      <w:tr w14:paraId="684A5165">
        <w:tblPrEx>
          <w:tblCellMar>
            <w:top w:w="0" w:type="dxa"/>
            <w:left w:w="108" w:type="dxa"/>
            <w:bottom w:w="0" w:type="dxa"/>
            <w:right w:w="108" w:type="dxa"/>
          </w:tblCellMar>
        </w:tblPrEx>
        <w:tc>
          <w:p w14:paraId="4207B635">
            <w:pPr>
              <w:pStyle w:val="24"/>
              <w:jc w:val="left"/>
            </w:pPr>
            <m:oMathPara>
              <m:oMath>
                <m:sSub>
                  <m:sSubPr/>
                  <m:e>
                    <m:acc>
                      <m:accPr>
                        <m:chr m:val="‾"/>
                      </m:accPr>
                      <m:e>
                        <m:r>
                          <m:rPr/>
                          <m:t>R</m:t>
                        </m:r>
                      </m:e>
                    </m:acc>
                  </m:e>
                  <m:sub>
                    <m:r>
                      <m:rPr/>
                      <m:t>δ</m:t>
                    </m:r>
                  </m:sub>
                </m:sSub>
              </m:oMath>
            </m:oMathPara>
          </w:p>
        </w:tc>
        <w:tc>
          <w:p w14:paraId="1B83554E">
            <w:pPr>
              <w:pStyle w:val="24"/>
              <w:jc w:val="left"/>
            </w:pPr>
            <w:r>
              <w:rPr>
                <w:rFonts w:hint="eastAsia"/>
              </w:rPr>
              <w:t>维度</w:t>
            </w:r>
            <w:r>
              <w:t xml:space="preserve"> </w:t>
            </w:r>
            <m:oMath>
              <m:r>
                <m:rPr/>
                <m:t>δ</m:t>
              </m:r>
            </m:oMath>
            <w:r>
              <w:t xml:space="preserve"> </w:t>
            </w:r>
            <w:r>
              <w:rPr>
                <w:rFonts w:hint="eastAsia"/>
              </w:rPr>
              <w:t>上的共识排序，按</w:t>
            </w:r>
            <w:r>
              <w:t xml:space="preserve"> </w:t>
            </w:r>
            <m:oMath>
              <m:sSub>
                <m:sSubPr/>
                <m:e>
                  <m:acc>
                    <m:accPr/>
                    <m:e>
                      <m:r>
                        <m:rPr/>
                        <m:t>S</m:t>
                      </m:r>
                    </m:e>
                  </m:acc>
                </m:e>
                <m:sub>
                  <m:r>
                    <m:rPr/>
                    <m:t>δ</m:t>
                  </m:r>
                </m:sub>
              </m:sSub>
            </m:oMath>
            <w:r>
              <w:t xml:space="preserve"> </w:t>
            </w:r>
            <w:r>
              <w:rPr>
                <w:rFonts w:hint="eastAsia"/>
              </w:rPr>
              <w:t>由高到低排列。</w:t>
            </w:r>
          </w:p>
        </w:tc>
      </w:tr>
      <w:tr w14:paraId="0AF49B75">
        <w:tblPrEx>
          <w:tblCellMar>
            <w:top w:w="0" w:type="dxa"/>
            <w:left w:w="108" w:type="dxa"/>
            <w:bottom w:w="0" w:type="dxa"/>
            <w:right w:w="108" w:type="dxa"/>
          </w:tblCellMar>
        </w:tblPrEx>
        <w:tc>
          <w:p w14:paraId="43E609F4">
            <w:pPr>
              <w:pStyle w:val="24"/>
              <w:jc w:val="left"/>
            </w:pPr>
            <m:oMathPara>
              <m:oMath>
                <m:r>
                  <m:rPr/>
                  <m:t>Q</m:t>
                </m:r>
                <m:r>
                  <m:rPr>
                    <m:sty m:val="p"/>
                  </m:rPr>
                  <m:t>(</m:t>
                </m:r>
                <m:r>
                  <m:rPr/>
                  <m:t>π</m:t>
                </m:r>
                <m:r>
                  <m:rPr>
                    <m:sty m:val="p"/>
                  </m:rPr>
                  <m:t>)</m:t>
                </m:r>
              </m:oMath>
            </m:oMathPara>
          </w:p>
        </w:tc>
        <w:tc>
          <w:p w14:paraId="3057D475">
            <w:pPr>
              <w:pStyle w:val="24"/>
              <w:jc w:val="left"/>
            </w:pPr>
            <w:r>
              <w:rPr>
                <w:rFonts w:hint="eastAsia"/>
              </w:rPr>
              <w:t>总体质量函数，表示综合三维共识得分后的最终质量。</w:t>
            </w:r>
          </w:p>
        </w:tc>
      </w:tr>
      <w:tr w14:paraId="22E17375">
        <w:tblPrEx>
          <w:tblCellMar>
            <w:top w:w="0" w:type="dxa"/>
            <w:left w:w="108" w:type="dxa"/>
            <w:bottom w:w="0" w:type="dxa"/>
            <w:right w:w="108" w:type="dxa"/>
          </w:tblCellMar>
        </w:tblPrEx>
        <w:tc>
          <w:p w14:paraId="402B775C">
            <w:pPr>
              <w:pStyle w:val="24"/>
              <w:jc w:val="left"/>
            </w:pPr>
            <m:oMathPara>
              <m:oMath>
                <m:sSub>
                  <m:sSubPr/>
                  <m:e>
                    <m:r>
                      <m:rPr/>
                      <m:t>α</m:t>
                    </m:r>
                  </m:e>
                  <m:sub>
                    <m:r>
                      <m:rPr/>
                      <m:t>E</m:t>
                    </m:r>
                  </m:sub>
                </m:sSub>
                <m:r>
                  <m:rPr>
                    <m:sty m:val="p"/>
                  </m:rPr>
                  <m:t>,</m:t>
                </m:r>
                <m:sSub>
                  <m:sSubPr/>
                  <m:e>
                    <m:r>
                      <m:rPr/>
                      <m:t>α</m:t>
                    </m:r>
                  </m:e>
                  <m:sub>
                    <m:r>
                      <m:rPr/>
                      <m:t>I</m:t>
                    </m:r>
                  </m:sub>
                </m:sSub>
                <m:r>
                  <m:rPr>
                    <m:sty m:val="p"/>
                  </m:rPr>
                  <m:t>,</m:t>
                </m:r>
                <m:sSub>
                  <m:sSubPr/>
                  <m:e>
                    <m:r>
                      <m:rPr/>
                      <m:t>α</m:t>
                    </m:r>
                  </m:e>
                  <m:sub>
                    <m:r>
                      <m:rPr/>
                      <m:t>D</m:t>
                    </m:r>
                  </m:sub>
                </m:sSub>
              </m:oMath>
            </m:oMathPara>
          </w:p>
        </w:tc>
        <w:tc>
          <w:p w14:paraId="3729F51E">
            <w:pPr>
              <w:pStyle w:val="24"/>
              <w:jc w:val="left"/>
            </w:pPr>
            <w:r>
              <w:rPr>
                <w:rFonts w:hint="eastAsia"/>
              </w:rPr>
              <w:t>维度权重，满足</w:t>
            </w:r>
            <w:r>
              <w:t xml:space="preserve"> </w:t>
            </w:r>
            <m:oMath>
              <m:sSub>
                <m:sSubPr/>
                <m:e>
                  <m:r>
                    <m:rPr/>
                    <m:t>α</m:t>
                  </m:r>
                </m:e>
                <m:sub>
                  <m:r>
                    <m:rPr/>
                    <m:t>E</m:t>
                  </m:r>
                </m:sub>
              </m:sSub>
              <m:r>
                <m:rPr>
                  <m:sty m:val="p"/>
                </m:rPr>
                <m:t>+</m:t>
              </m:r>
              <m:sSub>
                <m:sSubPr/>
                <m:e>
                  <m:r>
                    <m:rPr/>
                    <m:t>α</m:t>
                  </m:r>
                </m:e>
                <m:sub>
                  <m:r>
                    <m:rPr/>
                    <m:t>I</m:t>
                  </m:r>
                </m:sub>
              </m:sSub>
              <m:r>
                <m:rPr>
                  <m:sty m:val="p"/>
                </m:rPr>
                <m:t>+</m:t>
              </m:r>
              <m:sSub>
                <m:sSubPr/>
                <m:e>
                  <m:r>
                    <m:rPr/>
                    <m:t>α</m:t>
                  </m:r>
                </m:e>
                <m:sub>
                  <m:r>
                    <m:rPr/>
                    <m:t>D</m:t>
                  </m:r>
                </m:sub>
              </m:sSub>
              <m:r>
                <m:rPr>
                  <m:sty m:val="p"/>
                </m:rPr>
                <m:t>=</m:t>
              </m:r>
              <m:r>
                <m:rPr/>
                <m:t>1</m:t>
              </m:r>
            </m:oMath>
            <w:r>
              <w:rPr>
                <w:rFonts w:hint="eastAsia"/>
              </w:rPr>
              <w:t>，可按业务场景配置。</w:t>
            </w:r>
          </w:p>
        </w:tc>
      </w:tr>
      <w:tr w14:paraId="2B209FF9">
        <w:tblPrEx>
          <w:tblCellMar>
            <w:top w:w="0" w:type="dxa"/>
            <w:left w:w="108" w:type="dxa"/>
            <w:bottom w:w="0" w:type="dxa"/>
            <w:right w:w="108" w:type="dxa"/>
          </w:tblCellMar>
        </w:tblPrEx>
        <w:tc>
          <w:p w14:paraId="28A71031">
            <w:pPr>
              <w:pStyle w:val="24"/>
              <w:jc w:val="left"/>
            </w:pPr>
            <m:oMathPara>
              <m:oMath>
                <m:acc>
                  <m:accPr>
                    <m:chr m:val="‾"/>
                  </m:accPr>
                  <m:e>
                    <m:r>
                      <m:rPr/>
                      <m:t>R</m:t>
                    </m:r>
                  </m:e>
                </m:acc>
              </m:oMath>
            </m:oMathPara>
          </w:p>
        </w:tc>
        <w:tc>
          <w:p w14:paraId="51591C50">
            <w:pPr>
              <w:pStyle w:val="24"/>
              <w:jc w:val="left"/>
            </w:pPr>
            <w:r>
              <w:rPr>
                <w:rFonts w:hint="eastAsia"/>
              </w:rPr>
              <w:t>最终总排名，由</w:t>
            </w:r>
            <w:r>
              <w:t xml:space="preserve"> </w:t>
            </w:r>
            <m:oMath>
              <m:r>
                <m:rPr/>
                <m:t>Q</m:t>
              </m:r>
              <m:r>
                <m:rPr>
                  <m:sty m:val="p"/>
                </m:rPr>
                <m:t>(</m:t>
              </m:r>
              <m:r>
                <m:rPr/>
                <m:t>π</m:t>
              </m:r>
              <m:r>
                <m:rPr>
                  <m:sty m:val="p"/>
                </m:rPr>
                <m:t>)</m:t>
              </m:r>
            </m:oMath>
            <w:r>
              <w:t xml:space="preserve"> </w:t>
            </w:r>
            <w:r>
              <w:rPr>
                <w:rFonts w:hint="eastAsia"/>
              </w:rPr>
              <w:t>降序排列得到。</w:t>
            </w:r>
          </w:p>
        </w:tc>
      </w:tr>
    </w:tbl>
    <w:p w14:paraId="3C4DE335">
      <w:pPr>
        <w:pStyle w:val="3"/>
      </w:pPr>
      <w:r>
        <w:rPr>
          <w:rFonts w:hint="eastAsia"/>
          <w:b/>
          <w:bCs/>
        </w:rPr>
        <w:t>术语表</w:t>
      </w:r>
    </w:p>
    <w:p w14:paraId="32D16EEB">
      <w:pPr>
        <w:pStyle w:val="3"/>
      </w:pPr>
      <w:r>
        <w:rPr>
          <w:rFonts w:hint="eastAsia"/>
        </w:rPr>
        <w:t>全文使用频率较高的核心术语与常用缩写作简要说明如下。</w:t>
      </w:r>
    </w:p>
    <w:tbl>
      <w:tblPr>
        <w:tblStyle w:val="41"/>
        <w:tblW w:w="0" w:type="auto"/>
        <w:tblInd w:w="0" w:type="dxa"/>
        <w:tblLayout w:type="autofit"/>
        <w:tblCellMar>
          <w:top w:w="0" w:type="dxa"/>
          <w:left w:w="108" w:type="dxa"/>
          <w:bottom w:w="0" w:type="dxa"/>
          <w:right w:w="108" w:type="dxa"/>
        </w:tblCellMar>
      </w:tblPr>
      <w:tblGrid>
        <w:gridCol w:w="1581"/>
        <w:gridCol w:w="2521"/>
        <w:gridCol w:w="4754"/>
      </w:tblGrid>
      <w:tr w14:paraId="1E628E1D">
        <w:tblPrEx>
          <w:tblCellMar>
            <w:top w:w="0" w:type="dxa"/>
            <w:left w:w="108" w:type="dxa"/>
            <w:bottom w:w="0" w:type="dxa"/>
            <w:right w:w="108" w:type="dxa"/>
          </w:tblCellMar>
        </w:tblPrEx>
        <w:trPr>
          <w:tblHeader/>
        </w:trPr>
        <w:tc>
          <w:p w14:paraId="111EA866">
            <w:pPr>
              <w:pStyle w:val="24"/>
              <w:jc w:val="left"/>
            </w:pPr>
            <w:r>
              <w:rPr>
                <w:rFonts w:hint="eastAsia"/>
                <w:b/>
                <w:bCs/>
              </w:rPr>
              <w:t>术语</w:t>
            </w:r>
          </w:p>
        </w:tc>
        <w:tc>
          <w:p w14:paraId="6523CEDC">
            <w:pPr>
              <w:pStyle w:val="24"/>
              <w:jc w:val="left"/>
            </w:pPr>
            <w:r>
              <w:rPr>
                <w:rFonts w:hint="eastAsia"/>
                <w:b/>
                <w:bCs/>
              </w:rPr>
              <w:t>英文/缩写</w:t>
            </w:r>
          </w:p>
        </w:tc>
        <w:tc>
          <w:p w14:paraId="00A0EBA1">
            <w:pPr>
              <w:pStyle w:val="24"/>
              <w:jc w:val="left"/>
            </w:pPr>
            <w:r>
              <w:rPr>
                <w:rFonts w:hint="eastAsia"/>
                <w:b/>
                <w:bCs/>
              </w:rPr>
              <w:t>说明</w:t>
            </w:r>
          </w:p>
        </w:tc>
      </w:tr>
      <w:tr w14:paraId="5A425203">
        <w:tblPrEx>
          <w:tblCellMar>
            <w:top w:w="0" w:type="dxa"/>
            <w:left w:w="108" w:type="dxa"/>
            <w:bottom w:w="0" w:type="dxa"/>
            <w:right w:w="108" w:type="dxa"/>
          </w:tblCellMar>
        </w:tblPrEx>
        <w:tc>
          <w:p w14:paraId="11AC9845">
            <w:pPr>
              <w:pStyle w:val="24"/>
            </w:pPr>
          </w:p>
        </w:tc>
        <w:tc>
          <w:p w14:paraId="3B6A5E69">
            <w:pPr>
              <w:pStyle w:val="24"/>
            </w:pPr>
          </w:p>
        </w:tc>
        <w:tc>
          <w:p w14:paraId="2480FED5">
            <w:pPr>
              <w:pStyle w:val="24"/>
            </w:pPr>
          </w:p>
        </w:tc>
      </w:tr>
      <w:tr w14:paraId="7E51070B">
        <w:tc>
          <w:p w14:paraId="4A6DE010">
            <w:pPr>
              <w:pStyle w:val="24"/>
              <w:jc w:val="left"/>
            </w:pPr>
            <w:r>
              <w:rPr>
                <w:rFonts w:hint="eastAsia"/>
                <w:b/>
                <w:bCs/>
              </w:rPr>
              <w:t>术语</w:t>
            </w:r>
          </w:p>
        </w:tc>
        <w:tc>
          <w:p w14:paraId="42869733">
            <w:pPr>
              <w:pStyle w:val="24"/>
              <w:jc w:val="left"/>
            </w:pPr>
            <w:r>
              <w:rPr>
                <w:rFonts w:hint="eastAsia"/>
                <w:b/>
                <w:bCs/>
              </w:rPr>
              <w:t>英文/缩写</w:t>
            </w:r>
          </w:p>
        </w:tc>
        <w:tc>
          <w:p w14:paraId="1524753F">
            <w:pPr>
              <w:pStyle w:val="24"/>
              <w:jc w:val="left"/>
            </w:pPr>
            <w:r>
              <w:rPr>
                <w:rFonts w:hint="eastAsia"/>
                <w:b/>
                <w:bCs/>
              </w:rPr>
              <w:t>说明</w:t>
            </w:r>
          </w:p>
        </w:tc>
      </w:tr>
      <w:tr w14:paraId="74407138">
        <w:tblPrEx>
          <w:tblCellMar>
            <w:top w:w="0" w:type="dxa"/>
            <w:left w:w="108" w:type="dxa"/>
            <w:bottom w:w="0" w:type="dxa"/>
            <w:right w:w="108" w:type="dxa"/>
          </w:tblCellMar>
        </w:tblPrEx>
        <w:tc>
          <w:p w14:paraId="234261CD">
            <w:pPr>
              <w:pStyle w:val="24"/>
              <w:jc w:val="left"/>
            </w:pPr>
            <w:r>
              <w:rPr>
                <w:rFonts w:hint="eastAsia"/>
              </w:rPr>
              <w:t>云原生</w:t>
            </w:r>
          </w:p>
        </w:tc>
        <w:tc>
          <w:p w14:paraId="65AF87E4">
            <w:pPr>
              <w:pStyle w:val="24"/>
              <w:jc w:val="left"/>
            </w:pPr>
            <w:r>
              <w:t>Cloud-native</w:t>
            </w:r>
          </w:p>
        </w:tc>
        <w:tc>
          <w:p w14:paraId="0C7E76CA">
            <w:pPr>
              <w:pStyle w:val="24"/>
              <w:jc w:val="left"/>
            </w:pPr>
            <w:r>
              <w:rPr>
                <w:rFonts w:hint="eastAsia"/>
              </w:rPr>
              <w:t>论文所讨论的应用与基础设施环境。</w:t>
            </w:r>
          </w:p>
        </w:tc>
      </w:tr>
      <w:tr w14:paraId="3A489BBA">
        <w:tblPrEx>
          <w:tblCellMar>
            <w:top w:w="0" w:type="dxa"/>
            <w:left w:w="108" w:type="dxa"/>
            <w:bottom w:w="0" w:type="dxa"/>
            <w:right w:w="108" w:type="dxa"/>
          </w:tblCellMar>
        </w:tblPrEx>
        <w:tc>
          <w:p w14:paraId="4004A36E">
            <w:pPr>
              <w:pStyle w:val="24"/>
              <w:jc w:val="left"/>
            </w:pPr>
            <w:r>
              <w:t>Kubernetes</w:t>
            </w:r>
          </w:p>
        </w:tc>
        <w:tc>
          <w:p w14:paraId="235B2749">
            <w:pPr>
              <w:pStyle w:val="24"/>
              <w:jc w:val="left"/>
            </w:pPr>
            <w:r>
              <w:t>K8s</w:t>
            </w:r>
          </w:p>
        </w:tc>
        <w:tc>
          <w:p w14:paraId="79C0901F">
            <w:pPr>
              <w:pStyle w:val="24"/>
              <w:jc w:val="left"/>
            </w:pPr>
            <w:r>
              <w:t xml:space="preserve">Google </w:t>
            </w:r>
            <w:r>
              <w:rPr>
                <w:rFonts w:hint="eastAsia"/>
              </w:rPr>
              <w:t>开源的容器集群编排系统。</w:t>
            </w:r>
          </w:p>
        </w:tc>
      </w:tr>
      <w:tr w14:paraId="397A1529">
        <w:tblPrEx>
          <w:tblCellMar>
            <w:top w:w="0" w:type="dxa"/>
            <w:left w:w="108" w:type="dxa"/>
            <w:bottom w:w="0" w:type="dxa"/>
            <w:right w:w="108" w:type="dxa"/>
          </w:tblCellMar>
        </w:tblPrEx>
        <w:tc>
          <w:p w14:paraId="59B857DF">
            <w:pPr>
              <w:pStyle w:val="24"/>
              <w:jc w:val="left"/>
            </w:pPr>
            <w:r>
              <w:rPr>
                <w:rFonts w:hint="eastAsia"/>
              </w:rPr>
              <w:t>权限提升</w:t>
            </w:r>
          </w:p>
        </w:tc>
        <w:tc>
          <w:p w14:paraId="640B1B32">
            <w:pPr>
              <w:pStyle w:val="24"/>
              <w:jc w:val="left"/>
            </w:pPr>
            <w:r>
              <w:t>Privilege Escalation</w:t>
            </w:r>
          </w:p>
        </w:tc>
        <w:tc>
          <w:p w14:paraId="4EB9B37C">
            <w:pPr>
              <w:pStyle w:val="24"/>
              <w:jc w:val="left"/>
            </w:pPr>
            <w:r>
              <w:rPr>
                <w:rFonts w:hint="eastAsia"/>
              </w:rPr>
              <w:t>攻击者突破原有权限边界并获取更高权限。</w:t>
            </w:r>
          </w:p>
        </w:tc>
      </w:tr>
      <w:tr w14:paraId="416D24CE">
        <w:tc>
          <w:p w14:paraId="5D19D69C">
            <w:pPr>
              <w:pStyle w:val="24"/>
              <w:jc w:val="left"/>
            </w:pPr>
            <w:r>
              <w:rPr>
                <w:rFonts w:hint="eastAsia"/>
              </w:rPr>
              <w:t>补丁窗口期</w:t>
            </w:r>
          </w:p>
        </w:tc>
        <w:tc>
          <w:p w14:paraId="70AD0502">
            <w:pPr>
              <w:pStyle w:val="24"/>
              <w:jc w:val="left"/>
            </w:pPr>
            <w:r>
              <w:t>Patch-gap window</w:t>
            </w:r>
          </w:p>
        </w:tc>
        <w:tc>
          <w:p w14:paraId="036F3C55">
            <w:pPr>
              <w:pStyle w:val="24"/>
              <w:jc w:val="left"/>
            </w:pPr>
            <w:r>
              <w:rPr>
                <w:rFonts w:hint="eastAsia"/>
              </w:rPr>
              <w:t>漏洞披露至补丁可用或补丁完成部署的时间段。</w:t>
            </w:r>
          </w:p>
        </w:tc>
      </w:tr>
      <w:tr w14:paraId="52B6EF6F">
        <w:tblPrEx>
          <w:tblCellMar>
            <w:top w:w="0" w:type="dxa"/>
            <w:left w:w="108" w:type="dxa"/>
            <w:bottom w:w="0" w:type="dxa"/>
            <w:right w:w="108" w:type="dxa"/>
          </w:tblCellMar>
        </w:tblPrEx>
        <w:tc>
          <w:p w14:paraId="734E5B79">
            <w:pPr>
              <w:pStyle w:val="24"/>
              <w:jc w:val="left"/>
            </w:pPr>
            <w:r>
              <w:rPr>
                <w:rFonts w:hint="eastAsia"/>
              </w:rPr>
              <w:t>临时防控</w:t>
            </w:r>
          </w:p>
        </w:tc>
        <w:tc>
          <w:p w14:paraId="5F53D2AB">
            <w:pPr>
              <w:pStyle w:val="24"/>
              <w:jc w:val="left"/>
            </w:pPr>
            <w:r>
              <w:t>Interim mitigation</w:t>
            </w:r>
          </w:p>
        </w:tc>
        <w:tc>
          <w:p w14:paraId="6ED42769">
            <w:pPr>
              <w:pStyle w:val="24"/>
              <w:jc w:val="left"/>
            </w:pPr>
            <w:r>
              <w:rPr>
                <w:rFonts w:hint="eastAsia"/>
              </w:rPr>
              <w:t>在补丁窗口期内用于降低风险的临时控制措施。</w:t>
            </w:r>
          </w:p>
        </w:tc>
      </w:tr>
      <w:tr w14:paraId="33BA867B">
        <w:tblPrEx>
          <w:tblCellMar>
            <w:top w:w="0" w:type="dxa"/>
            <w:left w:w="108" w:type="dxa"/>
            <w:bottom w:w="0" w:type="dxa"/>
            <w:right w:w="108" w:type="dxa"/>
          </w:tblCellMar>
        </w:tblPrEx>
        <w:tc>
          <w:p w14:paraId="78DE23AC">
            <w:pPr>
              <w:pStyle w:val="24"/>
              <w:jc w:val="left"/>
            </w:pPr>
            <w:r>
              <w:rPr>
                <w:rFonts w:hint="eastAsia"/>
              </w:rPr>
              <w:t>安全策略</w:t>
            </w:r>
          </w:p>
        </w:tc>
        <w:tc>
          <w:p w14:paraId="2A75102C">
            <w:pPr>
              <w:pStyle w:val="24"/>
              <w:jc w:val="left"/>
            </w:pPr>
            <w:r>
              <w:t>Security strategy</w:t>
            </w:r>
          </w:p>
        </w:tc>
        <w:tc>
          <w:p w14:paraId="24539EF9">
            <w:pPr>
              <w:pStyle w:val="24"/>
              <w:jc w:val="left"/>
            </w:pPr>
            <w:r>
              <w:rPr>
                <w:rFonts w:hint="eastAsia"/>
              </w:rPr>
              <w:t>监控策略与防护策略的上位概念。</w:t>
            </w:r>
          </w:p>
        </w:tc>
      </w:tr>
      <w:tr w14:paraId="69B7B804">
        <w:tblPrEx>
          <w:tblCellMar>
            <w:top w:w="0" w:type="dxa"/>
            <w:left w:w="108" w:type="dxa"/>
            <w:bottom w:w="0" w:type="dxa"/>
            <w:right w:w="108" w:type="dxa"/>
          </w:tblCellMar>
        </w:tblPrEx>
        <w:tc>
          <w:p w14:paraId="0FD0168C">
            <w:pPr>
              <w:pStyle w:val="24"/>
              <w:jc w:val="left"/>
            </w:pPr>
            <w:r>
              <w:rPr>
                <w:rFonts w:hint="eastAsia"/>
              </w:rPr>
              <w:t>监控策略</w:t>
            </w:r>
          </w:p>
        </w:tc>
        <w:tc>
          <w:p w14:paraId="6C9242F7">
            <w:pPr>
              <w:pStyle w:val="24"/>
              <w:jc w:val="left"/>
            </w:pPr>
            <w:r>
              <w:t>Monitoring strategy</w:t>
            </w:r>
          </w:p>
        </w:tc>
        <w:tc>
          <w:p w14:paraId="60BDEE1A">
            <w:pPr>
              <w:pStyle w:val="24"/>
              <w:jc w:val="left"/>
            </w:pPr>
            <w:r>
              <w:rPr>
                <w:rFonts w:hint="eastAsia"/>
              </w:rPr>
              <w:t>面向异常行为感知、告警与取证的策略。</w:t>
            </w:r>
          </w:p>
        </w:tc>
      </w:tr>
      <w:tr w14:paraId="3B3EB728">
        <w:tc>
          <w:p w14:paraId="7A0D32FB">
            <w:pPr>
              <w:pStyle w:val="24"/>
              <w:jc w:val="left"/>
            </w:pPr>
            <w:r>
              <w:rPr>
                <w:rFonts w:hint="eastAsia"/>
              </w:rPr>
              <w:t>防护策略</w:t>
            </w:r>
          </w:p>
        </w:tc>
        <w:tc>
          <w:p w14:paraId="259FED9F">
            <w:pPr>
              <w:pStyle w:val="24"/>
              <w:jc w:val="left"/>
            </w:pPr>
            <w:r>
              <w:t>Protection strategy</w:t>
            </w:r>
          </w:p>
        </w:tc>
        <w:tc>
          <w:p w14:paraId="14817A71">
            <w:pPr>
              <w:pStyle w:val="24"/>
              <w:jc w:val="left"/>
            </w:pPr>
            <w:r>
              <w:rPr>
                <w:rFonts w:hint="eastAsia"/>
              </w:rPr>
              <w:t>面向攻击阻断、权限收敛与攻击面控制的策略。</w:t>
            </w:r>
          </w:p>
        </w:tc>
      </w:tr>
      <w:tr w14:paraId="36CFBF11">
        <w:tblPrEx>
          <w:tblCellMar>
            <w:top w:w="0" w:type="dxa"/>
            <w:left w:w="108" w:type="dxa"/>
            <w:bottom w:w="0" w:type="dxa"/>
            <w:right w:w="108" w:type="dxa"/>
          </w:tblCellMar>
        </w:tblPrEx>
        <w:tc>
          <w:p w14:paraId="78BFA7C7">
            <w:pPr>
              <w:pStyle w:val="24"/>
              <w:jc w:val="left"/>
            </w:pPr>
            <w:r>
              <w:rPr>
                <w:rFonts w:hint="eastAsia"/>
              </w:rPr>
              <w:t>安全上下文</w:t>
            </w:r>
          </w:p>
        </w:tc>
        <w:tc>
          <w:p w14:paraId="34AA1024">
            <w:pPr>
              <w:pStyle w:val="24"/>
              <w:jc w:val="left"/>
            </w:pPr>
            <w:r>
              <w:t>Security context</w:t>
            </w:r>
          </w:p>
        </w:tc>
        <w:tc>
          <w:p w14:paraId="6B1CAA6B">
            <w:pPr>
              <w:pStyle w:val="24"/>
              <w:jc w:val="left"/>
            </w:pPr>
            <w:r>
              <w:rPr>
                <w:rFonts w:hint="eastAsia"/>
              </w:rPr>
              <w:t>与具体漏洞相关的证据集合及其来源标识。</w:t>
            </w:r>
          </w:p>
        </w:tc>
      </w:tr>
      <w:tr w14:paraId="54638943">
        <w:tblPrEx>
          <w:tblCellMar>
            <w:top w:w="0" w:type="dxa"/>
            <w:left w:w="108" w:type="dxa"/>
            <w:bottom w:w="0" w:type="dxa"/>
            <w:right w:w="108" w:type="dxa"/>
          </w:tblCellMar>
        </w:tblPrEx>
        <w:tc>
          <w:p w14:paraId="2547DCF4">
            <w:pPr>
              <w:pStyle w:val="24"/>
              <w:jc w:val="left"/>
            </w:pPr>
            <w:r>
              <w:rPr>
                <w:rFonts w:hint="eastAsia"/>
              </w:rPr>
              <w:t>安全知识库</w:t>
            </w:r>
          </w:p>
        </w:tc>
        <w:tc>
          <w:p w14:paraId="6858A90D">
            <w:pPr>
              <w:pStyle w:val="24"/>
              <w:jc w:val="left"/>
            </w:pPr>
            <w:r>
              <w:t>Security knowledge base</w:t>
            </w:r>
          </w:p>
        </w:tc>
        <w:tc>
          <w:p w14:paraId="5689F1C5">
            <w:pPr>
              <w:pStyle w:val="24"/>
              <w:jc w:val="left"/>
            </w:pPr>
            <w:r>
              <w:rPr>
                <w:rFonts w:hint="eastAsia"/>
              </w:rPr>
              <w:t>存放多源证据、向量索引及元数据的知识支撑体系。</w:t>
            </w:r>
          </w:p>
        </w:tc>
      </w:tr>
      <w:tr w14:paraId="127321D8">
        <w:tblPrEx>
          <w:tblCellMar>
            <w:top w:w="0" w:type="dxa"/>
            <w:left w:w="108" w:type="dxa"/>
            <w:bottom w:w="0" w:type="dxa"/>
            <w:right w:w="108" w:type="dxa"/>
          </w:tblCellMar>
        </w:tblPrEx>
        <w:tc>
          <w:p w14:paraId="6C5867B5">
            <w:pPr>
              <w:pStyle w:val="24"/>
              <w:jc w:val="left"/>
            </w:pPr>
            <w:r>
              <w:rPr>
                <w:rFonts w:hint="eastAsia"/>
              </w:rPr>
              <w:t>多智能体协同</w:t>
            </w:r>
          </w:p>
        </w:tc>
        <w:tc>
          <w:p w14:paraId="7437E6BE">
            <w:pPr>
              <w:pStyle w:val="24"/>
              <w:jc w:val="left"/>
            </w:pPr>
            <w:r>
              <w:t>Multi-agent collaboration</w:t>
            </w:r>
          </w:p>
        </w:tc>
        <w:tc>
          <w:p w14:paraId="74A9D22A">
            <w:pPr>
              <w:pStyle w:val="24"/>
              <w:jc w:val="left"/>
            </w:pPr>
            <w:r>
              <w:rPr>
                <w:rFonts w:hint="eastAsia"/>
              </w:rPr>
              <w:t>由多个功能角色协同完成分析、生成与评审的工作方式。</w:t>
            </w:r>
          </w:p>
        </w:tc>
      </w:tr>
      <w:tr w14:paraId="2BE28CF3">
        <w:tblPrEx>
          <w:tblCellMar>
            <w:top w:w="0" w:type="dxa"/>
            <w:left w:w="108" w:type="dxa"/>
            <w:bottom w:w="0" w:type="dxa"/>
            <w:right w:w="108" w:type="dxa"/>
          </w:tblCellMar>
        </w:tblPrEx>
        <w:tc>
          <w:p w14:paraId="3A7F2C62">
            <w:pPr>
              <w:pStyle w:val="24"/>
              <w:jc w:val="left"/>
            </w:pPr>
            <w:r>
              <w:rPr>
                <w:rFonts w:hint="eastAsia"/>
              </w:rPr>
              <w:t>检索增强</w:t>
            </w:r>
          </w:p>
        </w:tc>
        <w:tc>
          <w:p w14:paraId="265DC6A1">
            <w:pPr>
              <w:pStyle w:val="24"/>
              <w:jc w:val="left"/>
            </w:pPr>
            <w:r>
              <w:t>RAG</w:t>
            </w:r>
          </w:p>
        </w:tc>
        <w:tc>
          <w:p w14:paraId="3FA7242A">
            <w:pPr>
              <w:pStyle w:val="24"/>
              <w:jc w:val="left"/>
            </w:pPr>
            <w:r>
              <w:t>Retrieval-Augmented Generation</w:t>
            </w:r>
          </w:p>
        </w:tc>
      </w:tr>
      <w:tr w14:paraId="5B2716BF">
        <w:tblPrEx>
          <w:tblCellMar>
            <w:top w:w="0" w:type="dxa"/>
            <w:left w:w="108" w:type="dxa"/>
            <w:bottom w:w="0" w:type="dxa"/>
            <w:right w:w="108" w:type="dxa"/>
          </w:tblCellMar>
        </w:tblPrEx>
        <w:tc>
          <w:p w14:paraId="2B2F5225">
            <w:pPr>
              <w:pStyle w:val="24"/>
              <w:jc w:val="left"/>
            </w:pPr>
            <w:r>
              <w:rPr>
                <w:rFonts w:hint="eastAsia"/>
              </w:rPr>
              <w:t>思维链推理</w:t>
            </w:r>
          </w:p>
        </w:tc>
        <w:tc>
          <w:p w14:paraId="407B5B23">
            <w:pPr>
              <w:pStyle w:val="24"/>
              <w:jc w:val="left"/>
            </w:pPr>
            <w:r>
              <w:t>CoT</w:t>
            </w:r>
          </w:p>
        </w:tc>
        <w:tc>
          <w:p w14:paraId="1F5F3F07">
            <w:pPr>
              <w:pStyle w:val="24"/>
              <w:jc w:val="left"/>
            </w:pPr>
            <w:r>
              <w:rPr>
                <w:rFonts w:hint="eastAsia"/>
              </w:rPr>
              <w:t>Chain-of-Thought，思维链。</w:t>
            </w:r>
          </w:p>
        </w:tc>
      </w:tr>
      <w:tr w14:paraId="0DB99A73">
        <w:tblPrEx>
          <w:tblCellMar>
            <w:top w:w="0" w:type="dxa"/>
            <w:left w:w="108" w:type="dxa"/>
            <w:bottom w:w="0" w:type="dxa"/>
            <w:right w:w="108" w:type="dxa"/>
          </w:tblCellMar>
        </w:tblPrEx>
        <w:tc>
          <w:p w14:paraId="4160E76D">
            <w:pPr>
              <w:pStyle w:val="24"/>
              <w:jc w:val="left"/>
            </w:pPr>
            <w:r>
              <w:rPr>
                <w:rFonts w:hint="eastAsia"/>
              </w:rPr>
              <w:t>反馈优化</w:t>
            </w:r>
          </w:p>
        </w:tc>
        <w:tc>
          <w:p w14:paraId="25C2B9D1">
            <w:pPr>
              <w:pStyle w:val="24"/>
              <w:jc w:val="left"/>
            </w:pPr>
            <w:r>
              <w:t>Feedback</w:t>
            </w:r>
          </w:p>
        </w:tc>
        <w:tc>
          <w:p w14:paraId="342C634F">
            <w:pPr>
              <w:pStyle w:val="24"/>
              <w:jc w:val="left"/>
            </w:pPr>
            <w:r>
              <w:rPr>
                <w:rFonts w:hint="eastAsia"/>
              </w:rPr>
              <w:t>基于评审结果对候选策略进行优化。</w:t>
            </w:r>
          </w:p>
        </w:tc>
      </w:tr>
    </w:tbl>
    <w:p w14:paraId="1920D81A">
      <w:pPr>
        <w:pStyle w:val="3"/>
      </w:pPr>
      <w:r>
        <w:rPr>
          <w:rFonts w:hint="eastAsia"/>
          <w:b/>
          <w:bCs/>
        </w:rPr>
        <w:t>常用缩写</w:t>
      </w:r>
    </w:p>
    <w:tbl>
      <w:tblPr>
        <w:tblStyle w:val="41"/>
        <w:tblW w:w="0" w:type="auto"/>
        <w:tblInd w:w="0" w:type="dxa"/>
        <w:tblLayout w:type="autofit"/>
        <w:tblCellMar>
          <w:top w:w="0" w:type="dxa"/>
          <w:left w:w="108" w:type="dxa"/>
          <w:bottom w:w="0" w:type="dxa"/>
          <w:right w:w="108" w:type="dxa"/>
        </w:tblCellMar>
      </w:tblPr>
      <w:tblGrid>
        <w:gridCol w:w="810"/>
        <w:gridCol w:w="4346"/>
        <w:gridCol w:w="2917"/>
      </w:tblGrid>
      <w:tr w14:paraId="36DE4CC9">
        <w:tblPrEx>
          <w:tblCellMar>
            <w:top w:w="0" w:type="dxa"/>
            <w:left w:w="108" w:type="dxa"/>
            <w:bottom w:w="0" w:type="dxa"/>
            <w:right w:w="108" w:type="dxa"/>
          </w:tblCellMar>
        </w:tblPrEx>
        <w:trPr>
          <w:tblHeader/>
        </w:trPr>
        <w:tc>
          <w:p w14:paraId="157DD47A">
            <w:pPr>
              <w:pStyle w:val="24"/>
              <w:jc w:val="left"/>
            </w:pPr>
            <w:r>
              <w:rPr>
                <w:rFonts w:hint="eastAsia"/>
                <w:b/>
                <w:bCs/>
              </w:rPr>
              <w:t>缩写</w:t>
            </w:r>
          </w:p>
        </w:tc>
        <w:tc>
          <w:p w14:paraId="7902AA72">
            <w:pPr>
              <w:pStyle w:val="24"/>
              <w:jc w:val="left"/>
            </w:pPr>
            <w:r>
              <w:rPr>
                <w:rFonts w:hint="eastAsia"/>
                <w:b/>
                <w:bCs/>
              </w:rPr>
              <w:t>英文全称</w:t>
            </w:r>
          </w:p>
        </w:tc>
        <w:tc>
          <w:p w14:paraId="21BAEE48">
            <w:pPr>
              <w:pStyle w:val="24"/>
              <w:jc w:val="left"/>
            </w:pPr>
            <w:r>
              <w:rPr>
                <w:rFonts w:hint="eastAsia"/>
                <w:b/>
                <w:bCs/>
              </w:rPr>
              <w:t>中文说明</w:t>
            </w:r>
          </w:p>
        </w:tc>
      </w:tr>
      <w:tr w14:paraId="00B4B6D4">
        <w:tblPrEx>
          <w:tblCellMar>
            <w:top w:w="0" w:type="dxa"/>
            <w:left w:w="108" w:type="dxa"/>
            <w:bottom w:w="0" w:type="dxa"/>
            <w:right w:w="108" w:type="dxa"/>
          </w:tblCellMar>
        </w:tblPrEx>
        <w:tc>
          <w:p w14:paraId="02AD80FA">
            <w:pPr>
              <w:pStyle w:val="24"/>
            </w:pPr>
          </w:p>
        </w:tc>
        <w:tc>
          <w:p w14:paraId="4695BD5D">
            <w:pPr>
              <w:pStyle w:val="24"/>
            </w:pPr>
          </w:p>
        </w:tc>
        <w:tc>
          <w:p w14:paraId="3386E9B1">
            <w:pPr>
              <w:pStyle w:val="24"/>
            </w:pPr>
          </w:p>
        </w:tc>
      </w:tr>
      <w:tr w14:paraId="2E7B5ADD">
        <w:tblPrEx>
          <w:tblCellMar>
            <w:top w:w="0" w:type="dxa"/>
            <w:left w:w="108" w:type="dxa"/>
            <w:bottom w:w="0" w:type="dxa"/>
            <w:right w:w="108" w:type="dxa"/>
          </w:tblCellMar>
        </w:tblPrEx>
        <w:tc>
          <w:p w14:paraId="70163CB2">
            <w:pPr>
              <w:pStyle w:val="24"/>
              <w:jc w:val="left"/>
            </w:pPr>
            <w:r>
              <w:rPr>
                <w:rFonts w:hint="eastAsia"/>
                <w:b/>
                <w:bCs/>
              </w:rPr>
              <w:t>缩写</w:t>
            </w:r>
          </w:p>
        </w:tc>
        <w:tc>
          <w:p w14:paraId="249A01CA">
            <w:pPr>
              <w:pStyle w:val="24"/>
              <w:jc w:val="left"/>
            </w:pPr>
            <w:r>
              <w:rPr>
                <w:rFonts w:hint="eastAsia"/>
                <w:b/>
                <w:bCs/>
              </w:rPr>
              <w:t>英文全称</w:t>
            </w:r>
          </w:p>
        </w:tc>
        <w:tc>
          <w:p w14:paraId="2F89DB9E">
            <w:pPr>
              <w:pStyle w:val="24"/>
              <w:jc w:val="left"/>
            </w:pPr>
            <w:r>
              <w:rPr>
                <w:rFonts w:hint="eastAsia"/>
                <w:b/>
                <w:bCs/>
              </w:rPr>
              <w:t>中文说明</w:t>
            </w:r>
          </w:p>
        </w:tc>
      </w:tr>
      <w:tr w14:paraId="3120A059">
        <w:tblPrEx>
          <w:tblCellMar>
            <w:top w:w="0" w:type="dxa"/>
            <w:left w:w="108" w:type="dxa"/>
            <w:bottom w:w="0" w:type="dxa"/>
            <w:right w:w="108" w:type="dxa"/>
          </w:tblCellMar>
        </w:tblPrEx>
        <w:tc>
          <w:p w14:paraId="57FE333D">
            <w:pPr>
              <w:pStyle w:val="24"/>
              <w:jc w:val="left"/>
            </w:pPr>
            <w:r>
              <w:t>CVE</w:t>
            </w:r>
          </w:p>
        </w:tc>
        <w:tc>
          <w:p w14:paraId="57D5BC2A">
            <w:pPr>
              <w:pStyle w:val="24"/>
              <w:jc w:val="left"/>
            </w:pPr>
            <w:r>
              <w:t>Common Vulnerabilities and Exposures</w:t>
            </w:r>
          </w:p>
        </w:tc>
        <w:tc>
          <w:p w14:paraId="6C2DAA45">
            <w:pPr>
              <w:pStyle w:val="24"/>
              <w:jc w:val="left"/>
            </w:pPr>
            <w:r>
              <w:rPr>
                <w:rFonts w:hint="eastAsia"/>
              </w:rPr>
              <w:t>通用漏洞与暴露。</w:t>
            </w:r>
          </w:p>
        </w:tc>
      </w:tr>
      <w:tr w14:paraId="0AB45042">
        <w:tblPrEx>
          <w:tblCellMar>
            <w:top w:w="0" w:type="dxa"/>
            <w:left w:w="108" w:type="dxa"/>
            <w:bottom w:w="0" w:type="dxa"/>
            <w:right w:w="108" w:type="dxa"/>
          </w:tblCellMar>
        </w:tblPrEx>
        <w:tc>
          <w:p w14:paraId="2A59AD75">
            <w:pPr>
              <w:pStyle w:val="24"/>
              <w:jc w:val="left"/>
            </w:pPr>
            <w:r>
              <w:t>CWE</w:t>
            </w:r>
          </w:p>
        </w:tc>
        <w:tc>
          <w:p w14:paraId="41CB11CD">
            <w:pPr>
              <w:pStyle w:val="24"/>
              <w:jc w:val="left"/>
            </w:pPr>
            <w:r>
              <w:t>Common Weakness Enumeration</w:t>
            </w:r>
          </w:p>
        </w:tc>
        <w:tc>
          <w:p w14:paraId="0F802D65">
            <w:pPr>
              <w:pStyle w:val="24"/>
              <w:jc w:val="left"/>
            </w:pPr>
            <w:r>
              <w:rPr>
                <w:rFonts w:hint="eastAsia"/>
              </w:rPr>
              <w:t>通用弱点枚举。</w:t>
            </w:r>
          </w:p>
        </w:tc>
      </w:tr>
      <w:tr w14:paraId="3AA15A28">
        <w:tblPrEx>
          <w:tblCellMar>
            <w:top w:w="0" w:type="dxa"/>
            <w:left w:w="108" w:type="dxa"/>
            <w:bottom w:w="0" w:type="dxa"/>
            <w:right w:w="108" w:type="dxa"/>
          </w:tblCellMar>
        </w:tblPrEx>
        <w:tc>
          <w:p w14:paraId="1A8F2F4B">
            <w:pPr>
              <w:pStyle w:val="24"/>
              <w:jc w:val="left"/>
            </w:pPr>
            <w:r>
              <w:t>CVSS</w:t>
            </w:r>
          </w:p>
        </w:tc>
        <w:tc>
          <w:p w14:paraId="26C9FD7B">
            <w:pPr>
              <w:pStyle w:val="24"/>
              <w:jc w:val="left"/>
            </w:pPr>
            <w:r>
              <w:t>Common Vulnerability Scoring System</w:t>
            </w:r>
          </w:p>
        </w:tc>
        <w:tc>
          <w:p w14:paraId="097C465E">
            <w:pPr>
              <w:pStyle w:val="24"/>
              <w:jc w:val="left"/>
            </w:pPr>
            <w:r>
              <w:rPr>
                <w:rFonts w:hint="eastAsia"/>
              </w:rPr>
              <w:t>通用漏洞评分系统。</w:t>
            </w:r>
          </w:p>
        </w:tc>
      </w:tr>
      <w:tr w14:paraId="55B2ADFE">
        <w:tblPrEx>
          <w:tblCellMar>
            <w:top w:w="0" w:type="dxa"/>
            <w:left w:w="108" w:type="dxa"/>
            <w:bottom w:w="0" w:type="dxa"/>
            <w:right w:w="108" w:type="dxa"/>
          </w:tblCellMar>
        </w:tblPrEx>
        <w:tc>
          <w:p w14:paraId="5BDF0A0C">
            <w:pPr>
              <w:pStyle w:val="24"/>
              <w:jc w:val="left"/>
            </w:pPr>
            <w:r>
              <w:t>NVD</w:t>
            </w:r>
          </w:p>
        </w:tc>
        <w:tc>
          <w:p w14:paraId="47608707">
            <w:pPr>
              <w:pStyle w:val="24"/>
              <w:jc w:val="left"/>
            </w:pPr>
            <w:r>
              <w:t>National Vulnerability Database</w:t>
            </w:r>
          </w:p>
        </w:tc>
        <w:tc>
          <w:p w14:paraId="2214E862">
            <w:pPr>
              <w:pStyle w:val="24"/>
              <w:jc w:val="left"/>
            </w:pPr>
            <w:r>
              <w:rPr>
                <w:rFonts w:hint="eastAsia"/>
              </w:rPr>
              <w:t>美国国家漏洞数据库。</w:t>
            </w:r>
          </w:p>
        </w:tc>
      </w:tr>
      <w:tr w14:paraId="0B5C69D0">
        <w:tblPrEx>
          <w:tblCellMar>
            <w:top w:w="0" w:type="dxa"/>
            <w:left w:w="108" w:type="dxa"/>
            <w:bottom w:w="0" w:type="dxa"/>
            <w:right w:w="108" w:type="dxa"/>
          </w:tblCellMar>
        </w:tblPrEx>
        <w:tc>
          <w:p w14:paraId="5AE8CC02">
            <w:pPr>
              <w:pStyle w:val="24"/>
              <w:jc w:val="left"/>
            </w:pPr>
            <w:r>
              <w:t>CNCF</w:t>
            </w:r>
          </w:p>
        </w:tc>
        <w:tc>
          <w:p w14:paraId="7145B5A4">
            <w:pPr>
              <w:pStyle w:val="24"/>
              <w:jc w:val="left"/>
            </w:pPr>
            <w:r>
              <w:t>Cloud Native Computing Foundation</w:t>
            </w:r>
          </w:p>
        </w:tc>
        <w:tc>
          <w:p w14:paraId="424F624A">
            <w:pPr>
              <w:pStyle w:val="24"/>
              <w:jc w:val="left"/>
            </w:pPr>
            <w:r>
              <w:rPr>
                <w:rFonts w:hint="eastAsia"/>
              </w:rPr>
              <w:t>云原生计算基金会。</w:t>
            </w:r>
          </w:p>
        </w:tc>
      </w:tr>
      <w:tr w14:paraId="73F006C5">
        <w:tblPrEx>
          <w:tblCellMar>
            <w:top w:w="0" w:type="dxa"/>
            <w:left w:w="108" w:type="dxa"/>
            <w:bottom w:w="0" w:type="dxa"/>
            <w:right w:w="108" w:type="dxa"/>
          </w:tblCellMar>
        </w:tblPrEx>
        <w:tc>
          <w:p w14:paraId="505A7892">
            <w:pPr>
              <w:pStyle w:val="24"/>
              <w:jc w:val="left"/>
            </w:pPr>
            <w:r>
              <w:t>K8s</w:t>
            </w:r>
          </w:p>
        </w:tc>
        <w:tc>
          <w:p w14:paraId="54DCAF6E">
            <w:pPr>
              <w:pStyle w:val="24"/>
              <w:jc w:val="left"/>
            </w:pPr>
            <w:r>
              <w:t>Kubernetes</w:t>
            </w:r>
          </w:p>
        </w:tc>
        <w:tc>
          <w:p w14:paraId="5D9D3BAF">
            <w:pPr>
              <w:pStyle w:val="24"/>
              <w:jc w:val="left"/>
            </w:pPr>
            <w:r>
              <w:t xml:space="preserve">Kubernetes </w:t>
            </w:r>
            <w:r>
              <w:rPr>
                <w:rFonts w:hint="eastAsia"/>
              </w:rPr>
              <w:t>的常用缩写。</w:t>
            </w:r>
          </w:p>
        </w:tc>
      </w:tr>
      <w:tr w14:paraId="0D548262">
        <w:tblPrEx>
          <w:tblCellMar>
            <w:top w:w="0" w:type="dxa"/>
            <w:left w:w="108" w:type="dxa"/>
            <w:bottom w:w="0" w:type="dxa"/>
            <w:right w:w="108" w:type="dxa"/>
          </w:tblCellMar>
        </w:tblPrEx>
        <w:tc>
          <w:p w14:paraId="2C6A461A">
            <w:pPr>
              <w:pStyle w:val="24"/>
              <w:jc w:val="left"/>
            </w:pPr>
            <w:r>
              <w:t>RBAC</w:t>
            </w:r>
          </w:p>
        </w:tc>
        <w:tc>
          <w:p w14:paraId="5B0402AA">
            <w:pPr>
              <w:pStyle w:val="24"/>
              <w:jc w:val="left"/>
            </w:pPr>
            <w:r>
              <w:t>Role-Based Access Control</w:t>
            </w:r>
          </w:p>
        </w:tc>
        <w:tc>
          <w:p w14:paraId="1D81EFCC">
            <w:pPr>
              <w:pStyle w:val="24"/>
              <w:jc w:val="left"/>
            </w:pPr>
            <w:r>
              <w:rPr>
                <w:rFonts w:hint="eastAsia"/>
              </w:rPr>
              <w:t>基于角色的访问控制。</w:t>
            </w:r>
          </w:p>
        </w:tc>
      </w:tr>
      <w:tr w14:paraId="2D8FD88D">
        <w:tblPrEx>
          <w:tblCellMar>
            <w:top w:w="0" w:type="dxa"/>
            <w:left w:w="108" w:type="dxa"/>
            <w:bottom w:w="0" w:type="dxa"/>
            <w:right w:w="108" w:type="dxa"/>
          </w:tblCellMar>
        </w:tblPrEx>
        <w:tc>
          <w:p w14:paraId="74E9D11D">
            <w:pPr>
              <w:pStyle w:val="24"/>
              <w:jc w:val="left"/>
            </w:pPr>
            <w:r>
              <w:t>LLM</w:t>
            </w:r>
          </w:p>
        </w:tc>
        <w:tc>
          <w:p w14:paraId="34B13C5B">
            <w:pPr>
              <w:pStyle w:val="24"/>
              <w:jc w:val="left"/>
            </w:pPr>
            <w:r>
              <w:t>Large Language Model</w:t>
            </w:r>
          </w:p>
        </w:tc>
        <w:tc>
          <w:p w14:paraId="0EFE6B0C">
            <w:pPr>
              <w:pStyle w:val="24"/>
              <w:jc w:val="left"/>
            </w:pPr>
            <w:r>
              <w:rPr>
                <w:rFonts w:hint="eastAsia"/>
              </w:rPr>
              <w:t>大语言模型。</w:t>
            </w:r>
          </w:p>
        </w:tc>
      </w:tr>
      <w:tr w14:paraId="6DED65F3">
        <w:tblPrEx>
          <w:tblCellMar>
            <w:top w:w="0" w:type="dxa"/>
            <w:left w:w="108" w:type="dxa"/>
            <w:bottom w:w="0" w:type="dxa"/>
            <w:right w:w="108" w:type="dxa"/>
          </w:tblCellMar>
        </w:tblPrEx>
        <w:tc>
          <w:p w14:paraId="139351DF">
            <w:pPr>
              <w:pStyle w:val="24"/>
              <w:jc w:val="left"/>
            </w:pPr>
            <w:r>
              <w:t>DSL</w:t>
            </w:r>
          </w:p>
        </w:tc>
        <w:tc>
          <w:p w14:paraId="7A03A2F2">
            <w:pPr>
              <w:pStyle w:val="24"/>
              <w:jc w:val="left"/>
            </w:pPr>
            <w:r>
              <w:t>Domain Specific Language</w:t>
            </w:r>
          </w:p>
        </w:tc>
        <w:tc>
          <w:p w14:paraId="210E6A7B">
            <w:pPr>
              <w:pStyle w:val="24"/>
              <w:jc w:val="left"/>
            </w:pPr>
            <w:r>
              <w:rPr>
                <w:rFonts w:hint="eastAsia"/>
              </w:rPr>
              <w:t>领域专用语言</w:t>
            </w:r>
          </w:p>
        </w:tc>
      </w:tr>
      <w:bookmarkEnd w:id="2"/>
    </w:tbl>
    <w:p w14:paraId="4926CC85">
      <w:pPr>
        <w:pStyle w:val="2"/>
      </w:pPr>
      <w:bookmarkStart w:id="4" w:name="引言"/>
      <w:r>
        <w:rPr>
          <w:rFonts w:hint="eastAsia"/>
        </w:rPr>
        <w:t>引言</w:t>
      </w:r>
    </w:p>
    <w:p w14:paraId="1170CF9F">
      <w:pPr>
        <w:pStyle w:val="23"/>
      </w:pPr>
      <w:r>
        <w:rPr>
          <w:rFonts w:hint="eastAsia"/>
        </w:rPr>
        <w:t>本章介绍课题的研究背景与意义、研究内容与成果，以及论文的组织结构。</w:t>
      </w:r>
    </w:p>
    <w:p w14:paraId="298B562E">
      <w:pPr>
        <w:pStyle w:val="4"/>
      </w:pPr>
      <w:bookmarkStart w:id="5" w:name="背景与意义"/>
      <w:r>
        <w:rPr>
          <w:rFonts w:hint="eastAsia"/>
        </w:rPr>
        <w:t>背景与意义</w:t>
      </w:r>
    </w:p>
    <w:p w14:paraId="4962E6C5">
      <w:pPr>
        <w:pStyle w:val="23"/>
      </w:pPr>
      <w:r>
        <w:rPr>
          <w:rFonts w:hint="eastAsia"/>
        </w:rPr>
        <w:t>服务计算发展推动了服务软件大规模部署</w:t>
      </w:r>
      <w:r>
        <w:t>(Bouguettaya et al. 2017)</w:t>
      </w:r>
      <w:r>
        <w:rPr>
          <w:rFonts w:hint="eastAsia"/>
        </w:rPr>
        <w:t>。服务计算场景下，软件体系结构由单体架构向面向服务架构(SOA)的转变，并发展至微服务架构</w:t>
      </w:r>
      <w:r>
        <w:t>(Zhong et al. 2024)</w:t>
      </w:r>
      <w:r>
        <w:rPr>
          <w:rFonts w:hint="eastAsia"/>
        </w:rPr>
        <w:t>。微服务系统由多个可独立开发、部署和演化的微服务组成，可分布式部署到多个计算节点。云原生技术将微服务和云计算结合，实现微服务系统在大规模计算集群中的弹性扩缩、持续交付和高可用运行</w:t>
      </w:r>
      <w:r>
        <w:t>(Cloud Native Computing Foundation 2024, 2026)。</w:t>
      </w:r>
    </w:p>
    <w:p w14:paraId="4BF2DBAB">
      <w:pPr>
        <w:pStyle w:val="3"/>
      </w:pPr>
      <w:r>
        <w:rPr>
          <w:rFonts w:hint="eastAsia"/>
        </w:rPr>
        <w:t>云原生技术离不开容器集群基础设施的发展。容器技术依托内核级隔离和镜像分发成为微服务高效封装与运行的单元(吴逸文</w:t>
      </w:r>
      <w:r>
        <w:t xml:space="preserve"> et al. 2023)</w:t>
      </w:r>
      <w:r>
        <w:rPr>
          <w:rFonts w:hint="eastAsia"/>
        </w:rPr>
        <w:t>，但不能满足多节点资源调度和自动编排等需求。谷歌公司开发了容器管理系统</w:t>
      </w:r>
      <w:r>
        <w:t xml:space="preserve"> Borg(Verma et al. 2015)</w:t>
      </w:r>
      <w:r>
        <w:rPr>
          <w:rFonts w:hint="eastAsia"/>
        </w:rPr>
        <w:t>，并以此为参考在</w:t>
      </w:r>
      <w:r>
        <w:t xml:space="preserve"> 2014 </w:t>
      </w:r>
      <w:r>
        <w:rPr>
          <w:rFonts w:hint="eastAsia"/>
        </w:rPr>
        <w:t>年开源容器集群编排系统Kubernetes(简称K8s)，后捐赠给云原生基金会</w:t>
      </w:r>
      <w:r>
        <w:t xml:space="preserve"> CNCF(Lawson and Sica 2026) </w:t>
      </w:r>
      <w:r>
        <w:rPr>
          <w:rFonts w:hint="eastAsia"/>
        </w:rPr>
        <w:t>管理。K8s</w:t>
      </w:r>
      <w:r>
        <w:t xml:space="preserve"> </w:t>
      </w:r>
      <w:r>
        <w:rPr>
          <w:rFonts w:hint="eastAsia"/>
        </w:rPr>
        <w:t>通过主从式集群架构与声明式</w:t>
      </w:r>
      <w:r>
        <w:t xml:space="preserve"> API </w:t>
      </w:r>
      <w:r>
        <w:rPr>
          <w:rFonts w:hint="eastAsia"/>
        </w:rPr>
        <w:t>实现对容器资源与应用状态的分布式管理，成为重要的云原生基础设施。</w:t>
      </w:r>
    </w:p>
    <w:p w14:paraId="78F64ACB">
      <w:pPr>
        <w:pStyle w:val="3"/>
      </w:pPr>
      <w:r>
        <w:rPr>
          <w:rFonts w:hint="eastAsia"/>
        </w:rPr>
        <w:t>云原生基础设施维护依赖众多开源云原生应用，但这些应用存在第三方安全风险。为实现日志采集、监控告警、身份认证等能力，系统管理方引入例如Fluentd、Prometheus</w:t>
      </w:r>
      <w:r>
        <w:t xml:space="preserve"> </w:t>
      </w:r>
      <w:r>
        <w:rPr>
          <w:rFonts w:hint="eastAsia"/>
        </w:rPr>
        <w:t>和</w:t>
      </w:r>
      <w:r>
        <w:t xml:space="preserve"> Keycloak </w:t>
      </w:r>
      <w:r>
        <w:rPr>
          <w:rFonts w:hint="eastAsia"/>
        </w:rPr>
        <w:t>等开源云原生应用。这些云原生应用能够增强平台能力并降低开发运维成本，但其组件深度参与集群运行与控制过程，给</w:t>
      </w:r>
      <w:r>
        <w:t xml:space="preserve"> K8s </w:t>
      </w:r>
      <w:r>
        <w:rPr>
          <w:rFonts w:hint="eastAsia"/>
        </w:rPr>
        <w:t>集群系统带来安全隐患。其中，</w:t>
      </w:r>
      <w:r>
        <w:rPr>
          <w:rFonts w:hint="eastAsia"/>
          <w:b/>
          <w:bCs/>
        </w:rPr>
        <w:t>权限安全风险是容器集群基础设施的重要风险来源</w:t>
      </w:r>
      <w:r>
        <w:rPr>
          <w:rFonts w:hint="eastAsia"/>
        </w:rPr>
        <w:t>。云原生应用通过RBAC机制</w:t>
      </w:r>
      <w:r>
        <w:t>(Ferraiolo et al. 1995)</w:t>
      </w:r>
      <w:r>
        <w:rPr>
          <w:rFonts w:hint="eastAsia"/>
        </w:rPr>
        <w:t>获取一定的集群访问权限，若应用组件存在过度授权</w:t>
      </w:r>
      <w:r>
        <w:t>(Gu et al. 2025)</w:t>
      </w:r>
      <w:r>
        <w:rPr>
          <w:rFonts w:hint="eastAsia"/>
        </w:rPr>
        <w:t>、授权检查缺陷、敏感信息泄露</w:t>
      </w:r>
      <w:r>
        <w:t xml:space="preserve">(Sun et al. 2025) </w:t>
      </w:r>
      <w:r>
        <w:rPr>
          <w:rFonts w:hint="eastAsia"/>
        </w:rPr>
        <w:t>或网络隔离配置不当等缺陷，攻击者可借此实施权限提升攻击，严重时甚至可接管整个集群</w:t>
      </w:r>
      <w:r>
        <w:t>(Yang et al. 2023)</w:t>
      </w:r>
      <w:r>
        <w:rPr>
          <w:rFonts w:hint="eastAsia"/>
        </w:rPr>
        <w:t>。相关漏洞可称为</w:t>
      </w:r>
      <w:r>
        <w:rPr>
          <w:rFonts w:hint="eastAsia"/>
          <w:b/>
          <w:bCs/>
        </w:rPr>
        <w:t>云原生应用的权限提升漏洞</w:t>
      </w:r>
      <w:r>
        <w:t>。</w:t>
      </w:r>
    </w:p>
    <w:p w14:paraId="55D7188F">
      <w:pPr>
        <w:pStyle w:val="3"/>
      </w:pPr>
      <w:r>
        <w:rPr>
          <w:rFonts w:hint="eastAsia"/>
        </w:rPr>
        <w:t>云原生应用的权限提升漏洞管理面临三方面问题：</w:t>
      </w:r>
    </w:p>
    <w:p w14:paraId="71579585">
      <w:pPr>
        <w:pStyle w:val="3"/>
      </w:pPr>
      <w:r>
        <w:t>(1)</w:t>
      </w:r>
      <w:r>
        <w:rPr>
          <w:rFonts w:hint="eastAsia"/>
          <w:b/>
          <w:bCs/>
        </w:rPr>
        <w:t>修复时间不确定性</w:t>
      </w:r>
      <w:r>
        <w:rPr>
          <w:rFonts w:hint="eastAsia"/>
        </w:rPr>
        <w:t>。不同开源社区安全响应能力参差不齐，漏洞从公开披露到补丁发布的周期因项目而异且难以预期。2020</w:t>
      </w:r>
      <w:r>
        <w:t xml:space="preserve"> </w:t>
      </w:r>
      <w:r>
        <w:rPr>
          <w:rFonts w:hint="eastAsia"/>
        </w:rPr>
        <w:t>至</w:t>
      </w:r>
      <w:r>
        <w:t xml:space="preserve"> 2025 </w:t>
      </w:r>
      <w:r>
        <w:rPr>
          <w:rFonts w:hint="eastAsia"/>
        </w:rPr>
        <w:t>年间</w:t>
      </w:r>
      <w:r>
        <w:t xml:space="preserve"> 55 </w:t>
      </w:r>
      <w:r>
        <w:rPr>
          <w:rFonts w:hint="eastAsia"/>
        </w:rPr>
        <w:t>个云原生权限提升漏洞的修复时间分布如图</w:t>
      </w:r>
      <w:r>
        <w:fldChar w:fldCharType="begin"/>
      </w:r>
      <w:r>
        <w:instrText xml:space="preserve"> HYPERLINK \l "fig:patch-window" \h </w:instrText>
      </w:r>
      <w:r>
        <w:fldChar w:fldCharType="separate"/>
      </w:r>
      <w:r>
        <w:rPr>
          <w:rStyle w:val="20"/>
        </w:rPr>
        <w:t>1.1</w:t>
      </w:r>
      <w:r>
        <w:rPr>
          <w:rStyle w:val="20"/>
        </w:rPr>
        <w:fldChar w:fldCharType="end"/>
      </w:r>
      <w:r>
        <w:rPr>
          <w:rFonts w:hint="eastAsia"/>
        </w:rPr>
        <w:t>所示，其中</w:t>
      </w:r>
      <w:r>
        <w:t xml:space="preserve"> </w:t>
      </w:r>
      <m:oMath>
        <m:r>
          <m:rPr/>
          <m:t>30.4</m:t>
        </m:r>
        <m:r>
          <m:rPr>
            <m:sty m:val="p"/>
          </m:rPr>
          <m:t>%</m:t>
        </m:r>
      </m:oMath>
      <w:r>
        <w:t xml:space="preserve"> </w:t>
      </w:r>
      <w:r>
        <w:rPr>
          <w:rFonts w:hint="eastAsia"/>
        </w:rPr>
        <w:t>的漏洞补丁修复存在滞后问题，攻击者可借助公开公告与修复提交发现漏洞利用条件。此外，第三方组件升级受限于现有架构兼容性和业务连续性要求，导致补丁无法立即部署到生产环境。</w:t>
      </w:r>
    </w:p>
    <w:tbl>
      <w:tblPr>
        <w:tblStyle w:val="18"/>
        <w:tblW w:w="0" w:type="auto"/>
        <w:jc w:val="center"/>
        <w:tblLayout w:type="autofit"/>
        <w:tblCellMar>
          <w:top w:w="0" w:type="dxa"/>
          <w:left w:w="10" w:type="dxa"/>
          <w:bottom w:w="0" w:type="dxa"/>
          <w:right w:w="10" w:type="dxa"/>
        </w:tblCellMar>
      </w:tblPr>
      <w:tblGrid>
        <w:gridCol w:w="6740"/>
      </w:tblGrid>
      <w:tr w14:paraId="63AD6A46">
        <w:tblPrEx>
          <w:tblCellMar>
            <w:top w:w="0" w:type="dxa"/>
            <w:left w:w="10" w:type="dxa"/>
            <w:bottom w:w="0" w:type="dxa"/>
            <w:right w:w="10" w:type="dxa"/>
          </w:tblCellMar>
        </w:tblPrEx>
        <w:trPr>
          <w:jc w:val="center"/>
        </w:trPr>
        <w:tc>
          <w:p w14:paraId="3235465F">
            <w:pPr>
              <w:jc w:val="center"/>
            </w:pPr>
            <w:bookmarkStart w:id="6" w:name="fig:patch-window"/>
            <w:r>
              <w:drawing>
                <wp:inline distT="0" distB="0" distL="114300" distR="114300">
                  <wp:extent cx="4267200" cy="2204085"/>
                  <wp:effectExtent l="0" t="0" r="0" b="0"/>
                  <wp:docPr id="1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image"/>
                          <pic:cNvPicPr>
                            <a:picLocks noChangeAspect="1" noChangeArrowheads="1"/>
                          </pic:cNvPicPr>
                        </pic:nvPicPr>
                        <pic:blipFill>
                          <a:blip r:embed="rId5"/>
                          <a:stretch>
                            <a:fillRect/>
                          </a:stretch>
                        </pic:blipFill>
                        <pic:spPr>
                          <a:xfrm>
                            <a:off x="0" y="0"/>
                            <a:ext cx="4267200" cy="2204692"/>
                          </a:xfrm>
                          <a:prstGeom prst="rect">
                            <a:avLst/>
                          </a:prstGeom>
                          <a:noFill/>
                          <a:ln w="9525">
                            <a:noFill/>
                          </a:ln>
                        </pic:spPr>
                      </pic:pic>
                    </a:graphicData>
                  </a:graphic>
                </wp:inline>
              </w:drawing>
            </w:r>
            <w:r>
              <w:t xml:space="preserve"> </w:t>
            </w:r>
            <w:bookmarkStart w:id="7" w:name="fig:patch-window"/>
            <w:bookmarkEnd w:id="7"/>
          </w:p>
        </w:tc>
      </w:tr>
      <w:bookmarkEnd w:id="6"/>
    </w:tbl>
    <w:p w14:paraId="0E12CF00">
      <w:pPr>
        <w:pStyle w:val="3"/>
      </w:pPr>
      <w:r>
        <w:t>(2)</w:t>
      </w:r>
      <w:r>
        <w:rPr>
          <w:rFonts w:hint="eastAsia"/>
          <w:b/>
          <w:bCs/>
        </w:rPr>
        <w:t>安全工具有效性不足</w:t>
      </w:r>
      <w:r>
        <w:rPr>
          <w:rFonts w:hint="eastAsia"/>
        </w:rPr>
        <w:t>。现有技术或研究基于配置扫描</w:t>
      </w:r>
      <w:r>
        <w:t>(Shamim et al. 2025b; Rahman et al. 2023)</w:t>
      </w:r>
      <w:r>
        <w:rPr>
          <w:rFonts w:hint="eastAsia"/>
        </w:rPr>
        <w:t>、运行时检测</w:t>
      </w:r>
      <w:r>
        <w:t>(Falco (CNCF) 2025)</w:t>
      </w:r>
      <w:r>
        <w:rPr>
          <w:rFonts w:hint="eastAsia"/>
        </w:rPr>
        <w:t>、准入控制</w:t>
      </w:r>
      <w:r>
        <w:t>(Open Policy Agent (CNCF) 2025; Kyverno (CNCF) 2025)</w:t>
      </w:r>
      <w:r>
        <w:rPr>
          <w:rFonts w:hint="eastAsia"/>
        </w:rPr>
        <w:t>和网络隔离</w:t>
      </w:r>
      <w:r>
        <w:t>(Minna et al. 2021; Budigiri et al. 2021)</w:t>
      </w:r>
      <w:r>
        <w:rPr>
          <w:rFonts w:hint="eastAsia"/>
        </w:rPr>
        <w:t>等方法应对安全问题，但上述工具的防控逻辑多为通用规则，并非针对具体漏洞定制，对特定高危</w:t>
      </w:r>
      <w:r>
        <w:t xml:space="preserve"> CVE </w:t>
      </w:r>
      <w:r>
        <w:rPr>
          <w:rFonts w:hint="eastAsia"/>
        </w:rPr>
        <w:t>的实际拦截效果有限；部分工具还需通过领域特定语言手工编写安全策略，策略编写成本较高。</w:t>
      </w:r>
    </w:p>
    <w:p w14:paraId="30DC3AEF">
      <w:pPr>
        <w:pStyle w:val="3"/>
      </w:pPr>
      <w:r>
        <w:t>(3)</w:t>
      </w:r>
      <w:r>
        <w:rPr>
          <w:rFonts w:hint="eastAsia"/>
          <w:b/>
          <w:bCs/>
        </w:rPr>
        <w:t>补丁窗口期处置依赖专家经验</w:t>
      </w:r>
      <w:r>
        <w:rPr>
          <w:rFonts w:hint="eastAsia"/>
        </w:rPr>
        <w:t>。云原生权限提升漏洞通常跨越</w:t>
      </w:r>
      <w:r>
        <w:t xml:space="preserve"> RBAC </w:t>
      </w:r>
      <w:r>
        <w:rPr>
          <w:rFonts w:hint="eastAsia"/>
        </w:rPr>
        <w:t>授权</w:t>
      </w:r>
      <w:r>
        <w:t>(Ferraiolo et al. 1995)</w:t>
      </w:r>
      <w:r>
        <w:rPr>
          <w:rFonts w:hint="eastAsia"/>
        </w:rPr>
        <w:t>、控制平面交互、网络隔离和应用行为等多个层面，涉及过度授权</w:t>
      </w:r>
      <w:r>
        <w:t>(Yang et al. 2023)</w:t>
      </w:r>
      <w:r>
        <w:rPr>
          <w:rFonts w:hint="eastAsia"/>
        </w:rPr>
        <w:t>、风险组件劫持、敏感信息泄露</w:t>
      </w:r>
      <w:r>
        <w:t>(Sun et al. 2025)</w:t>
      </w:r>
      <w:r>
        <w:rPr>
          <w:rFonts w:hint="eastAsia"/>
        </w:rPr>
        <w:t>等问题，补丁窗口期的处置高度依赖安全专家经验，难以快速形成可部署的安全策略。</w:t>
      </w:r>
    </w:p>
    <w:p w14:paraId="0017EC9C">
      <w:pPr>
        <w:pStyle w:val="3"/>
      </w:pPr>
      <w:r>
        <w:rPr>
          <w:rFonts w:hint="eastAsia"/>
        </w:rPr>
        <w:t>大语言模型的发展为高危漏洞的智能化治理提供了新的技术路径。上述问题表明，仅依赖通用规则或人工经验难以为具体漏洞快速给出补丁窗口期的缓解措施，而大语言模型虽不能直接替代安全准入控制器或运行时监控，但能够通过漏洞理解与复杂推理，生成面向监控和防护等安全工具的领域特定策略代码，为漏洞处置提供自动化支持。该方法在实践中须解决以下三个核心问题：</w:t>
      </w:r>
    </w:p>
    <w:p w14:paraId="2D0907E1">
      <w:pPr>
        <w:pStyle w:val="3"/>
      </w:pPr>
      <w:r>
        <w:t>(1)</w:t>
      </w:r>
      <w:r>
        <w:rPr>
          <w:rFonts w:hint="eastAsia"/>
          <w:b/>
          <w:bCs/>
        </w:rPr>
        <w:t>如何构建面向具体漏洞的安全上下文</w:t>
      </w:r>
      <w:r>
        <w:rPr>
          <w:rFonts w:hint="eastAsia"/>
        </w:rPr>
        <w:t>。权限提升漏洞相关的漏洞成因、利用条件与影响边界等关键信息分散在代码仓库、问题讨论区与修复提交等多类来源中，需要建立可检索、可追溯的领域安全知识库，将分散证据组织为可供大语言模型使用的安全上下文。</w:t>
      </w:r>
    </w:p>
    <w:p w14:paraId="0E4453DE">
      <w:pPr>
        <w:pStyle w:val="3"/>
      </w:pPr>
      <w:r>
        <w:t>(2)</w:t>
      </w:r>
      <w:r>
        <w:rPr>
          <w:rFonts w:hint="eastAsia"/>
          <w:b/>
          <w:bCs/>
        </w:rPr>
        <w:t>如何基于漏洞语义生成安全策略代码</w:t>
      </w:r>
      <w:r>
        <w:rPr>
          <w:rFonts w:hint="eastAsia"/>
        </w:rPr>
        <w:t>。大语言模型的单步问答难以稳定完成从漏洞理解到策略构造的全过程。策略代码生成关联漏洞成因分析、攻击路径识别、安全工具选择等细节问题，需要通过完整工作流加以组织与约束。</w:t>
      </w:r>
    </w:p>
    <w:p w14:paraId="0BD8A482">
      <w:pPr>
        <w:pStyle w:val="3"/>
      </w:pPr>
      <w:r>
        <w:t>(3)</w:t>
      </w:r>
      <w:r>
        <w:rPr>
          <w:rFonts w:hint="eastAsia"/>
          <w:b/>
          <w:bCs/>
        </w:rPr>
        <w:t>如何评估安全策略代码质量</w:t>
      </w:r>
      <w:r>
        <w:rPr>
          <w:rFonts w:hint="eastAsia"/>
        </w:rPr>
        <w:t>。模型幻觉问题可导致安全策略代码覆盖不足、干扰业务或配置不完整等多方面问题。策略代码的测试预言</w:t>
      </w:r>
      <w:r>
        <w:t>(Barr et al. 2015)</w:t>
      </w:r>
      <w:r>
        <w:rPr>
          <w:rFonts w:hint="eastAsia"/>
        </w:rPr>
        <w:t>构建与结果判定成本过高，实际评估需通过人工复现漏洞并模拟攻击验证代码质量。</w:t>
      </w:r>
    </w:p>
    <w:p w14:paraId="6ADD832C">
      <w:pPr>
        <w:pStyle w:val="3"/>
      </w:pPr>
      <w:r>
        <w:rPr>
          <w:rFonts w:hint="eastAsia"/>
        </w:rPr>
        <w:t>围绕上述问题，开展了基于大语言模型驱动的智能化安全策略漏洞防控研究，并开发了支持工具。以收集到的云原生权限提升漏洞为实验对象，通过实验研究与案例分析验证了</w:t>
      </w:r>
      <w:r>
        <w:t xml:space="preserve"> KPEDefense </w:t>
      </w:r>
      <w:r>
        <w:rPr>
          <w:rFonts w:hint="eastAsia"/>
        </w:rPr>
        <w:t>的实际防控效果。</w:t>
      </w:r>
    </w:p>
    <w:bookmarkEnd w:id="5"/>
    <w:p w14:paraId="5574FC23">
      <w:pPr>
        <w:pStyle w:val="4"/>
      </w:pPr>
      <w:bookmarkStart w:id="8" w:name="研究内容与成果"/>
      <w:r>
        <w:rPr>
          <w:rFonts w:hint="eastAsia"/>
        </w:rPr>
        <w:t>研究内容与成果</w:t>
      </w:r>
    </w:p>
    <w:p w14:paraId="6F3FF635">
      <w:pPr>
        <w:pStyle w:val="23"/>
      </w:pPr>
      <w:r>
        <w:rPr>
          <w:rFonts w:hint="eastAsia"/>
        </w:rPr>
        <w:t>本文面向云原生应用权限提升漏洞的智能化防控需求，结合漏洞描述与开源仓库信息，基于大语言模型生成可用于动态监控与防护的安全策略，从而降低漏洞披露后第三方组件带来的安全风险。主要研究内容与成果如下。</w:t>
      </w:r>
    </w:p>
    <w:p w14:paraId="376AC66C">
      <w:pPr>
        <w:pStyle w:val="3"/>
      </w:pPr>
      <w:r>
        <w:rPr>
          <w:rFonts w:hint="eastAsia"/>
          <w:b/>
          <w:bCs/>
        </w:rPr>
        <w:t>(1)提出一种智能化安全策略生成方法</w:t>
      </w:r>
      <w:r>
        <w:rPr>
          <w:rFonts w:hint="eastAsia"/>
        </w:rPr>
        <w:t>。提出一种面向权限提升漏洞监控与防护的智能化安全策略生成方法KPEDefense。该方法基于开源云原生应用信息构建安全知识库，通过多智能体协同工作流生成针对具体权限提升漏洞的安全策略及其策略代码，并构建基于多源模型的评估体系保障代码质量。</w:t>
      </w:r>
    </w:p>
    <w:p w14:paraId="24ECBFCD">
      <w:pPr>
        <w:pStyle w:val="3"/>
      </w:pPr>
      <w:r>
        <w:rPr>
          <w:rFonts w:hint="eastAsia"/>
          <w:b/>
          <w:bCs/>
        </w:rPr>
        <w:t>(2)开发支持工具</w:t>
      </w:r>
      <w:r>
        <w:rPr>
          <w:rFonts w:hint="eastAsia"/>
        </w:rPr>
        <w:t>。开发了</w:t>
      </w:r>
      <w:r>
        <w:t xml:space="preserve"> KPEDefense </w:t>
      </w:r>
      <w:r>
        <w:rPr>
          <w:rFonts w:hint="eastAsia"/>
        </w:rPr>
        <w:t>方法的支持工具，集成安全知识库管理、智能体调度、模型对接与安全策略部署验证等功能，实现方法落地。</w:t>
      </w:r>
    </w:p>
    <w:p w14:paraId="449A46DA">
      <w:pPr>
        <w:pStyle w:val="3"/>
      </w:pPr>
      <w:r>
        <w:rPr>
          <w:rFonts w:hint="eastAsia"/>
          <w:b/>
          <w:bCs/>
        </w:rPr>
        <w:t>(3)实验验证与案例分析</w:t>
      </w:r>
      <w:r>
        <w:rPr>
          <w:rFonts w:hint="eastAsia"/>
        </w:rPr>
        <w:t>。通过对比实验与典型案例验证，对</w:t>
      </w:r>
      <w:r>
        <w:t xml:space="preserve"> KPEDefense </w:t>
      </w:r>
      <w:r>
        <w:rPr>
          <w:rFonts w:hint="eastAsia"/>
        </w:rPr>
        <w:t>在策略有效性、无干扰性和可部署性方面进行了系统评估。结果表明，KPEDefense</w:t>
      </w:r>
      <w:r>
        <w:t xml:space="preserve"> </w:t>
      </w:r>
      <w:r>
        <w:rPr>
          <w:rFonts w:hint="eastAsia"/>
        </w:rPr>
        <w:t>支持面向具体漏洞的安全策略自动化生成，并在实际场景中体现出较好的针对性与可行性。</w:t>
      </w:r>
    </w:p>
    <w:bookmarkEnd w:id="8"/>
    <w:p w14:paraId="47D78B9D">
      <w:pPr>
        <w:pStyle w:val="4"/>
      </w:pPr>
      <w:bookmarkStart w:id="9" w:name="论文组织结构"/>
      <w:r>
        <w:rPr>
          <w:rFonts w:hint="eastAsia"/>
        </w:rPr>
        <w:t>论文组织结构</w:t>
      </w:r>
    </w:p>
    <w:p w14:paraId="75CCCE54">
      <w:pPr>
        <w:pStyle w:val="23"/>
      </w:pPr>
      <w:r>
        <w:rPr>
          <w:rFonts w:hint="eastAsia"/>
        </w:rPr>
        <w:t>第一章，引言，交代课题的研究背景与意义、研究内容与成果。</w:t>
      </w:r>
    </w:p>
    <w:p w14:paraId="5A483FC2">
      <w:pPr>
        <w:pStyle w:val="3"/>
      </w:pPr>
      <w:r>
        <w:rPr>
          <w:rFonts w:hint="eastAsia"/>
        </w:rPr>
        <w:t>第二章，背景介绍，梳理相关概念及技术、云原生安全技术与国内外研究现状。</w:t>
      </w:r>
    </w:p>
    <w:p w14:paraId="25227F4F">
      <w:pPr>
        <w:pStyle w:val="3"/>
      </w:pPr>
      <w:r>
        <w:rPr>
          <w:rFonts w:hint="eastAsia"/>
        </w:rPr>
        <w:t>第三章，面向云原生权限提升漏洞的智能化安全策略生成方法KPEDefense，包括总体方法概述与基本概念定义、安全知识库、基于多智能体协同的策略生成与优化以及策略评估与质量控制。</w:t>
      </w:r>
    </w:p>
    <w:p w14:paraId="70FCF980">
      <w:pPr>
        <w:pStyle w:val="3"/>
      </w:pPr>
      <w:r>
        <w:rPr>
          <w:rFonts w:hint="eastAsia"/>
        </w:rPr>
        <w:t>第四章，KPEDefense方法支持工具的设计与实现，包括需求分析、总体设计、详细设计与实现。</w:t>
      </w:r>
    </w:p>
    <w:p w14:paraId="26DA2740">
      <w:pPr>
        <w:pStyle w:val="3"/>
      </w:pPr>
      <w:r>
        <w:rPr>
          <w:rFonts w:hint="eastAsia"/>
        </w:rPr>
        <w:t>第五章，实验研究，围绕研究问题、实验对象与设计以及结果分析展开。</w:t>
      </w:r>
    </w:p>
    <w:p w14:paraId="000CF28C">
      <w:pPr>
        <w:pStyle w:val="3"/>
      </w:pPr>
      <w:r>
        <w:rPr>
          <w:rFonts w:hint="eastAsia"/>
        </w:rPr>
        <w:t>第六章，研究工作的总结以及未来的展望。</w:t>
      </w:r>
    </w:p>
    <w:bookmarkEnd w:id="4"/>
    <w:bookmarkEnd w:id="9"/>
    <w:p w14:paraId="697729E0">
      <w:pPr>
        <w:pStyle w:val="2"/>
      </w:pPr>
      <w:bookmarkStart w:id="10" w:name="chap:background"/>
      <w:r>
        <w:rPr>
          <w:rFonts w:hint="eastAsia"/>
        </w:rPr>
        <w:t>背景介绍</w:t>
      </w:r>
    </w:p>
    <w:p w14:paraId="77426DF4">
      <w:pPr>
        <w:pStyle w:val="23"/>
      </w:pPr>
      <w:r>
        <w:rPr>
          <w:rFonts w:hint="eastAsia"/>
        </w:rPr>
        <w:t>本章介绍相关概念与技术，并梳理</w:t>
      </w:r>
      <w:r>
        <w:t xml:space="preserve"> K8s </w:t>
      </w:r>
      <w:r>
        <w:rPr>
          <w:rFonts w:hint="eastAsia"/>
        </w:rPr>
        <w:t>权限提升漏洞相关的国内外研究现状。</w:t>
      </w:r>
    </w:p>
    <w:p w14:paraId="4F7A699A">
      <w:pPr>
        <w:pStyle w:val="4"/>
      </w:pPr>
      <w:bookmarkStart w:id="11" w:name="相关概念与技术"/>
      <w:r>
        <w:rPr>
          <w:rFonts w:hint="eastAsia"/>
        </w:rPr>
        <w:t>相关概念与技术</w:t>
      </w:r>
    </w:p>
    <w:p w14:paraId="7062119D">
      <w:pPr>
        <w:pStyle w:val="5"/>
      </w:pPr>
      <w:bookmarkStart w:id="12" w:name="容器"/>
      <w:r>
        <w:rPr>
          <w:rFonts w:hint="eastAsia"/>
        </w:rPr>
        <w:t>容器</w:t>
      </w:r>
    </w:p>
    <w:p w14:paraId="1F402B55">
      <w:pPr>
        <w:pStyle w:val="23"/>
      </w:pPr>
      <w:r>
        <w:rPr>
          <w:rFonts w:hint="eastAsia"/>
        </w:rPr>
        <w:t>计算服务的部署形态经历了从物理机、虚拟机到容器化的持续演进过程(见图</w:t>
      </w:r>
      <w:r>
        <w:t> </w:t>
      </w:r>
      <w:r>
        <w:fldChar w:fldCharType="begin"/>
      </w:r>
      <w:r>
        <w:instrText xml:space="preserve"> HYPERLINK \l "fig:container-evolution" \h </w:instrText>
      </w:r>
      <w:r>
        <w:fldChar w:fldCharType="separate"/>
      </w:r>
      <w:r>
        <w:rPr>
          <w:rStyle w:val="20"/>
        </w:rPr>
        <w:t>2.1</w:t>
      </w:r>
      <w:r>
        <w:rPr>
          <w:rStyle w:val="20"/>
        </w:rPr>
        <w:fldChar w:fldCharType="end"/>
      </w:r>
      <w:r>
        <w:rPr>
          <w:rFonts w:hint="eastAsia"/>
        </w:rPr>
        <w:t>)。虚拟机部署依赖</w:t>
      </w:r>
      <w:r>
        <w:t xml:space="preserve"> KVM </w:t>
      </w:r>
      <w:r>
        <w:rPr>
          <w:rFonts w:hint="eastAsia"/>
        </w:rPr>
        <w:t>等虚拟化技术，能够提供完整操作系统级别的隔离，但也带来了较高的虚拟化开销、较长的启动时间和较大的镜像体积，从而影响应用交付效率与资源利用率。相比之下，容器通过操作系统内核级的资源隔离共享宿主机内核，以</w:t>
      </w:r>
      <w:r>
        <w:rPr>
          <w:rFonts w:hint="eastAsia"/>
          <w:b/>
          <w:bCs/>
        </w:rPr>
        <w:t>镜像</w:t>
      </w:r>
      <w:r>
        <w:rPr>
          <w:rFonts w:hint="eastAsia"/>
        </w:rPr>
        <w:t>为交付单元，将应用及其运行依赖整体打包，在资源利用率和启动速度上更具优势。技术实现主要依赖以下三类内核机制：</w:t>
      </w:r>
    </w:p>
    <w:p w14:paraId="1D1E8063">
      <w:pPr>
        <w:numPr>
          <w:ilvl w:val="0"/>
          <w:numId w:val="1"/>
        </w:numPr>
      </w:pPr>
      <w:r>
        <w:rPr>
          <w:rFonts w:hint="eastAsia"/>
          <w:b/>
          <w:bCs/>
        </w:rPr>
        <w:t>命名空间(Namespace)隔离</w:t>
      </w:r>
      <w:r>
        <w:rPr>
          <w:rFonts w:hint="eastAsia"/>
        </w:rPr>
        <w:t>：通过隔离进程、网络、挂载点等，使容器内运行的程序有独立系统抽象资源；</w:t>
      </w:r>
    </w:p>
    <w:p w14:paraId="454DC963">
      <w:pPr>
        <w:numPr>
          <w:ilvl w:val="0"/>
          <w:numId w:val="1"/>
        </w:numPr>
      </w:pPr>
      <w:r>
        <w:rPr>
          <w:rFonts w:hint="eastAsia"/>
          <w:b/>
          <w:bCs/>
        </w:rPr>
        <w:t>控制组(Cgroup)限制</w:t>
      </w:r>
      <w:r>
        <w:rPr>
          <w:rFonts w:hint="eastAsia"/>
        </w:rPr>
        <w:t>：负责对容器施加</w:t>
      </w:r>
      <w:r>
        <w:t xml:space="preserve"> </w:t>
      </w:r>
      <w:r>
        <w:rPr>
          <w:rFonts w:hint="eastAsia"/>
        </w:rPr>
        <w:t>CPU、内存等硬件资源使用的强制规划，提供物理资源隔离；</w:t>
      </w:r>
    </w:p>
    <w:p w14:paraId="591DCC42">
      <w:pPr>
        <w:numPr>
          <w:ilvl w:val="0"/>
          <w:numId w:val="1"/>
        </w:numPr>
      </w:pPr>
      <w:r>
        <w:rPr>
          <w:rFonts w:hint="eastAsia"/>
          <w:b/>
          <w:bCs/>
        </w:rPr>
        <w:t>只读分层与隔离挂载</w:t>
      </w:r>
      <w:r>
        <w:rPr>
          <w:rFonts w:hint="eastAsia"/>
        </w:rPr>
        <w:t>：利用</w:t>
      </w:r>
      <w:r>
        <w:t xml:space="preserve"> OverlayFS </w:t>
      </w:r>
      <w:r>
        <w:rPr>
          <w:rFonts w:hint="eastAsia"/>
        </w:rPr>
        <w:t>等联合文件系统</w:t>
      </w:r>
      <w:r>
        <w:t>(Wright et al. 2006)</w:t>
      </w:r>
      <w:r>
        <w:rPr>
          <w:rFonts w:hint="eastAsia"/>
        </w:rPr>
        <w:t>，通过复用底层只读镜像并叠加独立的顶层读写区域，实现容器文件系统隔离。</w:t>
      </w:r>
    </w:p>
    <w:tbl>
      <w:tblPr>
        <w:tblStyle w:val="18"/>
        <w:tblW w:w="0" w:type="auto"/>
        <w:jc w:val="center"/>
        <w:tblLayout w:type="autofit"/>
        <w:tblCellMar>
          <w:top w:w="0" w:type="dxa"/>
          <w:left w:w="10" w:type="dxa"/>
          <w:bottom w:w="0" w:type="dxa"/>
          <w:right w:w="10" w:type="dxa"/>
        </w:tblCellMar>
      </w:tblPr>
      <w:tblGrid>
        <w:gridCol w:w="7580"/>
      </w:tblGrid>
      <w:tr w14:paraId="5277E555">
        <w:tblPrEx>
          <w:tblCellMar>
            <w:top w:w="0" w:type="dxa"/>
            <w:left w:w="10" w:type="dxa"/>
            <w:bottom w:w="0" w:type="dxa"/>
            <w:right w:w="10" w:type="dxa"/>
          </w:tblCellMar>
        </w:tblPrEx>
        <w:trPr>
          <w:jc w:val="center"/>
        </w:trPr>
        <w:tc>
          <w:p w14:paraId="68DA989D">
            <w:pPr>
              <w:jc w:val="center"/>
            </w:pPr>
            <w:bookmarkStart w:id="13" w:name="fig:container-evolution"/>
            <w:r>
              <w:drawing>
                <wp:inline distT="0" distB="0" distL="114300" distR="114300">
                  <wp:extent cx="4800600" cy="2247900"/>
                  <wp:effectExtent l="0" t="0" r="0" b="0"/>
                  <wp:docPr id="2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image"/>
                          <pic:cNvPicPr>
                            <a:picLocks noChangeAspect="1" noChangeArrowheads="1"/>
                          </pic:cNvPicPr>
                        </pic:nvPicPr>
                        <pic:blipFill>
                          <a:blip r:embed="rId6"/>
                          <a:stretch>
                            <a:fillRect/>
                          </a:stretch>
                        </pic:blipFill>
                        <pic:spPr>
                          <a:xfrm>
                            <a:off x="0" y="0"/>
                            <a:ext cx="4800600" cy="2248130"/>
                          </a:xfrm>
                          <a:prstGeom prst="rect">
                            <a:avLst/>
                          </a:prstGeom>
                          <a:noFill/>
                          <a:ln w="9525">
                            <a:noFill/>
                          </a:ln>
                        </pic:spPr>
                      </pic:pic>
                    </a:graphicData>
                  </a:graphic>
                </wp:inline>
              </w:drawing>
            </w:r>
            <w:r>
              <w:t xml:space="preserve"> </w:t>
            </w:r>
            <w:bookmarkStart w:id="14" w:name="fig:container-evolution"/>
            <w:bookmarkEnd w:id="14"/>
          </w:p>
        </w:tc>
      </w:tr>
      <w:bookmarkEnd w:id="12"/>
      <w:bookmarkEnd w:id="13"/>
    </w:tbl>
    <w:p w14:paraId="661B3834">
      <w:pPr>
        <w:pStyle w:val="5"/>
      </w:pPr>
      <w:bookmarkStart w:id="15" w:name="容器集群系统k8s"/>
      <w:r>
        <w:rPr>
          <w:rFonts w:hint="eastAsia"/>
        </w:rPr>
        <w:t>容器集群系统K8s</w:t>
      </w:r>
    </w:p>
    <w:p w14:paraId="38BE5A3E">
      <w:pPr>
        <w:pStyle w:val="23"/>
      </w:pPr>
      <w:r>
        <w:t xml:space="preserve">K8s </w:t>
      </w:r>
      <w:r>
        <w:rPr>
          <w:rFonts w:hint="eastAsia"/>
        </w:rPr>
        <w:t>是面向容器工作负载的容器集群编排系统。K8s</w:t>
      </w:r>
      <w:r>
        <w:t xml:space="preserve"> </w:t>
      </w:r>
      <w:r>
        <w:rPr>
          <w:rFonts w:hint="eastAsia"/>
        </w:rPr>
        <w:t>源自谷歌内部的集群编排系统</w:t>
      </w:r>
      <w:r>
        <w:t xml:space="preserve"> Borg(Verma et al. 2015)</w:t>
      </w:r>
      <w:r>
        <w:rPr>
          <w:rFonts w:hint="eastAsia"/>
        </w:rPr>
        <w:t>，并于</w:t>
      </w:r>
      <w:r>
        <w:t xml:space="preserve"> 2014 </w:t>
      </w:r>
      <w:r>
        <w:rPr>
          <w:rFonts w:hint="eastAsia"/>
        </w:rPr>
        <w:t>年正式开源。其核心思想是以</w:t>
      </w:r>
      <w:r>
        <w:rPr>
          <w:rFonts w:hint="eastAsia"/>
          <w:b/>
          <w:bCs/>
        </w:rPr>
        <w:t>声明式</w:t>
      </w:r>
      <w:r>
        <w:rPr>
          <w:b/>
          <w:bCs/>
        </w:rPr>
        <w:t xml:space="preserve"> API</w:t>
      </w:r>
      <w:r>
        <w:rPr>
          <w:rFonts w:hint="eastAsia"/>
        </w:rPr>
        <w:t>描述系统期望状态，再由控制平面通过循环控制持续驱动对象状态转变为期望状态</w:t>
      </w:r>
      <w:r>
        <w:t xml:space="preserve">(Kubernetes 2024)。K8s </w:t>
      </w:r>
      <w:r>
        <w:rPr>
          <w:rFonts w:hint="eastAsia"/>
        </w:rPr>
        <w:t>的基本架构如图</w:t>
      </w:r>
      <w:r>
        <w:fldChar w:fldCharType="begin"/>
      </w:r>
      <w:r>
        <w:instrText xml:space="preserve"> HYPERLINK \l "fig:k8s-arch" \h </w:instrText>
      </w:r>
      <w:r>
        <w:fldChar w:fldCharType="separate"/>
      </w:r>
      <w:r>
        <w:rPr>
          <w:rStyle w:val="20"/>
        </w:rPr>
        <w:t>2.2</w:t>
      </w:r>
      <w:r>
        <w:rPr>
          <w:rStyle w:val="20"/>
        </w:rPr>
        <w:fldChar w:fldCharType="end"/>
      </w:r>
      <w:r>
        <w:rPr>
          <w:rFonts w:hint="eastAsia"/>
        </w:rPr>
        <w:t>所示，一个</w:t>
      </w:r>
      <w:r>
        <w:t xml:space="preserve"> K8s </w:t>
      </w:r>
      <w:r>
        <w:rPr>
          <w:rFonts w:hint="eastAsia"/>
        </w:rPr>
        <w:t>集群由</w:t>
      </w:r>
      <w:r>
        <w:rPr>
          <w:rFonts w:hint="eastAsia"/>
          <w:b/>
          <w:bCs/>
        </w:rPr>
        <w:t>控制平面</w:t>
      </w:r>
      <w:r>
        <w:rPr>
          <w:rFonts w:hint="eastAsia"/>
        </w:rPr>
        <w:t>和多个</w:t>
      </w:r>
      <w:r>
        <w:rPr>
          <w:rFonts w:hint="eastAsia"/>
          <w:b/>
          <w:bCs/>
        </w:rPr>
        <w:t>工作节点</w:t>
      </w:r>
      <w:r>
        <w:rPr>
          <w:rFonts w:hint="eastAsia"/>
        </w:rPr>
        <w:t>构成。控制平面负责集群控制、调度与状态协调，由</w:t>
      </w:r>
      <w:r>
        <w:rPr>
          <w:b/>
          <w:bCs/>
        </w:rPr>
        <w:t xml:space="preserve">API </w:t>
      </w:r>
      <w:r>
        <w:rPr>
          <w:rFonts w:hint="eastAsia"/>
          <w:b/>
          <w:bCs/>
        </w:rPr>
        <w:t>服务器</w:t>
      </w:r>
      <w:r>
        <w:t>、</w:t>
      </w:r>
      <w:r>
        <w:rPr>
          <w:rFonts w:hint="eastAsia"/>
          <w:b/>
          <w:bCs/>
        </w:rPr>
        <w:t>调度器</w:t>
      </w:r>
      <w:r>
        <w:t>、</w:t>
      </w:r>
      <w:r>
        <w:rPr>
          <w:rFonts w:hint="eastAsia"/>
          <w:b/>
          <w:bCs/>
        </w:rPr>
        <w:t>控制器</w:t>
      </w:r>
      <w:r>
        <w:rPr>
          <w:rFonts w:hint="eastAsia"/>
        </w:rPr>
        <w:t>组成。</w:t>
      </w:r>
      <w:r>
        <w:rPr>
          <w:b/>
          <w:bCs/>
        </w:rPr>
        <w:t>API Server</w:t>
      </w:r>
      <w:r>
        <w:rPr>
          <w:rFonts w:hint="eastAsia"/>
        </w:rPr>
        <w:t>是资源访问与状态变更的统一入口，并结合键值数据库</w:t>
      </w:r>
      <w:r>
        <w:t xml:space="preserve"> etcd </w:t>
      </w:r>
      <w:r>
        <w:rPr>
          <w:rFonts w:hint="eastAsia"/>
        </w:rPr>
        <w:t>完成认证、授权、准入和资源对象持久化；</w:t>
      </w:r>
      <w:r>
        <w:rPr>
          <w:rFonts w:hint="eastAsia"/>
          <w:b/>
          <w:bCs/>
        </w:rPr>
        <w:t>调度器</w:t>
      </w:r>
      <w:r>
        <w:rPr>
          <w:rFonts w:hint="eastAsia"/>
        </w:rPr>
        <w:t>根据资源请求、亲和性与反亲和性等约束为工作负载选择节点；</w:t>
      </w:r>
      <w:r>
        <w:rPr>
          <w:rFonts w:hint="eastAsia"/>
          <w:b/>
          <w:bCs/>
        </w:rPr>
        <w:t>控制器</w:t>
      </w:r>
      <w:r>
        <w:rPr>
          <w:rFonts w:hint="eastAsia"/>
        </w:rPr>
        <w:t>负责持续调节各类资源状态。工作节点由</w:t>
      </w:r>
      <w:r>
        <w:t xml:space="preserve"> “kubelet” </w:t>
      </w:r>
      <w:r>
        <w:rPr>
          <w:rFonts w:hint="eastAsia"/>
        </w:rPr>
        <w:t>与</w:t>
      </w:r>
      <w:r>
        <w:t xml:space="preserve"> “kube-proxy” </w:t>
      </w:r>
      <w:r>
        <w:rPr>
          <w:rFonts w:hint="eastAsia"/>
        </w:rPr>
        <w:t>组成，</w:t>
      </w:r>
      <w:r>
        <w:t xml:space="preserve">“kubelet” </w:t>
      </w:r>
      <w:r>
        <w:rPr>
          <w:rFonts w:hint="eastAsia"/>
        </w:rPr>
        <w:t>负责与</w:t>
      </w:r>
      <w:r>
        <w:t xml:space="preserve"> API </w:t>
      </w:r>
      <w:r>
        <w:rPr>
          <w:rFonts w:hint="eastAsia"/>
        </w:rPr>
        <w:t>服务器通信并维护本节点工作负载运行，同时与容器运行时进行镜像拉取、容器创建和生命周期管理，</w:t>
      </w:r>
      <w:r>
        <w:t xml:space="preserve">“kube-proxy” </w:t>
      </w:r>
      <w:r>
        <w:rPr>
          <w:rFonts w:hint="eastAsia"/>
        </w:rPr>
        <w:t>负责服务转发与网络规则实现。用户可以使用</w:t>
      </w:r>
      <w:r>
        <w:t xml:space="preserve"> “kubectl” </w:t>
      </w:r>
      <w:r>
        <w:rPr>
          <w:rFonts w:hint="eastAsia"/>
        </w:rPr>
        <w:t>命令行工具管理整个集群及其资源对象。</w:t>
      </w:r>
    </w:p>
    <w:tbl>
      <w:tblPr>
        <w:tblStyle w:val="18"/>
        <w:tblW w:w="0" w:type="auto"/>
        <w:jc w:val="center"/>
        <w:tblLayout w:type="autofit"/>
        <w:tblCellMar>
          <w:top w:w="0" w:type="dxa"/>
          <w:left w:w="10" w:type="dxa"/>
          <w:bottom w:w="0" w:type="dxa"/>
          <w:right w:w="10" w:type="dxa"/>
        </w:tblCellMar>
      </w:tblPr>
      <w:tblGrid>
        <w:gridCol w:w="6740"/>
      </w:tblGrid>
      <w:tr w14:paraId="521ADBCB">
        <w:tblPrEx>
          <w:tblCellMar>
            <w:top w:w="0" w:type="dxa"/>
            <w:left w:w="10" w:type="dxa"/>
            <w:bottom w:w="0" w:type="dxa"/>
            <w:right w:w="10" w:type="dxa"/>
          </w:tblCellMar>
        </w:tblPrEx>
        <w:trPr>
          <w:jc w:val="center"/>
        </w:trPr>
        <w:tc>
          <w:p w14:paraId="59B05207">
            <w:pPr>
              <w:jc w:val="center"/>
            </w:pPr>
            <w:bookmarkStart w:id="16" w:name="fig:k8s-arch"/>
            <w:r>
              <w:drawing>
                <wp:inline distT="0" distB="0" distL="114300" distR="114300">
                  <wp:extent cx="4267200" cy="2525395"/>
                  <wp:effectExtent l="0" t="0" r="0" b="0"/>
                  <wp:docPr id="2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image"/>
                          <pic:cNvPicPr>
                            <a:picLocks noChangeAspect="1" noChangeArrowheads="1"/>
                          </pic:cNvPicPr>
                        </pic:nvPicPr>
                        <pic:blipFill>
                          <a:blip r:embed="rId7"/>
                          <a:stretch>
                            <a:fillRect/>
                          </a:stretch>
                        </pic:blipFill>
                        <pic:spPr>
                          <a:xfrm>
                            <a:off x="0" y="0"/>
                            <a:ext cx="4267200" cy="2526016"/>
                          </a:xfrm>
                          <a:prstGeom prst="rect">
                            <a:avLst/>
                          </a:prstGeom>
                          <a:noFill/>
                          <a:ln w="9525">
                            <a:noFill/>
                          </a:ln>
                        </pic:spPr>
                      </pic:pic>
                    </a:graphicData>
                  </a:graphic>
                </wp:inline>
              </w:drawing>
            </w:r>
            <w:r>
              <w:t xml:space="preserve"> </w:t>
            </w:r>
            <w:bookmarkStart w:id="17" w:name="fig:k8s-arch"/>
            <w:bookmarkEnd w:id="17"/>
          </w:p>
        </w:tc>
      </w:tr>
      <w:bookmarkEnd w:id="16"/>
    </w:tbl>
    <w:p w14:paraId="08B8C06C">
      <w:pPr>
        <w:pStyle w:val="3"/>
      </w:pPr>
      <w:r>
        <w:t xml:space="preserve">K8s </w:t>
      </w:r>
      <w:r>
        <w:rPr>
          <w:rFonts w:hint="eastAsia"/>
        </w:rPr>
        <w:t>通过一系列持久化</w:t>
      </w:r>
      <w:r>
        <w:rPr>
          <w:rFonts w:hint="eastAsia"/>
          <w:b/>
          <w:bCs/>
        </w:rPr>
        <w:t>资源对象</w:t>
      </w:r>
      <w:r>
        <w:rPr>
          <w:rFonts w:hint="eastAsia"/>
        </w:rPr>
        <w:t>描述集群中不同资源的编排与管理。这类对象通过结构化数据存储在</w:t>
      </w:r>
      <w:r>
        <w:t xml:space="preserve"> etcd </w:t>
      </w:r>
      <w:r>
        <w:rPr>
          <w:rFonts w:hint="eastAsia"/>
        </w:rPr>
        <w:t>数据库中。例如，</w:t>
      </w:r>
      <w:r>
        <w:t xml:space="preserve">“Pod” </w:t>
      </w:r>
      <w:r>
        <w:rPr>
          <w:rFonts w:hint="eastAsia"/>
        </w:rPr>
        <w:t>是最小调度单元，包含一个或多个共享网络与存储的容器；</w:t>
      </w:r>
      <w:r>
        <w:t xml:space="preserve">“Deployment”、“StatefulSet” </w:t>
      </w:r>
      <w:r>
        <w:rPr>
          <w:rFonts w:hint="eastAsia"/>
        </w:rPr>
        <w:t>分别面向无状态、有状态工作负载提供副本控制与更新策略；</w:t>
      </w:r>
      <w:r>
        <w:t xml:space="preserve">“Service” </w:t>
      </w:r>
      <w:r>
        <w:rPr>
          <w:rFonts w:hint="eastAsia"/>
        </w:rPr>
        <w:t>与</w:t>
      </w:r>
      <w:r>
        <w:t xml:space="preserve"> “Endpoint”</w:t>
      </w:r>
      <w:r>
        <w:rPr>
          <w:rFonts w:hint="eastAsia"/>
        </w:rPr>
        <w:t>提供稳定的服务发现与负载均衡抽象；</w:t>
      </w:r>
      <w:r>
        <w:t xml:space="preserve">“Ingress” </w:t>
      </w:r>
      <w:r>
        <w:rPr>
          <w:rFonts w:hint="eastAsia"/>
        </w:rPr>
        <w:t>面向南北向流量提供入口控制；</w:t>
      </w:r>
      <w:r>
        <w:t xml:space="preserve">“ConfigMap” </w:t>
      </w:r>
      <w:r>
        <w:rPr>
          <w:rFonts w:hint="eastAsia"/>
        </w:rPr>
        <w:t>与</w:t>
      </w:r>
      <w:r>
        <w:t xml:space="preserve"> “Secret” </w:t>
      </w:r>
      <w:r>
        <w:rPr>
          <w:rFonts w:hint="eastAsia"/>
        </w:rPr>
        <w:t>用于配置和敏感信息的声明式注入；</w:t>
      </w:r>
      <w:r>
        <w:t xml:space="preserve">“Volume”、“PV” </w:t>
      </w:r>
      <w:r>
        <w:rPr>
          <w:rFonts w:hint="eastAsia"/>
        </w:rPr>
        <w:t>与</w:t>
      </w:r>
      <w:r>
        <w:t xml:space="preserve"> “PVC” </w:t>
      </w:r>
      <w:r>
        <w:rPr>
          <w:rFonts w:hint="eastAsia"/>
        </w:rPr>
        <w:t>则提供存储生命周期与绑定关系的抽象。</w:t>
      </w:r>
      <w:r>
        <w:t xml:space="preserve"> </w:t>
      </w:r>
      <w:r>
        <w:rPr>
          <w:rFonts w:hint="eastAsia"/>
        </w:rPr>
        <w:t>以一个典型的</w:t>
      </w:r>
      <w:r>
        <w:t xml:space="preserve"> “Deployment” </w:t>
      </w:r>
      <w:r>
        <w:rPr>
          <w:rFonts w:hint="eastAsia"/>
        </w:rPr>
        <w:t>对象为例，图</w:t>
      </w:r>
      <w:r>
        <w:t> </w:t>
      </w:r>
      <w:r>
        <w:fldChar w:fldCharType="begin"/>
      </w:r>
      <w:r>
        <w:instrText xml:space="preserve"> HYPERLINK \l "fig:k8s-deployment-yaml" \h </w:instrText>
      </w:r>
      <w:r>
        <w:fldChar w:fldCharType="separate"/>
      </w:r>
      <w:r>
        <w:rPr>
          <w:rStyle w:val="20"/>
        </w:rPr>
        <w:t>2.3</w:t>
      </w:r>
      <w:r>
        <w:rPr>
          <w:rStyle w:val="20"/>
        </w:rPr>
        <w:fldChar w:fldCharType="end"/>
      </w:r>
      <w:r>
        <w:t xml:space="preserve"> </w:t>
      </w:r>
      <w:r>
        <w:rPr>
          <w:rFonts w:hint="eastAsia"/>
        </w:rPr>
        <w:t>展示了其声明格式及各字段含义。其中</w:t>
      </w:r>
      <w:r>
        <w:t xml:space="preserve"> “apiVersion” </w:t>
      </w:r>
      <w:r>
        <w:rPr>
          <w:rFonts w:hint="eastAsia"/>
        </w:rPr>
        <w:t>与</w:t>
      </w:r>
      <w:r>
        <w:t xml:space="preserve"> “kind” </w:t>
      </w:r>
      <w:r>
        <w:rPr>
          <w:rFonts w:hint="eastAsia"/>
        </w:rPr>
        <w:t>共同确定资源所属的</w:t>
      </w:r>
      <w:r>
        <w:t xml:space="preserve"> API </w:t>
      </w:r>
      <w:r>
        <w:rPr>
          <w:rFonts w:hint="eastAsia"/>
        </w:rPr>
        <w:t>组、版本及对象类型；</w:t>
      </w:r>
      <w:r>
        <w:t xml:space="preserve">“metadata” </w:t>
      </w:r>
      <w:r>
        <w:rPr>
          <w:rFonts w:hint="eastAsia"/>
        </w:rPr>
        <w:t>包含对象的基本标识，其中</w:t>
      </w:r>
      <w:r>
        <w:t xml:space="preserve"> “name” </w:t>
      </w:r>
      <w:r>
        <w:rPr>
          <w:rFonts w:hint="eastAsia"/>
        </w:rPr>
        <w:t>与</w:t>
      </w:r>
      <w:r>
        <w:t xml:space="preserve"> “namespace” </w:t>
      </w:r>
      <w:r>
        <w:rPr>
          <w:rFonts w:hint="eastAsia"/>
        </w:rPr>
        <w:t>唯一确定对象在集群中的位置，</w:t>
      </w:r>
      <w:r>
        <w:t xml:space="preserve">“labels” </w:t>
      </w:r>
      <w:r>
        <w:rPr>
          <w:rFonts w:hint="eastAsia"/>
        </w:rPr>
        <w:t>为对象附加键值对标签以供选择器关联，</w:t>
      </w:r>
      <w:r>
        <w:t xml:space="preserve">“annotations” </w:t>
      </w:r>
      <w:r>
        <w:rPr>
          <w:rFonts w:hint="eastAsia"/>
        </w:rPr>
        <w:t>则用于存放不影响调度逻辑的补充说明信息；</w:t>
      </w:r>
      <w:r>
        <w:t xml:space="preserve">“spec” </w:t>
      </w:r>
      <w:r>
        <w:rPr>
          <w:rFonts w:hint="eastAsia"/>
        </w:rPr>
        <w:t>字段承载对象的期望状态声明，其具体字段因</w:t>
      </w:r>
      <w:r>
        <w:t xml:space="preserve"> “kind” </w:t>
      </w:r>
      <w:r>
        <w:rPr>
          <w:rFonts w:hint="eastAsia"/>
        </w:rPr>
        <w:t>不同而差异显著，控制器将持续对比此声明与集群实际状态并自动进行调节。</w:t>
      </w:r>
    </w:p>
    <w:tbl>
      <w:tblPr>
        <w:tblStyle w:val="18"/>
        <w:tblW w:w="0" w:type="auto"/>
        <w:jc w:val="center"/>
        <w:tblLayout w:type="autofit"/>
        <w:tblCellMar>
          <w:top w:w="0" w:type="dxa"/>
          <w:left w:w="10" w:type="dxa"/>
          <w:bottom w:w="0" w:type="dxa"/>
          <w:right w:w="10" w:type="dxa"/>
        </w:tblCellMar>
      </w:tblPr>
      <w:tblGrid>
        <w:gridCol w:w="7828"/>
        <w:gridCol w:w="26"/>
      </w:tblGrid>
      <w:tr w14:paraId="356F5BA5">
        <w:tblPrEx>
          <w:tblCellMar>
            <w:top w:w="0" w:type="dxa"/>
            <w:left w:w="10" w:type="dxa"/>
            <w:bottom w:w="0" w:type="dxa"/>
            <w:right w:w="10" w:type="dxa"/>
          </w:tblCellMar>
        </w:tblPrEx>
        <w:trPr>
          <w:jc w:val="center"/>
        </w:trPr>
        <w:tc>
          <w:p w14:paraId="7D62FA13">
            <w:pPr>
              <w:pStyle w:val="49"/>
              <w:jc w:val="center"/>
            </w:pPr>
            <w:bookmarkStart w:id="18" w:name="fig:k8s-deployment-yaml"/>
            <w:r>
              <w:rPr>
                <w:rStyle w:val="48"/>
              </w:rPr>
              <w:t xml:space="preserve">apiVersion: apps/v1      # API </w:t>
            </w:r>
            <w:r>
              <w:rPr>
                <w:rStyle w:val="48"/>
                <w:rFonts w:hint="eastAsia"/>
              </w:rPr>
              <w:t>组与版本(如</w:t>
            </w:r>
            <w:r>
              <w:rPr>
                <w:rStyle w:val="48"/>
              </w:rPr>
              <w:t xml:space="preserve"> v1、apps/v1)</w:t>
            </w:r>
            <w:r>
              <w:br w:type="textWrapping"/>
            </w:r>
            <w:r>
              <w:rPr>
                <w:rStyle w:val="48"/>
              </w:rPr>
              <w:t xml:space="preserve">kind: Deployment         # </w:t>
            </w:r>
            <w:r>
              <w:rPr>
                <w:rStyle w:val="48"/>
                <w:rFonts w:hint="eastAsia"/>
              </w:rPr>
              <w:t>资源类型(如</w:t>
            </w:r>
            <w:r>
              <w:rPr>
                <w:rStyle w:val="48"/>
              </w:rPr>
              <w:t xml:space="preserve"> Pod、Service、ConfigMap </w:t>
            </w:r>
            <w:r>
              <w:rPr>
                <w:rStyle w:val="48"/>
                <w:rFonts w:hint="eastAsia"/>
              </w:rPr>
              <w:t>等)</w:t>
            </w:r>
            <w:r>
              <w:br w:type="textWrapping"/>
            </w:r>
            <w:r>
              <w:rPr>
                <w:rStyle w:val="48"/>
              </w:rPr>
              <w:t>metadata:</w:t>
            </w:r>
            <w:r>
              <w:br w:type="textWrapping"/>
            </w:r>
            <w:r>
              <w:rPr>
                <w:rStyle w:val="48"/>
              </w:rPr>
              <w:t xml:space="preserve">  name: web-app          # </w:t>
            </w:r>
            <w:r>
              <w:rPr>
                <w:rStyle w:val="48"/>
                <w:rFonts w:hint="eastAsia"/>
              </w:rPr>
              <w:t>对象名称，在同命名空间内唯一</w:t>
            </w:r>
            <w:r>
              <w:br w:type="textWrapping"/>
            </w:r>
            <w:r>
              <w:rPr>
                <w:rStyle w:val="48"/>
              </w:rPr>
              <w:t xml:space="preserve">  namespace: default     # </w:t>
            </w:r>
            <w:r>
              <w:rPr>
                <w:rStyle w:val="48"/>
                <w:rFonts w:hint="eastAsia"/>
              </w:rPr>
              <w:t>所属命名空间</w:t>
            </w:r>
            <w:r>
              <w:br w:type="textWrapping"/>
            </w:r>
            <w:r>
              <w:rPr>
                <w:rStyle w:val="48"/>
              </w:rPr>
              <w:t xml:space="preserve">  labels:                # </w:t>
            </w:r>
            <w:r>
              <w:rPr>
                <w:rStyle w:val="48"/>
                <w:rFonts w:hint="eastAsia"/>
              </w:rPr>
              <w:t>键值对标签，供选择器关联匹配</w:t>
            </w:r>
            <w:r>
              <w:br w:type="textWrapping"/>
            </w:r>
            <w:r>
              <w:rPr>
                <w:rStyle w:val="48"/>
              </w:rPr>
              <w:t xml:space="preserve">    app: web-app</w:t>
            </w:r>
            <w:r>
              <w:br w:type="textWrapping"/>
            </w:r>
            <w:r>
              <w:rPr>
                <w:rStyle w:val="48"/>
              </w:rPr>
              <w:t xml:space="preserve">  annotations:           # </w:t>
            </w:r>
            <w:r>
              <w:rPr>
                <w:rStyle w:val="48"/>
                <w:rFonts w:hint="eastAsia"/>
              </w:rPr>
              <w:t>补充说明信息，不影响调度逻辑</w:t>
            </w:r>
            <w:r>
              <w:br w:type="textWrapping"/>
            </w:r>
            <w:r>
              <w:rPr>
                <w:rStyle w:val="48"/>
              </w:rPr>
              <w:t xml:space="preserve">    owner: team-a</w:t>
            </w:r>
            <w:r>
              <w:br w:type="textWrapping"/>
            </w:r>
            <w:r>
              <w:rPr>
                <w:rStyle w:val="48"/>
              </w:rPr>
              <w:t xml:space="preserve">spec:                    # </w:t>
            </w:r>
            <w:r>
              <w:rPr>
                <w:rStyle w:val="48"/>
                <w:rFonts w:hint="eastAsia"/>
              </w:rPr>
              <w:t>期望状态声明(字段因</w:t>
            </w:r>
            <w:r>
              <w:rPr>
                <w:rStyle w:val="48"/>
              </w:rPr>
              <w:t xml:space="preserve"> kind </w:t>
            </w:r>
            <w:r>
              <w:rPr>
                <w:rStyle w:val="48"/>
                <w:rFonts w:hint="eastAsia"/>
              </w:rPr>
              <w:t>而异)</w:t>
            </w:r>
            <w:r>
              <w:br w:type="textWrapping"/>
            </w:r>
            <w:r>
              <w:rPr>
                <w:rStyle w:val="48"/>
              </w:rPr>
              <w:t xml:space="preserve">  ...</w:t>
            </w:r>
          </w:p>
        </w:tc>
        <w:tc>
          <w:p w14:paraId="293A8191">
            <w:pPr>
              <w:jc w:val="center"/>
            </w:pPr>
            <w:bookmarkStart w:id="19" w:name="fig:k8s-deployment-yaml"/>
            <w:bookmarkEnd w:id="19"/>
          </w:p>
        </w:tc>
      </w:tr>
      <w:bookmarkEnd w:id="15"/>
      <w:bookmarkEnd w:id="18"/>
    </w:tbl>
    <w:p w14:paraId="56EF0100">
      <w:pPr>
        <w:pStyle w:val="5"/>
      </w:pPr>
      <w:bookmarkStart w:id="20" w:name="k8s-权限模型"/>
      <w:r>
        <w:t xml:space="preserve">K8s </w:t>
      </w:r>
      <w:r>
        <w:rPr>
          <w:rFonts w:hint="eastAsia"/>
        </w:rPr>
        <w:t>权限模型</w:t>
      </w:r>
    </w:p>
    <w:p w14:paraId="5DC7CE5E">
      <w:pPr>
        <w:pStyle w:val="23"/>
      </w:pPr>
      <w:r>
        <w:rPr>
          <w:rFonts w:hint="eastAsia"/>
        </w:rPr>
        <w:t>基于角色的访问控制(RBAC)是</w:t>
      </w:r>
      <w:r>
        <w:t xml:space="preserve"> K8s </w:t>
      </w:r>
      <w:r>
        <w:rPr>
          <w:rFonts w:hint="eastAsia"/>
        </w:rPr>
        <w:t>授权机制的核心</w:t>
      </w:r>
      <w:r>
        <w:t>(Kubernetes 2024)</w:t>
      </w:r>
      <w:r>
        <w:rPr>
          <w:rFonts w:hint="eastAsia"/>
        </w:rPr>
        <w:t>。图</w:t>
      </w:r>
      <w:r>
        <w:t> </w:t>
      </w:r>
      <w:r>
        <w:fldChar w:fldCharType="begin"/>
      </w:r>
      <w:r>
        <w:instrText xml:space="preserve"> HYPERLINK \l "fig:k8s-rbac-yaml" \h </w:instrText>
      </w:r>
      <w:r>
        <w:fldChar w:fldCharType="separate"/>
      </w:r>
      <w:r>
        <w:rPr>
          <w:rStyle w:val="20"/>
        </w:rPr>
        <w:t>2.4</w:t>
      </w:r>
      <w:r>
        <w:rPr>
          <w:rStyle w:val="20"/>
        </w:rPr>
        <w:fldChar w:fldCharType="end"/>
      </w:r>
      <w:r>
        <w:t xml:space="preserve"> </w:t>
      </w:r>
      <w:r>
        <w:rPr>
          <w:rFonts w:hint="eastAsia"/>
        </w:rPr>
        <w:t>左侧展示了权限元模型的形式化表达。该模型可以概括为</w:t>
      </w:r>
      <w:r>
        <w:rPr>
          <w:rFonts w:hint="eastAsia"/>
          <w:b/>
          <w:bCs/>
        </w:rPr>
        <w:t>主语、动作与对象</w:t>
      </w:r>
      <w:r>
        <w:rPr>
          <w:rFonts w:hint="eastAsia"/>
        </w:rPr>
        <w:t>之间的授权关系，即界定何种实体被允许对何种资源执行何种操作，其中：</w:t>
      </w:r>
    </w:p>
    <w:p w14:paraId="2E567C2C">
      <w:pPr>
        <w:numPr>
          <w:ilvl w:val="0"/>
          <w:numId w:val="1"/>
        </w:numPr>
      </w:pPr>
      <w:r>
        <w:rPr>
          <w:rFonts w:hint="eastAsia"/>
          <w:b/>
          <w:bCs/>
        </w:rPr>
        <w:t>服务账户(ServiceAccount)</w:t>
      </w:r>
      <w:r>
        <w:rPr>
          <w:rFonts w:hint="eastAsia"/>
        </w:rPr>
        <w:t>对应模型中的主语节点，表示发起请求的身份载体。在</w:t>
      </w:r>
      <w:r>
        <w:t xml:space="preserve"> K8s </w:t>
      </w:r>
      <w:r>
        <w:rPr>
          <w:rFonts w:hint="eastAsia"/>
        </w:rPr>
        <w:t>中，工作负载通常通过</w:t>
      </w:r>
      <w:r>
        <w:t xml:space="preserve"> ServiceAccount </w:t>
      </w:r>
      <w:r>
        <w:rPr>
          <w:rFonts w:hint="eastAsia"/>
        </w:rPr>
        <w:t>与控制平面交互。</w:t>
      </w:r>
    </w:p>
    <w:p w14:paraId="5E29B999">
      <w:pPr>
        <w:numPr>
          <w:ilvl w:val="0"/>
          <w:numId w:val="1"/>
        </w:numPr>
      </w:pPr>
      <w:r>
        <w:rPr>
          <w:rFonts w:hint="eastAsia"/>
          <w:b/>
          <w:bCs/>
        </w:rPr>
        <w:t>权限角色(Role/ClusterRole)</w:t>
      </w:r>
      <w:r>
        <w:rPr>
          <w:rFonts w:hint="eastAsia"/>
        </w:rPr>
        <w:t>对应模型中的动作与对象约束，用于声明在特定作用域内针对各类资源(</w:t>
      </w:r>
      <w:r>
        <w:t>“resources”</w:t>
      </w:r>
      <w:r>
        <w:rPr>
          <w:rFonts w:hint="eastAsia"/>
        </w:rPr>
        <w:t>)允许执行的操作动词(</w:t>
      </w:r>
      <w:r>
        <w:t>“verbs”</w:t>
      </w:r>
      <w:r>
        <w:rPr>
          <w:rFonts w:hint="eastAsia"/>
        </w:rPr>
        <w:t>)集合。</w:t>
      </w:r>
    </w:p>
    <w:p w14:paraId="4E99558A">
      <w:pPr>
        <w:numPr>
          <w:ilvl w:val="0"/>
          <w:numId w:val="1"/>
        </w:numPr>
      </w:pPr>
      <w:r>
        <w:rPr>
          <w:rFonts w:hint="eastAsia"/>
          <w:b/>
          <w:bCs/>
        </w:rPr>
        <w:t>角色绑定(RoleBinding/ClusterRoleBinding)</w:t>
      </w:r>
      <w:r>
        <w:rPr>
          <w:rFonts w:hint="eastAsia"/>
        </w:rPr>
        <w:t>负责建立服务账户与权限角色之间的关联关系，从而完成授权。</w:t>
      </w:r>
    </w:p>
    <w:p w14:paraId="55E36AA3">
      <w:pPr>
        <w:pStyle w:val="23"/>
      </w:pPr>
      <w:r>
        <w:rPr>
          <w:rFonts w:hint="eastAsia"/>
        </w:rPr>
        <w:t>图</w:t>
      </w:r>
      <w:r>
        <w:t> </w:t>
      </w:r>
      <w:r>
        <w:fldChar w:fldCharType="begin"/>
      </w:r>
      <w:r>
        <w:instrText xml:space="preserve"> HYPERLINK \l "fig:k8s-rbac-yaml" \h </w:instrText>
      </w:r>
      <w:r>
        <w:fldChar w:fldCharType="separate"/>
      </w:r>
      <w:r>
        <w:rPr>
          <w:rStyle w:val="20"/>
        </w:rPr>
        <w:t>2.4</w:t>
      </w:r>
      <w:r>
        <w:rPr>
          <w:rStyle w:val="20"/>
        </w:rPr>
        <w:fldChar w:fldCharType="end"/>
      </w:r>
      <w:r>
        <w:t xml:space="preserve"> </w:t>
      </w:r>
      <w:r>
        <w:rPr>
          <w:rFonts w:hint="eastAsia"/>
        </w:rPr>
        <w:t>右侧给出了一个典型的</w:t>
      </w:r>
      <w:r>
        <w:t xml:space="preserve"> RBAC </w:t>
      </w:r>
      <w:r>
        <w:rPr>
          <w:rFonts w:hint="eastAsia"/>
        </w:rPr>
        <w:t>授权流程示例：首先创建名为</w:t>
      </w:r>
      <w:r>
        <w:t xml:space="preserve"> “kada” </w:t>
      </w:r>
      <w:r>
        <w:rPr>
          <w:rFonts w:hint="eastAsia"/>
        </w:rPr>
        <w:t>的</w:t>
      </w:r>
      <w:r>
        <w:t xml:space="preserve"> “ServiceAccount”</w:t>
      </w:r>
      <w:r>
        <w:rPr>
          <w:rFonts w:hint="eastAsia"/>
        </w:rPr>
        <w:t>；随后定义名为</w:t>
      </w:r>
      <w:r>
        <w:t xml:space="preserve"> “basic-operation” </w:t>
      </w:r>
      <w:r>
        <w:rPr>
          <w:rFonts w:hint="eastAsia"/>
        </w:rPr>
        <w:t>的</w:t>
      </w:r>
      <w:r>
        <w:t xml:space="preserve"> “Role”</w:t>
      </w:r>
      <w:r>
        <w:rPr>
          <w:rFonts w:hint="eastAsia"/>
        </w:rPr>
        <w:t>，并在其</w:t>
      </w:r>
      <w:r>
        <w:t xml:space="preserve"> “rules” </w:t>
      </w:r>
      <w:r>
        <w:rPr>
          <w:rFonts w:hint="eastAsia"/>
        </w:rPr>
        <w:t>字段中授予对</w:t>
      </w:r>
      <w:r>
        <w:t xml:space="preserve"> “pods” </w:t>
      </w:r>
      <w:r>
        <w:rPr>
          <w:rFonts w:hint="eastAsia"/>
        </w:rPr>
        <w:t>与</w:t>
      </w:r>
      <w:r>
        <w:t xml:space="preserve"> “secrets” </w:t>
      </w:r>
      <w:r>
        <w:rPr>
          <w:rFonts w:hint="eastAsia"/>
        </w:rPr>
        <w:t>的</w:t>
      </w:r>
      <w:r>
        <w:t xml:space="preserve"> “get”、“list”、“create” </w:t>
      </w:r>
      <w:r>
        <w:rPr>
          <w:rFonts w:hint="eastAsia"/>
        </w:rPr>
        <w:t>权限；最后通过</w:t>
      </w:r>
      <w:r>
        <w:t xml:space="preserve"> “RoleBinding” </w:t>
      </w:r>
      <w:r>
        <w:rPr>
          <w:rFonts w:hint="eastAsia"/>
        </w:rPr>
        <w:t>将该</w:t>
      </w:r>
      <w:r>
        <w:t xml:space="preserve"> “Role” </w:t>
      </w:r>
      <w:r>
        <w:rPr>
          <w:rFonts w:hint="eastAsia"/>
        </w:rPr>
        <w:t>绑定至</w:t>
      </w:r>
      <w:r>
        <w:t xml:space="preserve"> “kada” </w:t>
      </w:r>
      <w:r>
        <w:rPr>
          <w:rFonts w:hint="eastAsia"/>
        </w:rPr>
        <w:t>账户。这类配置在接入第三方应用时较为常见，但若授予的权限范围超出实际需要，就可能引发权限提升风险。</w:t>
      </w:r>
    </w:p>
    <w:tbl>
      <w:tblPr>
        <w:tblStyle w:val="18"/>
        <w:tblW w:w="0" w:type="auto"/>
        <w:jc w:val="center"/>
        <w:tblLayout w:type="autofit"/>
        <w:tblCellMar>
          <w:top w:w="0" w:type="dxa"/>
          <w:left w:w="10" w:type="dxa"/>
          <w:bottom w:w="0" w:type="dxa"/>
          <w:right w:w="10" w:type="dxa"/>
        </w:tblCellMar>
      </w:tblPr>
      <w:tblGrid>
        <w:gridCol w:w="8000"/>
      </w:tblGrid>
      <w:tr w14:paraId="0F42614B">
        <w:tblPrEx>
          <w:tblCellMar>
            <w:top w:w="0" w:type="dxa"/>
            <w:left w:w="10" w:type="dxa"/>
            <w:bottom w:w="0" w:type="dxa"/>
            <w:right w:w="10" w:type="dxa"/>
          </w:tblCellMar>
        </w:tblPrEx>
        <w:trPr>
          <w:jc w:val="center"/>
        </w:trPr>
        <w:tc>
          <w:p w14:paraId="22ACB65A">
            <w:pPr>
              <w:jc w:val="center"/>
            </w:pPr>
            <w:bookmarkStart w:id="21" w:name="fig:k8s-rbac-yaml"/>
            <w:r>
              <w:drawing>
                <wp:inline distT="0" distB="0" distL="114300" distR="114300">
                  <wp:extent cx="5067300" cy="1667510"/>
                  <wp:effectExtent l="0" t="0" r="0" b="0"/>
                  <wp:docPr id="3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image"/>
                          <pic:cNvPicPr>
                            <a:picLocks noChangeAspect="1" noChangeArrowheads="1"/>
                          </pic:cNvPicPr>
                        </pic:nvPicPr>
                        <pic:blipFill>
                          <a:blip r:embed="rId8"/>
                          <a:stretch>
                            <a:fillRect/>
                          </a:stretch>
                        </pic:blipFill>
                        <pic:spPr>
                          <a:xfrm>
                            <a:off x="0" y="0"/>
                            <a:ext cx="5067300" cy="1667804"/>
                          </a:xfrm>
                          <a:prstGeom prst="rect">
                            <a:avLst/>
                          </a:prstGeom>
                          <a:noFill/>
                          <a:ln w="9525">
                            <a:noFill/>
                          </a:ln>
                        </pic:spPr>
                      </pic:pic>
                    </a:graphicData>
                  </a:graphic>
                </wp:inline>
              </w:drawing>
            </w:r>
            <w:r>
              <w:t xml:space="preserve"> </w:t>
            </w:r>
            <w:bookmarkStart w:id="22" w:name="fig:k8s-rbac-yaml"/>
            <w:bookmarkEnd w:id="22"/>
          </w:p>
        </w:tc>
      </w:tr>
      <w:bookmarkEnd w:id="20"/>
      <w:bookmarkEnd w:id="21"/>
    </w:tbl>
    <w:p w14:paraId="14D05DDE">
      <w:pPr>
        <w:pStyle w:val="5"/>
      </w:pPr>
      <w:bookmarkStart w:id="23" w:name="k8s-权限提升漏洞"/>
      <w:r>
        <w:t xml:space="preserve">K8s </w:t>
      </w:r>
      <w:r>
        <w:rPr>
          <w:rFonts w:hint="eastAsia"/>
        </w:rPr>
        <w:t>权限提升漏洞</w:t>
      </w:r>
    </w:p>
    <w:p w14:paraId="68D30D75">
      <w:pPr>
        <w:pStyle w:val="23"/>
      </w:pPr>
      <w:r>
        <w:rPr>
          <w:rFonts w:hint="eastAsia"/>
        </w:rPr>
        <w:t>权限提升是指攻击者在仅具备受限权限或初始执行能力的情况下，借助漏洞或错误配置将自身权限提升到更高等级的过程</w:t>
      </w:r>
      <w:r>
        <w:t>(Bishop 2003)。</w:t>
      </w:r>
    </w:p>
    <w:p w14:paraId="54E804C6">
      <w:pPr>
        <w:pStyle w:val="3"/>
      </w:pPr>
      <w:r>
        <w:rPr>
          <w:rFonts w:hint="eastAsia"/>
        </w:rPr>
        <w:t>在</w:t>
      </w:r>
      <w:r>
        <w:t xml:space="preserve"> K8s </w:t>
      </w:r>
      <w:r>
        <w:rPr>
          <w:rFonts w:hint="eastAsia"/>
        </w:rPr>
        <w:t>场景下，权限提升表现为授权范围扩大或横向获取，或节点侧系统权限提升，从而影响更大范围的资源与工作负载。一方面，单个节点往往承载多个</w:t>
      </w:r>
      <w:r>
        <w:t xml:space="preserve"> </w:t>
      </w:r>
      <w:r>
        <w:rPr>
          <w:rFonts w:hint="eastAsia"/>
        </w:rPr>
        <w:t>Pod，一旦节点侧权限提升成功，攻击者便可能对同节点上的多个工作负载实施敏感信息窃取、运行环境篡改或恶意组件注入。另一方面，K8s</w:t>
      </w:r>
      <w:r>
        <w:t xml:space="preserve"> </w:t>
      </w:r>
      <w:r>
        <w:rPr>
          <w:rFonts w:hint="eastAsia"/>
        </w:rPr>
        <w:t>的资源对象与运维动作高度集中且自动化，控制平面授权不当也会显著放大攻击后果。结合图</w:t>
      </w:r>
      <w:r>
        <w:t> </w:t>
      </w:r>
      <w:r>
        <w:fldChar w:fldCharType="begin"/>
      </w:r>
      <w:r>
        <w:instrText xml:space="preserve"> HYPERLINK \l "fig:k8s-rbac-yaml" \h </w:instrText>
      </w:r>
      <w:r>
        <w:fldChar w:fldCharType="separate"/>
      </w:r>
      <w:r>
        <w:rPr>
          <w:rStyle w:val="20"/>
        </w:rPr>
        <w:t>2.4</w:t>
      </w:r>
      <w:r>
        <w:rPr>
          <w:rStyle w:val="20"/>
        </w:rPr>
        <w:fldChar w:fldCharType="end"/>
      </w:r>
      <w:r>
        <w:rPr>
          <w:rFonts w:hint="eastAsia"/>
        </w:rPr>
        <w:t>中的示例，若主体被授予针对</w:t>
      </w:r>
      <w:r>
        <w:t xml:space="preserve"> “Secret” </w:t>
      </w:r>
      <w:r>
        <w:rPr>
          <w:rFonts w:hint="eastAsia"/>
        </w:rPr>
        <w:t>的</w:t>
      </w:r>
      <w:r>
        <w:t xml:space="preserve"> “get”/“list” </w:t>
      </w:r>
      <w:r>
        <w:rPr>
          <w:rFonts w:hint="eastAsia"/>
        </w:rPr>
        <w:t>权限，攻击者即可读取服务账户令牌、数据库口令或</w:t>
      </w:r>
      <w:r>
        <w:t xml:space="preserve"> API </w:t>
      </w:r>
      <w:r>
        <w:rPr>
          <w:rFonts w:hint="eastAsia"/>
        </w:rPr>
        <w:t>密钥等敏感信息；若被授予针对</w:t>
      </w:r>
      <w:r>
        <w:t xml:space="preserve"> “Pod” </w:t>
      </w:r>
      <w:r>
        <w:rPr>
          <w:rFonts w:hint="eastAsia"/>
        </w:rPr>
        <w:t>的</w:t>
      </w:r>
      <w:r>
        <w:t xml:space="preserve"> “create” </w:t>
      </w:r>
      <w:r>
        <w:rPr>
          <w:rFonts w:hint="eastAsia"/>
        </w:rPr>
        <w:t>权限，则可能进一步创建携带恶意镜像、特权配置或宿主机挂载的工作负载，作为横向移动、凭据窃取乃至后续节点侧利用的跳板。</w:t>
      </w:r>
    </w:p>
    <w:p w14:paraId="1B0D4286">
      <w:pPr>
        <w:pStyle w:val="3"/>
      </w:pPr>
      <w:r>
        <w:rPr>
          <w:rFonts w:hint="eastAsia"/>
        </w:rPr>
        <w:t>图</w:t>
      </w:r>
      <w:r>
        <w:fldChar w:fldCharType="begin"/>
      </w:r>
      <w:r>
        <w:instrText xml:space="preserve"> HYPERLINK \l "fig:cve-2024-33522" \h </w:instrText>
      </w:r>
      <w:r>
        <w:fldChar w:fldCharType="separate"/>
      </w:r>
      <w:r>
        <w:rPr>
          <w:rStyle w:val="20"/>
        </w:rPr>
        <w:t>2.5</w:t>
      </w:r>
      <w:r>
        <w:rPr>
          <w:rStyle w:val="20"/>
        </w:rPr>
        <w:fldChar w:fldCharType="end"/>
      </w:r>
      <w:r>
        <w:t xml:space="preserve"> </w:t>
      </w:r>
      <w:r>
        <w:rPr>
          <w:rFonts w:hint="eastAsia"/>
        </w:rPr>
        <w:t>以</w:t>
      </w:r>
      <w:r>
        <w:t xml:space="preserve"> CVE-2024-33522 </w:t>
      </w:r>
      <w:r>
        <w:rPr>
          <w:rFonts w:hint="eastAsia"/>
        </w:rPr>
        <w:t>为例展示了典型的节点侧权限提升漏洞。该漏洞源于网络插件</w:t>
      </w:r>
      <w:r>
        <w:t>“Calico”</w:t>
      </w:r>
      <w:r>
        <w:rPr>
          <w:rFonts w:hint="eastAsia"/>
        </w:rPr>
        <w:t>安装程序的</w:t>
      </w:r>
      <w:r>
        <w:t xml:space="preserve"> SUID </w:t>
      </w:r>
      <w:r>
        <w:rPr>
          <w:rFonts w:hint="eastAsia"/>
        </w:rPr>
        <w:t>位配置不当。若攻击者借助弱口令或服务暴露等前置手段获取节点本地访问权限，便可注入恶意二进制文件，并诱导安装程序以高权限执行。越权成功后，攻击者可以直接接管容器运行时数据、窃取高权限凭据并干扰网络组件，其影响将突破单一工作负载的隔离边界，迅速蔓延至整个集群。</w:t>
      </w:r>
    </w:p>
    <w:tbl>
      <w:tblPr>
        <w:tblStyle w:val="18"/>
        <w:tblW w:w="0" w:type="auto"/>
        <w:jc w:val="center"/>
        <w:tblLayout w:type="autofit"/>
        <w:tblCellMar>
          <w:top w:w="0" w:type="dxa"/>
          <w:left w:w="10" w:type="dxa"/>
          <w:bottom w:w="0" w:type="dxa"/>
          <w:right w:w="10" w:type="dxa"/>
        </w:tblCellMar>
      </w:tblPr>
      <w:tblGrid>
        <w:gridCol w:w="8420"/>
      </w:tblGrid>
      <w:tr w14:paraId="1B953DEC">
        <w:tblPrEx>
          <w:tblCellMar>
            <w:top w:w="0" w:type="dxa"/>
            <w:left w:w="10" w:type="dxa"/>
            <w:bottom w:w="0" w:type="dxa"/>
            <w:right w:w="10" w:type="dxa"/>
          </w:tblCellMar>
        </w:tblPrEx>
        <w:trPr>
          <w:jc w:val="center"/>
        </w:trPr>
        <w:tc>
          <w:p w14:paraId="6CE41056">
            <w:pPr>
              <w:jc w:val="center"/>
            </w:pPr>
            <w:bookmarkStart w:id="24" w:name="fig:cve-2024-33522"/>
            <w:r>
              <w:drawing>
                <wp:inline distT="0" distB="0" distL="114300" distR="114300">
                  <wp:extent cx="5334000" cy="2841625"/>
                  <wp:effectExtent l="0" t="0" r="0" b="0"/>
                  <wp:docPr id="4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image"/>
                          <pic:cNvPicPr>
                            <a:picLocks noChangeAspect="1" noChangeArrowheads="1"/>
                          </pic:cNvPicPr>
                        </pic:nvPicPr>
                        <pic:blipFill>
                          <a:blip r:embed="rId9"/>
                          <a:stretch>
                            <a:fillRect/>
                          </a:stretch>
                        </pic:blipFill>
                        <pic:spPr>
                          <a:xfrm>
                            <a:off x="0" y="0"/>
                            <a:ext cx="5334000" cy="2841760"/>
                          </a:xfrm>
                          <a:prstGeom prst="rect">
                            <a:avLst/>
                          </a:prstGeom>
                          <a:noFill/>
                          <a:ln w="9525">
                            <a:noFill/>
                          </a:ln>
                        </pic:spPr>
                      </pic:pic>
                    </a:graphicData>
                  </a:graphic>
                </wp:inline>
              </w:drawing>
            </w:r>
            <w:r>
              <w:t xml:space="preserve"> </w:t>
            </w:r>
            <w:bookmarkStart w:id="25" w:name="fig:cve-2024-33522"/>
            <w:bookmarkEnd w:id="25"/>
          </w:p>
        </w:tc>
      </w:tr>
      <w:bookmarkEnd w:id="23"/>
      <w:bookmarkEnd w:id="24"/>
    </w:tbl>
    <w:p w14:paraId="3D226E1A">
      <w:pPr>
        <w:pStyle w:val="5"/>
      </w:pPr>
      <w:bookmarkStart w:id="26" w:name="云原生安全技术"/>
      <w:r>
        <w:rPr>
          <w:rFonts w:hint="eastAsia"/>
        </w:rPr>
        <w:t>云原生安全技术</w:t>
      </w:r>
    </w:p>
    <w:p w14:paraId="280DB752">
      <w:pPr>
        <w:pStyle w:val="23"/>
      </w:pPr>
      <w:r>
        <w:rPr>
          <w:rFonts w:hint="eastAsia"/>
        </w:rPr>
        <w:t>云原生安全技术围绕镜像构建、资源准入、网络通信和运行时行为等容器应用的生命周期环节，常见工具大多以规则化策略或声明式配置为载体，用于在不同阶段识别或约束风险，可分为静态风险扫描工具与动态监控工具，共同构成</w:t>
      </w:r>
      <w:r>
        <w:t xml:space="preserve"> K8s </w:t>
      </w:r>
      <w:r>
        <w:rPr>
          <w:rFonts w:hint="eastAsia"/>
        </w:rPr>
        <w:t>集群全生命周期安全治理的基础能力。</w:t>
      </w:r>
    </w:p>
    <w:p w14:paraId="0BBA2FDA">
      <w:pPr>
        <w:pStyle w:val="3"/>
      </w:pPr>
      <w:r>
        <w:rPr>
          <w:rFonts w:hint="eastAsia"/>
        </w:rPr>
        <w:t>静态风险扫描工具主要关注配置文件安全风险，用于在镜像构建与部署前发现已知漏洞、弱配置和权限异常。代表性工具包括</w:t>
      </w:r>
      <w:r>
        <w:t xml:space="preserve"> Trivy(Aqua Security 2025)、Grype/Anchore(Anchore 2025a) </w:t>
      </w:r>
      <w:r>
        <w:rPr>
          <w:rFonts w:hint="eastAsia"/>
        </w:rPr>
        <w:t>等镜像与依赖漏洞扫描工具，Syft</w:t>
      </w:r>
      <w:r>
        <w:t xml:space="preserve">(Anchore 2025b) </w:t>
      </w:r>
      <w:r>
        <w:rPr>
          <w:rFonts w:hint="eastAsia"/>
        </w:rPr>
        <w:t>等</w:t>
      </w:r>
      <w:r>
        <w:t xml:space="preserve"> SBOM </w:t>
      </w:r>
      <w:r>
        <w:rPr>
          <w:rFonts w:hint="eastAsia"/>
        </w:rPr>
        <w:t>生成工具，以及</w:t>
      </w:r>
      <w:r>
        <w:t xml:space="preserve"> Krane(Appvia 2024)、kube-linter(kube-linter 2025)、kube-score(kube-score 2025)、KubeSec(KubeSec 2025)、Polaris(Fairwinds 2025)、Checkov(Bridgecrew (Checkov) 2025)、KubiScan(CyberArk 2024)、Kubescape(Kubescape 2025) </w:t>
      </w:r>
      <w:r>
        <w:rPr>
          <w:rFonts w:hint="eastAsia"/>
        </w:rPr>
        <w:t>和</w:t>
      </w:r>
      <w:r>
        <w:t xml:space="preserve"> RBAC Police(Networks 2022) </w:t>
      </w:r>
      <w:r>
        <w:rPr>
          <w:rFonts w:hint="eastAsia"/>
        </w:rPr>
        <w:t>等面向清单、IaC</w:t>
      </w:r>
      <w:r>
        <w:t xml:space="preserve"> </w:t>
      </w:r>
      <w:r>
        <w:rPr>
          <w:rFonts w:hint="eastAsia"/>
        </w:rPr>
        <w:t>与</w:t>
      </w:r>
      <w:r>
        <w:t xml:space="preserve"> RBAC </w:t>
      </w:r>
      <w:r>
        <w:rPr>
          <w:rFonts w:hint="eastAsia"/>
        </w:rPr>
        <w:t>的规则化审计工具。这类方法便于集成到</w:t>
      </w:r>
      <w:r>
        <w:t xml:space="preserve"> CI/CD </w:t>
      </w:r>
      <w:r>
        <w:rPr>
          <w:rFonts w:hint="eastAsia"/>
        </w:rPr>
        <w:t>流程中，能够提前暴露高风险对象，但其判断依据主要来自既有漏洞库、配置基线和审计规则，对特定漏洞的真实利用条件仍缺乏上下文感知能力。</w:t>
      </w:r>
    </w:p>
    <w:p w14:paraId="5289F7B6">
      <w:pPr>
        <w:pStyle w:val="3"/>
      </w:pPr>
      <w:r>
        <w:rPr>
          <w:rFonts w:hint="eastAsia"/>
        </w:rPr>
        <w:t>动态监控工具中，准入控制、网络隔离与运行时监控更侧重集群运行阶段的风险约束。OPA/Gatekeeper</w:t>
      </w:r>
      <w:r>
        <w:t xml:space="preserve">(Open Policy Agent (CNCF) 2025) </w:t>
      </w:r>
      <w:r>
        <w:rPr>
          <w:rFonts w:hint="eastAsia"/>
        </w:rPr>
        <w:t>与</w:t>
      </w:r>
      <w:r>
        <w:t xml:space="preserve"> Kyverno(Kyverno (CNCF) 2025) </w:t>
      </w:r>
      <w:r>
        <w:rPr>
          <w:rFonts w:hint="eastAsia"/>
        </w:rPr>
        <w:t>在</w:t>
      </w:r>
      <w:r>
        <w:t xml:space="preserve"> API Server </w:t>
      </w:r>
      <w:r>
        <w:rPr>
          <w:rFonts w:hint="eastAsia"/>
        </w:rPr>
        <w:t>持久化资源前执行策略校验，可用于拦截特权容器、危险挂载和敏感权限变更；NetworkPolicy</w:t>
      </w:r>
      <w:r>
        <w:t xml:space="preserve"> </w:t>
      </w:r>
      <w:r>
        <w:rPr>
          <w:rFonts w:hint="eastAsia"/>
        </w:rPr>
        <w:t>及其在</w:t>
      </w:r>
      <w:r>
        <w:t xml:space="preserve"> Calico、Cilium </w:t>
      </w:r>
      <w:r>
        <w:rPr>
          <w:rFonts w:hint="eastAsia"/>
        </w:rPr>
        <w:t>和</w:t>
      </w:r>
      <w:r>
        <w:t xml:space="preserve"> Weave Net </w:t>
      </w:r>
      <w:r>
        <w:rPr>
          <w:rFonts w:hint="eastAsia"/>
        </w:rPr>
        <w:t>等插件中的实现，用于收敛服务间连通范围并降低横向移动风险；Falco</w:t>
      </w:r>
      <w:r>
        <w:t xml:space="preserve">(Falco (CNCF) 2025) </w:t>
      </w:r>
      <w:r>
        <w:rPr>
          <w:rFonts w:hint="eastAsia"/>
        </w:rPr>
        <w:t>则依托</w:t>
      </w:r>
      <w:r>
        <w:t xml:space="preserve"> eBPF </w:t>
      </w:r>
      <w:r>
        <w:rPr>
          <w:rFonts w:hint="eastAsia"/>
        </w:rPr>
        <w:t>技术</w:t>
      </w:r>
      <w:r>
        <w:t>(Høiland-Jørgensen et al. 2018)</w:t>
      </w:r>
      <w:r>
        <w:rPr>
          <w:rFonts w:hint="eastAsia"/>
        </w:rPr>
        <w:t>采集系统调用和</w:t>
      </w:r>
      <w:r>
        <w:t xml:space="preserve"> K8s </w:t>
      </w:r>
      <w:r>
        <w:rPr>
          <w:rFonts w:hint="eastAsia"/>
        </w:rPr>
        <w:t>事件，并通过规则引擎对异常行为进行实时检测与告警。这些技术分别从事前阻断、横向隔离和事中观测三个层面增强了集群安全性，但整体上仍以通用规则为主，难以直接围绕某一具体漏洞在补丁窗口期快速生成兼顾针对性与可部署性的临时防控策略。</w:t>
      </w:r>
    </w:p>
    <w:p w14:paraId="7B5395B2">
      <w:pPr>
        <w:pStyle w:val="3"/>
      </w:pPr>
      <w:r>
        <w:rPr>
          <w:rFonts w:hint="eastAsia"/>
        </w:rPr>
        <w:t>图</w:t>
      </w:r>
      <w:r>
        <w:t> </w:t>
      </w:r>
      <w:r>
        <w:fldChar w:fldCharType="begin"/>
      </w:r>
      <w:r>
        <w:instrText xml:space="preserve"> HYPERLINK \l "fig:falco-opa-examples" \h </w:instrText>
      </w:r>
      <w:r>
        <w:fldChar w:fldCharType="separate"/>
      </w:r>
      <w:r>
        <w:rPr>
          <w:rStyle w:val="20"/>
        </w:rPr>
        <w:t>2.6</w:t>
      </w:r>
      <w:r>
        <w:rPr>
          <w:rStyle w:val="20"/>
        </w:rPr>
        <w:fldChar w:fldCharType="end"/>
      </w:r>
      <w:r>
        <w:t xml:space="preserve"> </w:t>
      </w:r>
      <w:r>
        <w:rPr>
          <w:rFonts w:hint="eastAsia"/>
        </w:rPr>
        <w:t>给出了</w:t>
      </w:r>
      <w:r>
        <w:t xml:space="preserve"> Falco </w:t>
      </w:r>
      <w:r>
        <w:rPr>
          <w:rFonts w:hint="eastAsia"/>
        </w:rPr>
        <w:t>与</w:t>
      </w:r>
      <w:r>
        <w:t xml:space="preserve"> OPA/Gatekeeper </w:t>
      </w:r>
      <w:r>
        <w:rPr>
          <w:rFonts w:hint="eastAsia"/>
        </w:rPr>
        <w:t>的典型规则示例，分别代表运行时监控与准入控制两类防护手段的声明方式。Falco</w:t>
      </w:r>
      <w:r>
        <w:t xml:space="preserve"> </w:t>
      </w:r>
      <w:r>
        <w:rPr>
          <w:rFonts w:hint="eastAsia"/>
        </w:rPr>
        <w:t>规则通过"condition"字段声明检测条件(如特权容器启动事件)，并在"output"字段中定义告警内容格式；OPA/Gatekeeper</w:t>
      </w:r>
      <w:r>
        <w:t xml:space="preserve"> </w:t>
      </w:r>
      <w:r>
        <w:rPr>
          <w:rFonts w:hint="eastAsia"/>
        </w:rPr>
        <w:t>策略则以</w:t>
      </w:r>
      <w:r>
        <w:t xml:space="preserve"> Rego </w:t>
      </w:r>
      <w:r>
        <w:rPr>
          <w:rFonts w:hint="eastAsia"/>
        </w:rPr>
        <w:t>语言编写"deny"规则，在</w:t>
      </w:r>
      <w:r>
        <w:t xml:space="preserve"> API Server </w:t>
      </w:r>
      <w:r>
        <w:rPr>
          <w:rFonts w:hint="eastAsia"/>
        </w:rPr>
        <w:t>持久化资源前对不合规请求直接拒绝。两者均以声明式配置表达安全意图，前者侧重事中观测与告警，后者侧重事前拦截与阻断。</w:t>
      </w:r>
    </w:p>
    <w:tbl>
      <w:tblPr>
        <w:tblStyle w:val="18"/>
        <w:tblW w:w="0" w:type="auto"/>
        <w:jc w:val="center"/>
        <w:tblLayout w:type="autofit"/>
        <w:tblCellMar>
          <w:top w:w="0" w:type="dxa"/>
          <w:left w:w="10" w:type="dxa"/>
          <w:bottom w:w="0" w:type="dxa"/>
          <w:right w:w="10" w:type="dxa"/>
        </w:tblCellMar>
      </w:tblPr>
      <w:tblGrid>
        <w:gridCol w:w="4416"/>
        <w:gridCol w:w="4218"/>
        <w:gridCol w:w="26"/>
      </w:tblGrid>
      <w:tr w14:paraId="6AE4A05E">
        <w:tblPrEx>
          <w:tblCellMar>
            <w:top w:w="0" w:type="dxa"/>
            <w:left w:w="10" w:type="dxa"/>
            <w:bottom w:w="0" w:type="dxa"/>
            <w:right w:w="10" w:type="dxa"/>
          </w:tblCellMar>
        </w:tblPrEx>
        <w:trPr>
          <w:jc w:val="center"/>
        </w:trPr>
        <w:tc>
          <w:p w14:paraId="11A2C3C8">
            <w:pPr>
              <w:pStyle w:val="49"/>
              <w:jc w:val="center"/>
            </w:pPr>
            <w:bookmarkStart w:id="27" w:name="fig:falco-opa-examples"/>
            <w:r>
              <w:rPr>
                <w:rStyle w:val="48"/>
              </w:rPr>
              <w:t>- rule: Launch Privileged Container</w:t>
            </w:r>
            <w:r>
              <w:br w:type="textWrapping"/>
            </w:r>
            <w:r>
              <w:rPr>
                <w:rStyle w:val="48"/>
              </w:rPr>
              <w:t xml:space="preserve">  desc: Detect privileged container start</w:t>
            </w:r>
            <w:r>
              <w:br w:type="textWrapping"/>
            </w:r>
            <w:r>
              <w:rPr>
                <w:rStyle w:val="48"/>
              </w:rPr>
              <w:t xml:space="preserve">  condition: &gt;</w:t>
            </w:r>
            <w:r>
              <w:br w:type="textWrapping"/>
            </w:r>
            <w:r>
              <w:rPr>
                <w:rStyle w:val="48"/>
              </w:rPr>
              <w:t xml:space="preserve">    container.privileged=true and</w:t>
            </w:r>
            <w:r>
              <w:br w:type="textWrapping"/>
            </w:r>
            <w:r>
              <w:rPr>
                <w:rStyle w:val="48"/>
              </w:rPr>
              <w:t xml:space="preserve">    evt.type=container</w:t>
            </w:r>
            <w:r>
              <w:br w:type="textWrapping"/>
            </w:r>
            <w:r>
              <w:rPr>
                <w:rStyle w:val="48"/>
              </w:rPr>
              <w:t xml:space="preserve">  output: &gt;</w:t>
            </w:r>
            <w:r>
              <w:br w:type="textWrapping"/>
            </w:r>
            <w:r>
              <w:rPr>
                <w:rStyle w:val="48"/>
              </w:rPr>
              <w:t xml:space="preserve">    Privileged container started</w:t>
            </w:r>
            <w:r>
              <w:br w:type="textWrapping"/>
            </w:r>
            <w:r>
              <w:rPr>
                <w:rStyle w:val="48"/>
              </w:rPr>
              <w:t xml:space="preserve">    (user=%user.name</w:t>
            </w:r>
            <w:r>
              <w:br w:type="textWrapping"/>
            </w:r>
            <w:r>
              <w:rPr>
                <w:rStyle w:val="48"/>
              </w:rPr>
              <w:t xml:space="preserve">    image=%container.image.repository)</w:t>
            </w:r>
            <w:r>
              <w:br w:type="textWrapping"/>
            </w:r>
            <w:r>
              <w:rPr>
                <w:rStyle w:val="48"/>
              </w:rPr>
              <w:t xml:space="preserve">  priority: WARNING</w:t>
            </w:r>
          </w:p>
        </w:tc>
        <w:tc>
          <w:p w14:paraId="2EAAF3F2">
            <w:pPr>
              <w:pStyle w:val="49"/>
              <w:jc w:val="center"/>
            </w:pPr>
            <w:r>
              <w:rPr>
                <w:rStyle w:val="48"/>
              </w:rPr>
              <w:t>package kubernetes.admission</w:t>
            </w:r>
            <w:r>
              <w:br w:type="textWrapping"/>
            </w:r>
            <w:r>
              <w:br w:type="textWrapping"/>
            </w:r>
            <w:r>
              <w:rPr>
                <w:rStyle w:val="48"/>
              </w:rPr>
              <w:t>deny[msg] {</w:t>
            </w:r>
            <w:r>
              <w:br w:type="textWrapping"/>
            </w:r>
            <w:r>
              <w:rPr>
                <w:rStyle w:val="48"/>
              </w:rPr>
              <w:t xml:space="preserve">  c := input.request.object</w:t>
            </w:r>
            <w:r>
              <w:br w:type="textWrapping"/>
            </w:r>
            <w:r>
              <w:rPr>
                <w:rStyle w:val="48"/>
              </w:rPr>
              <w:t xml:space="preserve">       .spec.containers[_]</w:t>
            </w:r>
            <w:r>
              <w:br w:type="textWrapping"/>
            </w:r>
            <w:r>
              <w:rPr>
                <w:rStyle w:val="48"/>
              </w:rPr>
              <w:t xml:space="preserve">  c.securityContext.privileged</w:t>
            </w:r>
            <w:r>
              <w:br w:type="textWrapping"/>
            </w:r>
            <w:r>
              <w:rPr>
                <w:rStyle w:val="48"/>
              </w:rPr>
              <w:t xml:space="preserve">  msg := sprintf(</w:t>
            </w:r>
            <w:r>
              <w:br w:type="textWrapping"/>
            </w:r>
            <w:r>
              <w:rPr>
                <w:rStyle w:val="48"/>
              </w:rPr>
              <w:t xml:space="preserve">    "Privileged container blocked: %v",</w:t>
            </w:r>
            <w:r>
              <w:br w:type="textWrapping"/>
            </w:r>
            <w:r>
              <w:rPr>
                <w:rStyle w:val="48"/>
              </w:rPr>
              <w:t xml:space="preserve">    [c.name])</w:t>
            </w:r>
            <w:r>
              <w:br w:type="textWrapping"/>
            </w:r>
            <w:r>
              <w:rPr>
                <w:rStyle w:val="48"/>
              </w:rPr>
              <w:t>}</w:t>
            </w:r>
          </w:p>
        </w:tc>
        <w:tc>
          <w:p w14:paraId="35E835D8">
            <w:pPr>
              <w:jc w:val="center"/>
            </w:pPr>
            <w:bookmarkStart w:id="28" w:name="fig:falco-opa-examples"/>
            <w:bookmarkEnd w:id="28"/>
          </w:p>
        </w:tc>
      </w:tr>
      <w:bookmarkEnd w:id="11"/>
      <w:bookmarkEnd w:id="26"/>
      <w:bookmarkEnd w:id="27"/>
    </w:tbl>
    <w:p w14:paraId="65644253">
      <w:pPr>
        <w:pStyle w:val="4"/>
      </w:pPr>
      <w:bookmarkStart w:id="29" w:name="国内外研究现状"/>
      <w:r>
        <w:rPr>
          <w:rFonts w:hint="eastAsia"/>
        </w:rPr>
        <w:t>国内外研究现状</w:t>
      </w:r>
    </w:p>
    <w:p w14:paraId="730DB5BE">
      <w:pPr>
        <w:pStyle w:val="23"/>
      </w:pPr>
      <w:r>
        <w:rPr>
          <w:rFonts w:hint="eastAsia"/>
        </w:rPr>
        <w:t>本节从权限提升风险与防控、云原生权限安全、大语言模型与智能化漏洞防控三个方向梳理国内外相关工作，并介绍本课题组前期研究工作。</w:t>
      </w:r>
    </w:p>
    <w:p w14:paraId="155922C9">
      <w:pPr>
        <w:pStyle w:val="5"/>
      </w:pPr>
      <w:bookmarkStart w:id="30" w:name="权限提升风险与防控"/>
      <w:r>
        <w:rPr>
          <w:rFonts w:hint="eastAsia"/>
        </w:rPr>
        <w:t>权限提升风险与防控</w:t>
      </w:r>
    </w:p>
    <w:p w14:paraId="781379A4">
      <w:pPr>
        <w:pStyle w:val="23"/>
      </w:pPr>
      <w:r>
        <w:rPr>
          <w:rFonts w:hint="eastAsia"/>
        </w:rPr>
        <w:t>权限提升防控研究在操作系统、移动平台与企业系统领域已形成较为系统的积累。本节从权限管理形式化框架、权限提升检测与防控两个层面介绍相关工作。</w:t>
      </w:r>
    </w:p>
    <w:p w14:paraId="5368A392">
      <w:pPr>
        <w:pStyle w:val="3"/>
      </w:pPr>
      <w:r>
        <w:rPr>
          <w:rFonts w:hint="eastAsia"/>
          <w:b/>
          <w:bCs/>
        </w:rPr>
        <w:t>(1)权限管理形式化框架。</w:t>
      </w:r>
      <w:r>
        <w:rPr>
          <w:rFonts w:hint="eastAsia"/>
        </w:rPr>
        <w:t>通过权限范围形式化描述与管理可规模化控制最小化权限原则，以控制权限提升风险。最小化权限原则是权限提升风险防控的前提，Saltzer</w:t>
      </w:r>
      <w:r>
        <w:t xml:space="preserve"> </w:t>
      </w:r>
      <w:r>
        <w:rPr>
          <w:rFonts w:hint="eastAsia"/>
        </w:rPr>
        <w:t>与</w:t>
      </w:r>
      <w:r>
        <w:t xml:space="preserve"> Schroeder </w:t>
      </w:r>
      <w:r>
        <w:rPr>
          <w:rFonts w:hint="eastAsia"/>
        </w:rPr>
        <w:t>将最小化权限原则描述为</w:t>
      </w:r>
      <w:r>
        <w:rPr>
          <w:rFonts w:hint="eastAsia"/>
          <w:b/>
          <w:bCs/>
        </w:rPr>
        <w:t>每个程序与每个用户均应仅在完成任务所必需的最小权限范围内运行</w:t>
      </w:r>
      <w:r>
        <w:t xml:space="preserve">(Saltzer and Schroeder 1975)。Ferraiolo </w:t>
      </w:r>
      <w:r>
        <w:rPr>
          <w:rFonts w:hint="eastAsia"/>
        </w:rPr>
        <w:t>等</w:t>
      </w:r>
      <w:r>
        <w:t>(Ferraiolo et al. 1995)</w:t>
      </w:r>
      <w:r>
        <w:rPr>
          <w:rFonts w:hint="eastAsia"/>
        </w:rPr>
        <w:t>提出基于角色的访问控制模型(RBAC)，通过角色组织权限并建立主体与权限之间的间接映射关系以应对大规模系统中直接授权管理复杂性。Sandhu</w:t>
      </w:r>
      <w:r>
        <w:t xml:space="preserve"> </w:t>
      </w:r>
      <w:r>
        <w:rPr>
          <w:rFonts w:hint="eastAsia"/>
        </w:rPr>
        <w:t>等</w:t>
      </w:r>
      <w:r>
        <w:t>(Sandhu et al. 1998)</w:t>
      </w:r>
      <w:r>
        <w:rPr>
          <w:rFonts w:hint="eastAsia"/>
        </w:rPr>
        <w:t>进一步提出</w:t>
      </w:r>
      <w:r>
        <w:t xml:space="preserve"> ARBAC97 </w:t>
      </w:r>
      <w:r>
        <w:rPr>
          <w:rFonts w:hint="eastAsia"/>
        </w:rPr>
        <w:t>模型，将角色管理与授权管理纳入统一框架。Ferraiolo</w:t>
      </w:r>
      <w:r>
        <w:t xml:space="preserve"> </w:t>
      </w:r>
      <w:r>
        <w:rPr>
          <w:rFonts w:hint="eastAsia"/>
        </w:rPr>
        <w:t>等</w:t>
      </w:r>
      <w:r>
        <w:t>(Ferraiolo et al. 1997)</w:t>
      </w:r>
      <w:r>
        <w:rPr>
          <w:rFonts w:hint="eastAsia"/>
        </w:rPr>
        <w:t>给出了企业内网环境下</w:t>
      </w:r>
      <w:r>
        <w:t xml:space="preserve"> RBAC </w:t>
      </w:r>
      <w:r>
        <w:rPr>
          <w:rFonts w:hint="eastAsia"/>
        </w:rPr>
        <w:t>的参考实现，说明相关研究已较早进入通用信息系统与组织级应用场景。除基于角色访问控制模型外，Hu</w:t>
      </w:r>
      <w:r>
        <w:t xml:space="preserve"> </w:t>
      </w:r>
      <w:r>
        <w:rPr>
          <w:rFonts w:hint="eastAsia"/>
        </w:rPr>
        <w:t>等</w:t>
      </w:r>
      <w:r>
        <w:t>(Hu et al. 2014)</w:t>
      </w:r>
      <w:r>
        <w:rPr>
          <w:rFonts w:hint="eastAsia"/>
        </w:rPr>
        <w:t>系统总结了基于属性的访问控制(ABAC)，强调依据主体、客体、环境等多维属性动态决定访问授权，从而提升权限控制在复杂开放环境中的细粒度表达能力。总体而言，RBAC</w:t>
      </w:r>
      <w:r>
        <w:t xml:space="preserve"> </w:t>
      </w:r>
      <w:r>
        <w:rPr>
          <w:rFonts w:hint="eastAsia"/>
        </w:rPr>
        <w:t>与</w:t>
      </w:r>
      <w:r>
        <w:t xml:space="preserve"> ABAC </w:t>
      </w:r>
      <w:r>
        <w:rPr>
          <w:rFonts w:hint="eastAsia"/>
        </w:rPr>
        <w:t>分别从角色抽象和属性约束两个角度，为最小权限原则在实际系统中的落地提供了基本的权限管理框架。</w:t>
      </w:r>
    </w:p>
    <w:p w14:paraId="5BCBEEF6">
      <w:pPr>
        <w:pStyle w:val="3"/>
      </w:pPr>
      <w:r>
        <w:rPr>
          <w:rFonts w:hint="eastAsia"/>
        </w:rPr>
        <w:t>相关研究进一步从系统结构和权限收缩角度探索权限提升风险的抑制机制。Provos</w:t>
      </w:r>
      <w:r>
        <w:t xml:space="preserve"> </w:t>
      </w:r>
      <w:r>
        <w:rPr>
          <w:rFonts w:hint="eastAsia"/>
        </w:rPr>
        <w:t>等</w:t>
      </w:r>
      <w:r>
        <w:t>(Provos et al. 2003)</w:t>
      </w:r>
      <w:r>
        <w:rPr>
          <w:rFonts w:hint="eastAsia"/>
        </w:rPr>
        <w:t>提出特权分离方法，将操作系统服务划分为不同权限级别的组件并将高权限代码压缩到可信基范围内，从而为非特权应用最小化特权使用范围；Watson</w:t>
      </w:r>
      <w:r>
        <w:t xml:space="preserve"> </w:t>
      </w:r>
      <w:r>
        <w:rPr>
          <w:rFonts w:hint="eastAsia"/>
        </w:rPr>
        <w:t>等</w:t>
      </w:r>
      <w:r>
        <w:t>(Watson et al. 2015)</w:t>
      </w:r>
      <w:r>
        <w:rPr>
          <w:rFonts w:hint="eastAsia"/>
        </w:rPr>
        <w:t>则通过对指令集架构、编译器及操作系统进行扩展，以支持细粒度的、基于能力的内存保护机制。这表明，权限提升防控并非仅依赖访问控制规则本身，也可以通过功能分解与权限隔离减少高权限执行路径。与此同时，角色建模与结构隔离均不足以彻底消除权限提升风险，冗余权限与过度授权在实际系统中仍普遍存在</w:t>
      </w:r>
      <w:r>
        <w:t>(O’Shea 1995)</w:t>
      </w:r>
      <w:r>
        <w:rPr>
          <w:rFonts w:hint="eastAsia"/>
        </w:rPr>
        <w:t>。针对这一问题，后续研究依据日志等应用真实行为，结合规则和机器学习技术逆向推导应用所需的最小权限集</w:t>
      </w:r>
      <w:r>
        <w:t>(Molloy et al. 2012; Sanders and Yue 2018)</w:t>
      </w:r>
      <w:r>
        <w:rPr>
          <w:rFonts w:hint="eastAsia"/>
        </w:rPr>
        <w:t>。权限提升风险防控由权限分配问题扩展到授权管理、结构隔离和权限收缩。</w:t>
      </w:r>
    </w:p>
    <w:p w14:paraId="73A0F6AF">
      <w:pPr>
        <w:pStyle w:val="3"/>
      </w:pPr>
      <w:r>
        <w:rPr>
          <w:rFonts w:hint="eastAsia"/>
          <w:b/>
          <w:bCs/>
        </w:rPr>
        <w:t>(2)权限提升检测与防控。</w:t>
      </w:r>
      <w:r>
        <w:t xml:space="preserve"> </w:t>
      </w:r>
      <w:r>
        <w:rPr>
          <w:rFonts w:hint="eastAsia"/>
        </w:rPr>
        <w:t>围绕权限提升风险的检测与防控分为静态架构分析、动态行为监控和数据流追踪三类。静态分析主要关注权限配置与应用组件的最小权限集是否匹配，例如</w:t>
      </w:r>
      <w:r>
        <w:t xml:space="preserve"> PScout(Au et al. 2012)</w:t>
      </w:r>
      <w:r>
        <w:rPr>
          <w:rFonts w:hint="eastAsia"/>
        </w:rPr>
        <w:t>通过源码分析构建代码调用到权限检查点之间的可达路径从而检测过度权限，DelDroid</w:t>
      </w:r>
      <w:r>
        <w:t>(Bagheri et al. 2019)</w:t>
      </w:r>
      <w:r>
        <w:rPr>
          <w:rFonts w:hint="eastAsia"/>
        </w:rPr>
        <w:t>通过静态分析权限范围并推导最小权限集，SecComp</w:t>
      </w:r>
      <w:r>
        <w:t>(Wu et al. 2016)</w:t>
      </w:r>
      <w:r>
        <w:rPr>
          <w:rFonts w:hint="eastAsia"/>
        </w:rPr>
        <w:t>则在组件调用层面对非授权操作施加约束，以防御组件劫持引发的权限提升。动态行为监控侧重于运行时提权行为的自动识别，Bugiel</w:t>
      </w:r>
      <w:r>
        <w:t xml:space="preserve"> </w:t>
      </w:r>
      <w:r>
        <w:rPr>
          <w:rFonts w:hint="eastAsia"/>
        </w:rPr>
        <w:t>等</w:t>
      </w:r>
      <w:r>
        <w:t>(Bugiel et al. 2012)</w:t>
      </w:r>
      <w:r>
        <w:rPr>
          <w:rFonts w:hint="eastAsia"/>
        </w:rPr>
        <w:t>指出，Android</w:t>
      </w:r>
      <w:r>
        <w:t xml:space="preserve"> </w:t>
      </w:r>
      <w:r>
        <w:rPr>
          <w:rFonts w:hint="eastAsia"/>
        </w:rPr>
        <w:t>多个应用进行协同共谋权限提升攻击；并提出一种面向系统的策略驱动运行时监控框架，从中间件与内核多个层面联合约束应用间通信与资源访问；Sharmeen</w:t>
      </w:r>
      <w:r>
        <w:t xml:space="preserve"> </w:t>
      </w:r>
      <w:r>
        <w:rPr>
          <w:rFonts w:hint="eastAsia"/>
        </w:rPr>
        <w:t>等</w:t>
      </w:r>
      <w:r>
        <w:t>(Sharmeen et al. 2020)</w:t>
      </w:r>
      <w:r>
        <w:rPr>
          <w:rFonts w:hint="eastAsia"/>
        </w:rPr>
        <w:t>结合深度学习与半监督学习方法对权限提升行为进行检测，表明相关方法正由静态授权关系检查转向对真实运行过程的动态观测。数据流追踪通过污点分析技术关注敏感资源如何传播而导致的可能权限提升。Tripp</w:t>
      </w:r>
      <w:r>
        <w:t xml:space="preserve"> </w:t>
      </w:r>
      <w:r>
        <w:rPr>
          <w:rFonts w:hint="eastAsia"/>
        </w:rPr>
        <w:t>等</w:t>
      </w:r>
      <w:r>
        <w:t>(Tripp et al. 2009)</w:t>
      </w:r>
      <w:r>
        <w:rPr>
          <w:rFonts w:hint="eastAsia"/>
        </w:rPr>
        <w:t>提出面向</w:t>
      </w:r>
      <w:r>
        <w:t xml:space="preserve"> Web </w:t>
      </w:r>
      <w:r>
        <w:rPr>
          <w:rFonts w:hint="eastAsia"/>
        </w:rPr>
        <w:t>应用的混合污点分析框架</w:t>
      </w:r>
      <w:r>
        <w:t xml:space="preserve"> </w:t>
      </w:r>
      <w:r>
        <w:rPr>
          <w:rFonts w:hint="eastAsia"/>
        </w:rPr>
        <w:t>TAJ，TaintDroid</w:t>
      </w:r>
      <w:r>
        <w:t>(Enck et al. 2014)</w:t>
      </w:r>
      <w:r>
        <w:rPr>
          <w:rFonts w:hint="eastAsia"/>
        </w:rPr>
        <w:t>与</w:t>
      </w:r>
      <w:r>
        <w:t xml:space="preserve"> TaintMan(You et al. 2020)</w:t>
      </w:r>
      <w:r>
        <w:rPr>
          <w:rFonts w:hint="eastAsia"/>
        </w:rPr>
        <w:t>则分别在</w:t>
      </w:r>
      <w:r>
        <w:t xml:space="preserve"> Android </w:t>
      </w:r>
      <w:r>
        <w:rPr>
          <w:rFonts w:hint="eastAsia"/>
        </w:rPr>
        <w:t>虚拟化环境和非</w:t>
      </w:r>
      <w:r>
        <w:t xml:space="preserve"> Root </w:t>
      </w:r>
      <w:r>
        <w:rPr>
          <w:rFonts w:hint="eastAsia"/>
        </w:rPr>
        <w:t>真机环境中实现了对显式及部分隐式信息流的动态跟踪。总体而言，权限提升风险防控需考虑对静态代码、越权路径、运行行为和敏感数据传播。</w:t>
      </w:r>
    </w:p>
    <w:p w14:paraId="4CCAE3BC">
      <w:pPr>
        <w:pStyle w:val="3"/>
      </w:pPr>
      <w:r>
        <w:rPr>
          <w:rFonts w:hint="eastAsia"/>
        </w:rPr>
        <w:t>围绕权限提升风险已有研究已形成从权限约束到行为监控、再到信息流追踪的较完整分析路径，指出权限提升漏洞具有复杂攻击模式。但相关工作主要针对移动应用与Web系统，尚难直接回答云原生权限提升漏洞的识别与防控问题。</w:t>
      </w:r>
    </w:p>
    <w:bookmarkEnd w:id="30"/>
    <w:p w14:paraId="2F2C76AF">
      <w:pPr>
        <w:pStyle w:val="5"/>
      </w:pPr>
      <w:bookmarkStart w:id="31" w:name="云原生应用权限安全"/>
      <w:r>
        <w:rPr>
          <w:rFonts w:hint="eastAsia"/>
        </w:rPr>
        <w:t>云原生应用权限安全</w:t>
      </w:r>
    </w:p>
    <w:p w14:paraId="113EDB80">
      <w:pPr>
        <w:pStyle w:val="23"/>
      </w:pPr>
      <w:r>
        <w:rPr>
          <w:rFonts w:hint="eastAsia"/>
        </w:rPr>
        <w:t>云原生权限安全研究覆盖配置合规扫描、供应链与模板安全、权限风险挖掘与攻击链分析、运行时防护四个方向。</w:t>
      </w:r>
    </w:p>
    <w:p w14:paraId="35CCD40A">
      <w:pPr>
        <w:pStyle w:val="3"/>
      </w:pPr>
      <w:r>
        <w:rPr>
          <w:rFonts w:hint="eastAsia"/>
          <w:b/>
          <w:bCs/>
        </w:rPr>
        <w:t>(1)配置合规与静态扫描。</w:t>
      </w:r>
      <w:r>
        <w:t xml:space="preserve">K8s </w:t>
      </w:r>
      <w:r>
        <w:rPr>
          <w:rFonts w:hint="eastAsia"/>
        </w:rPr>
        <w:t>的配置文件中存在权限风险，相关研究基于实证研究进行归纳并总结出规则化静态检测方法。Islam</w:t>
      </w:r>
      <w:r>
        <w:t xml:space="preserve"> Shamim </w:t>
      </w:r>
      <w:r>
        <w:rPr>
          <w:rFonts w:hint="eastAsia"/>
        </w:rPr>
        <w:t>等</w:t>
      </w:r>
      <w:r>
        <w:t>(Islam Shamim et al. 2020; Shamim 2021)</w:t>
      </w:r>
      <w:r>
        <w:rPr>
          <w:rFonts w:hint="eastAsia"/>
        </w:rPr>
        <w:t>系统总结了</w:t>
      </w:r>
      <w:r>
        <w:t xml:space="preserve"> K8s </w:t>
      </w:r>
      <w:r>
        <w:rPr>
          <w:rFonts w:hint="eastAsia"/>
        </w:rPr>
        <w:t>安全实践，并进一步指出部署清单偏离最佳实践可能直接演化为可利用的提权路径，Curtis</w:t>
      </w:r>
      <w:r>
        <w:t xml:space="preserve"> </w:t>
      </w:r>
      <w:r>
        <w:rPr>
          <w:rFonts w:hint="eastAsia"/>
        </w:rPr>
        <w:t>与</w:t>
      </w:r>
      <w:r>
        <w:t xml:space="preserve"> Eisty(Curtis and Eisty 2025)</w:t>
      </w:r>
      <w:r>
        <w:rPr>
          <w:rFonts w:hint="eastAsia"/>
        </w:rPr>
        <w:t>基于</w:t>
      </w:r>
      <w:r>
        <w:t xml:space="preserve"> Stack Overflow </w:t>
      </w:r>
      <w:r>
        <w:rPr>
          <w:rFonts w:hint="eastAsia"/>
        </w:rPr>
        <w:t>数据的实证分析也表明配置安全始终是开发侧的核心关切。在此基础上，Rahman</w:t>
      </w:r>
      <w:r>
        <w:t xml:space="preserve"> </w:t>
      </w:r>
      <w:r>
        <w:rPr>
          <w:rFonts w:hint="eastAsia"/>
        </w:rPr>
        <w:t>等</w:t>
      </w:r>
      <w:r>
        <w:t>(Rahman et al. 2023)</w:t>
      </w:r>
      <w:r>
        <w:rPr>
          <w:rFonts w:hint="eastAsia"/>
        </w:rPr>
        <w:t>对开源清单中的典型安全误配置进行了大规模归纳与实证研究。不过，静态扫描虽然能够发现显式违规项，却难以判断这些配置在真实场景中是否能够被有效利用。围绕这一问题，Shamim</w:t>
      </w:r>
      <w:r>
        <w:t xml:space="preserve"> </w:t>
      </w:r>
      <w:r>
        <w:rPr>
          <w:rFonts w:hint="eastAsia"/>
        </w:rPr>
        <w:t>等</w:t>
      </w:r>
      <w:r>
        <w:t>(Shamim et al. 2025b)</w:t>
      </w:r>
      <w:r>
        <w:rPr>
          <w:rFonts w:hint="eastAsia"/>
        </w:rPr>
        <w:t>评估了互联网安全中心组织提供的</w:t>
      </w:r>
      <w:r>
        <w:t xml:space="preserve"> K8s </w:t>
      </w:r>
      <w:r>
        <w:rPr>
          <w:rFonts w:hint="eastAsia"/>
        </w:rPr>
        <w:t>安全配置标准</w:t>
      </w:r>
      <w:r>
        <w:rPr>
          <w:rStyle w:val="22"/>
        </w:rPr>
        <w:footnoteReference w:id="0"/>
      </w:r>
      <w:r>
        <w:rPr>
          <w:rFonts w:hint="eastAsia"/>
        </w:rPr>
        <w:t>的合规现状，指出从业人员对安全基线的理解存在明显差异，现有静态应用程序安全测试工具的检测覆盖也存在不足；其后续工作</w:t>
      </w:r>
      <w:r>
        <w:t>(Shamim et al. 2025a)</w:t>
      </w:r>
      <w:r>
        <w:rPr>
          <w:rFonts w:hint="eastAsia"/>
        </w:rPr>
        <w:t>进一步论证了将动态分析和安全测试纳入配置核验流程的必要性。</w:t>
      </w:r>
    </w:p>
    <w:p w14:paraId="263552D7">
      <w:pPr>
        <w:pStyle w:val="3"/>
      </w:pPr>
      <w:r>
        <w:t xml:space="preserve">Helm Chart </w:t>
      </w:r>
      <w:r>
        <w:rPr>
          <w:rFonts w:hint="eastAsia"/>
        </w:rPr>
        <w:t>是用于管理</w:t>
      </w:r>
      <w:r>
        <w:t xml:space="preserve"> K8s </w:t>
      </w:r>
      <w:r>
        <w:rPr>
          <w:rFonts w:hint="eastAsia"/>
        </w:rPr>
        <w:t>应用的部署模板配置文件，其中也存在安全风险。Zerouali</w:t>
      </w:r>
      <w:r>
        <w:t xml:space="preserve"> </w:t>
      </w:r>
      <w:r>
        <w:rPr>
          <w:rFonts w:hint="eastAsia"/>
        </w:rPr>
        <w:t>等</w:t>
      </w:r>
      <w:r>
        <w:t xml:space="preserve">(Zerouali et al. 2023) </w:t>
      </w:r>
      <w:r>
        <w:rPr>
          <w:rFonts w:hint="eastAsia"/>
        </w:rPr>
        <w:t>和</w:t>
      </w:r>
      <w:r>
        <w:t xml:space="preserve"> Blaise </w:t>
      </w:r>
      <w:r>
        <w:rPr>
          <w:rFonts w:hint="eastAsia"/>
        </w:rPr>
        <w:t>与</w:t>
      </w:r>
      <w:r>
        <w:t xml:space="preserve"> Rebecchi(Blaise and Rebecchi 2022) </w:t>
      </w:r>
      <w:r>
        <w:rPr>
          <w:rFonts w:hint="eastAsia"/>
        </w:rPr>
        <w:t>分别从</w:t>
      </w:r>
      <w:r>
        <w:t xml:space="preserve"> Helm Charts </w:t>
      </w:r>
      <w:r>
        <w:rPr>
          <w:rFonts w:hint="eastAsia"/>
        </w:rPr>
        <w:t>的生态规模和依赖关系的角度，分析了其带来的供应链风险，指出安全问题并非仅由单一的配置错误引发，更多是通过模板依赖和复用机制在整个系统中传播。Zerouali</w:t>
      </w:r>
      <w:r>
        <w:t xml:space="preserve"> </w:t>
      </w:r>
      <w:r>
        <w:rPr>
          <w:rFonts w:hint="eastAsia"/>
        </w:rPr>
        <w:t>等发现，大多数</w:t>
      </w:r>
      <w:r>
        <w:t xml:space="preserve"> Helm Charts </w:t>
      </w:r>
      <w:r>
        <w:rPr>
          <w:rFonts w:hint="eastAsia"/>
        </w:rPr>
        <w:t>存在过时镜像和安全漏洞，而</w:t>
      </w:r>
      <w:r>
        <w:t xml:space="preserve"> Blaise </w:t>
      </w:r>
      <w:r>
        <w:rPr>
          <w:rFonts w:hint="eastAsia"/>
        </w:rPr>
        <w:t>与</w:t>
      </w:r>
      <w:r>
        <w:t xml:space="preserve"> Rebecchi </w:t>
      </w:r>
      <w:r>
        <w:rPr>
          <w:rFonts w:hint="eastAsia"/>
        </w:rPr>
        <w:t>则通过图生成和攻击重建方法，揭示了</w:t>
      </w:r>
      <w:r>
        <w:t xml:space="preserve"> Helm Charts </w:t>
      </w:r>
      <w:r>
        <w:rPr>
          <w:rFonts w:hint="eastAsia"/>
        </w:rPr>
        <w:t>中复杂攻击路径的潜在威胁。Haque</w:t>
      </w:r>
      <w:r>
        <w:t xml:space="preserve"> </w:t>
      </w:r>
      <w:r>
        <w:rPr>
          <w:rFonts w:hint="eastAsia"/>
        </w:rPr>
        <w:t>等</w:t>
      </w:r>
      <w:r>
        <w:t xml:space="preserve">(Ul Haque et al. 2022) </w:t>
      </w:r>
      <w:r>
        <w:rPr>
          <w:rFonts w:hint="eastAsia"/>
        </w:rPr>
        <w:t>提出的</w:t>
      </w:r>
      <w:r>
        <w:t xml:space="preserve"> KGSecConfig </w:t>
      </w:r>
      <w:r>
        <w:rPr>
          <w:rFonts w:hint="eastAsia"/>
        </w:rPr>
        <w:t>框架，通过统一建模跨平台的安全配置概念，有效解决了多平台安全语义碎片化的问题。这些研究表明，云原生安全分析已逐步从单一配置项的检查，扩展到模板、依赖链和安全语义的系统化建模。</w:t>
      </w:r>
    </w:p>
    <w:p w14:paraId="1CDD78E6">
      <w:pPr>
        <w:pStyle w:val="3"/>
      </w:pPr>
      <w:r>
        <w:rPr>
          <w:rFonts w:hint="eastAsia"/>
          <w:b/>
          <w:bCs/>
        </w:rPr>
        <w:t>(2)权限风险挖掘与攻击链分析。</w:t>
      </w:r>
      <w:r>
        <w:rPr>
          <w:rFonts w:hint="eastAsia"/>
        </w:rPr>
        <w:t>权限风险挖掘相关研究关注权限风险如何沿系统结构演化为完整攻击链。Dell’Immagine</w:t>
      </w:r>
      <w:r>
        <w:t xml:space="preserve"> </w:t>
      </w:r>
      <w:r>
        <w:rPr>
          <w:rFonts w:hint="eastAsia"/>
        </w:rPr>
        <w:t>等</w:t>
      </w:r>
      <w:r>
        <w:t>(Dell’Immagine et al. 2023)</w:t>
      </w:r>
      <w:r>
        <w:rPr>
          <w:rFonts w:hint="eastAsia"/>
        </w:rPr>
        <w:t>面向微服务部署定义了一组安全反模式并实现自动检测工具</w:t>
      </w:r>
      <w:r>
        <w:t xml:space="preserve"> </w:t>
      </w:r>
      <w:r>
        <w:rPr>
          <w:rFonts w:hint="eastAsia"/>
        </w:rPr>
        <w:t>KubeHound，表明权限风险可能嵌入服务交互结构之中。Pecka</w:t>
      </w:r>
      <w:r>
        <w:t xml:space="preserve"> </w:t>
      </w:r>
      <w:r>
        <w:rPr>
          <w:rFonts w:hint="eastAsia"/>
        </w:rPr>
        <w:t>等</w:t>
      </w:r>
      <w:r>
        <w:t>(Pecka et al. 2022)</w:t>
      </w:r>
      <w:r>
        <w:rPr>
          <w:rFonts w:hint="eastAsia"/>
        </w:rPr>
        <w:t>指出一种</w:t>
      </w:r>
      <w:r>
        <w:t xml:space="preserve"> K8s </w:t>
      </w:r>
      <w:r>
        <w:rPr>
          <w:rFonts w:hint="eastAsia"/>
        </w:rPr>
        <w:t>持续集成场景下的权限提升攻击场景，并指出工具链合规配置对系统安全的重要性。Yang</w:t>
      </w:r>
      <w:r>
        <w:t xml:space="preserve"> </w:t>
      </w:r>
      <w:r>
        <w:rPr>
          <w:rFonts w:hint="eastAsia"/>
        </w:rPr>
        <w:t>等</w:t>
      </w:r>
      <w:r>
        <w:t>(Yang et al. 2023)</w:t>
      </w:r>
      <w:r>
        <w:rPr>
          <w:rFonts w:hint="eastAsia"/>
        </w:rPr>
        <w:t>系统分析了</w:t>
      </w:r>
      <w:r>
        <w:t xml:space="preserve"> K8s </w:t>
      </w:r>
      <w:r>
        <w:rPr>
          <w:rFonts w:hint="eastAsia"/>
        </w:rPr>
        <w:t>生态中第三方插件的权限配置，设计了多种攻击路径利用策略，说明节点逃逸、控制面访问与第三方组件权限可以共同演化为权限提升攻击，甚至控制整个</w:t>
      </w:r>
      <w:r>
        <w:t xml:space="preserve"> K8s </w:t>
      </w:r>
      <w:r>
        <w:rPr>
          <w:rFonts w:hint="eastAsia"/>
        </w:rPr>
        <w:t>集群。Gu</w:t>
      </w:r>
      <w:r>
        <w:t xml:space="preserve"> </w:t>
      </w:r>
      <w:r>
        <w:rPr>
          <w:rFonts w:hint="eastAsia"/>
        </w:rPr>
        <w:t>等</w:t>
      </w:r>
      <w:r>
        <w:t>(Gu et al. 2025)</w:t>
      </w:r>
      <w:r>
        <w:rPr>
          <w:rFonts w:hint="eastAsia"/>
        </w:rPr>
        <w:t>提出一种过度权限分析工具EPScan，通过面向容器的程序静态分析自动比对实际资源访问行为与声明权限，识别可被利用的过度特权。与前述配置合规研究相比，这类工作更强调风险如何沿授权链路形成并被放大。不过，其输出大多仍停留在风险发现与报告层面，尚未进一步扩展到围绕具体漏洞生成临时防控策略的研究。</w:t>
      </w:r>
    </w:p>
    <w:p w14:paraId="6E3E6B67">
      <w:pPr>
        <w:pStyle w:val="3"/>
      </w:pPr>
      <w:r>
        <w:rPr>
          <w:rFonts w:hint="eastAsia"/>
          <w:b/>
          <w:bCs/>
        </w:rPr>
        <w:t>(3)运行时防护。</w:t>
      </w:r>
      <w:r>
        <w:rPr>
          <w:rFonts w:hint="eastAsia"/>
        </w:rPr>
        <w:t>运行时监控可用于检测并防护安全攻击。Minna</w:t>
      </w:r>
      <w:r>
        <w:t xml:space="preserve"> </w:t>
      </w:r>
      <w:r>
        <w:rPr>
          <w:rFonts w:hint="eastAsia"/>
        </w:rPr>
        <w:t>等</w:t>
      </w:r>
      <w:r>
        <w:t>(Minna et al. 2021)</w:t>
      </w:r>
      <w:r>
        <w:rPr>
          <w:rFonts w:hint="eastAsia"/>
        </w:rPr>
        <w:t>指出，容器编排引入的网络抽象与传统安全模型存在显著差异，并指出传统安全防御框架在</w:t>
      </w:r>
      <w:r>
        <w:t xml:space="preserve"> K8s </w:t>
      </w:r>
      <w:r>
        <w:rPr>
          <w:rFonts w:hint="eastAsia"/>
        </w:rPr>
        <w:t>系统中存在可迁移性问题。Budigiri</w:t>
      </w:r>
      <w:r>
        <w:t xml:space="preserve"> </w:t>
      </w:r>
      <w:r>
        <w:rPr>
          <w:rFonts w:hint="eastAsia"/>
        </w:rPr>
        <w:t>等</w:t>
      </w:r>
      <w:r>
        <w:t>(Budigiri et al. 2021)</w:t>
      </w:r>
      <w:r>
        <w:rPr>
          <w:rFonts w:hint="eastAsia"/>
        </w:rPr>
        <w:t>基于</w:t>
      </w:r>
      <w:r>
        <w:t xml:space="preserve"> eBPF </w:t>
      </w:r>
      <w:r>
        <w:rPr>
          <w:rFonts w:hint="eastAsia"/>
        </w:rPr>
        <w:t>评估了网络安全策略的性能代价，Kim</w:t>
      </w:r>
      <w:r>
        <w:t xml:space="preserve"> </w:t>
      </w:r>
      <w:r>
        <w:rPr>
          <w:rFonts w:hint="eastAsia"/>
        </w:rPr>
        <w:t>等</w:t>
      </w:r>
      <w:r>
        <w:t>(Kim et al. 2025)</w:t>
      </w:r>
      <w:r>
        <w:rPr>
          <w:rFonts w:hint="eastAsia"/>
        </w:rPr>
        <w:t>对比了多种容器网络接口插件的安全能力，二者共同揭示了网络策略在过滤深度与转发性能之间的权衡。在更具体的缓解机制方面，Zhu</w:t>
      </w:r>
      <w:r>
        <w:t xml:space="preserve"> </w:t>
      </w:r>
      <w:r>
        <w:rPr>
          <w:rFonts w:hint="eastAsia"/>
        </w:rPr>
        <w:t>与</w:t>
      </w:r>
      <w:r>
        <w:t xml:space="preserve"> Gehrmann(Zhu and Gehrmann 2022)</w:t>
      </w:r>
      <w:r>
        <w:rPr>
          <w:rFonts w:hint="eastAsia"/>
        </w:rPr>
        <w:t>以及</w:t>
      </w:r>
      <w:r>
        <w:t xml:space="preserve"> Le </w:t>
      </w:r>
      <w:r>
        <w:rPr>
          <w:rFonts w:hint="eastAsia"/>
        </w:rPr>
        <w:t>等</w:t>
      </w:r>
      <w:r>
        <w:t>(Le et al. 2023)</w:t>
      </w:r>
      <w:r>
        <w:rPr>
          <w:rFonts w:hint="eastAsia"/>
        </w:rPr>
        <w:t>则分别从</w:t>
      </w:r>
      <w:r>
        <w:t xml:space="preserve"> AppArmor </w:t>
      </w:r>
      <w:r>
        <w:rPr>
          <w:rFonts w:hint="eastAsia"/>
        </w:rPr>
        <w:t>配置自动生成和系统调用感知调度角度强化节点侧防护。这类研究提高了云原生权限安全能力，但不能围绕具体漏洞构造针对性处置措施。</w:t>
      </w:r>
    </w:p>
    <w:p w14:paraId="71D0C0C6">
      <w:pPr>
        <w:pStyle w:val="3"/>
      </w:pPr>
      <w:r>
        <w:rPr>
          <w:rFonts w:hint="eastAsia"/>
        </w:rPr>
        <w:t>综上，云原生权限安全研究主要关注配置风险的静态扫描和权限风险挖掘，缺乏对漏洞防控的关注；而运行时防护相关研究缺乏其依赖的检测规则研究，缺乏对特定漏洞的监控或防护能力。</w:t>
      </w:r>
    </w:p>
    <w:bookmarkEnd w:id="31"/>
    <w:p w14:paraId="128C2513">
      <w:pPr>
        <w:pStyle w:val="5"/>
      </w:pPr>
      <w:bookmarkStart w:id="32" w:name="智能化漏洞防控相关研究"/>
      <w:r>
        <w:rPr>
          <w:rFonts w:hint="eastAsia"/>
        </w:rPr>
        <w:t>智能化漏洞防控相关研究</w:t>
      </w:r>
    </w:p>
    <w:p w14:paraId="6F47FCB8">
      <w:pPr>
        <w:pStyle w:val="23"/>
      </w:pPr>
      <w:r>
        <w:rPr>
          <w:rFonts w:hint="eastAsia"/>
        </w:rPr>
        <w:t>本节将介绍智能化漏洞防控相关研究在大语言模型安全能力评测、漏洞检测与修复、多智能体安全任务等方面的研究。</w:t>
      </w:r>
    </w:p>
    <w:p w14:paraId="1C5E45D0">
      <w:pPr>
        <w:pStyle w:val="3"/>
      </w:pPr>
      <w:r>
        <w:rPr>
          <w:rFonts w:hint="eastAsia"/>
          <w:b/>
          <w:bCs/>
        </w:rPr>
        <w:t>(1)大语言模型安全能力评测。</w:t>
      </w:r>
      <w:r>
        <w:rPr>
          <w:rFonts w:hint="eastAsia"/>
        </w:rPr>
        <w:t>大语言模型安全任务评测研究探索了大模型针对软件安全保障的能力边界。Chang</w:t>
      </w:r>
      <w:r>
        <w:t xml:space="preserve"> </w:t>
      </w:r>
      <w:r>
        <w:rPr>
          <w:rFonts w:hint="eastAsia"/>
        </w:rPr>
        <w:t>等</w:t>
      </w:r>
      <w:r>
        <w:t>(Chang et al. 2024)</w:t>
      </w:r>
      <w:r>
        <w:rPr>
          <w:rFonts w:hint="eastAsia"/>
        </w:rPr>
        <w:t>系统综述了</w:t>
      </w:r>
      <w:r>
        <w:t xml:space="preserve"> LLM </w:t>
      </w:r>
      <w:r>
        <w:rPr>
          <w:rFonts w:hint="eastAsia"/>
        </w:rPr>
        <w:t>通用评测方法与基准设计原则，为安全领域的专项评测提供了方法参照。在此基础上，安全领域的评测工作逐渐从通用能力测试转向面向真实安全任务的专门基准。Yin</w:t>
      </w:r>
      <w:r>
        <w:t xml:space="preserve"> </w:t>
      </w:r>
      <w:r>
        <w:rPr>
          <w:rFonts w:hint="eastAsia"/>
        </w:rPr>
        <w:t>等</w:t>
      </w:r>
      <w:r>
        <w:t>(Yin et al. 2024)</w:t>
      </w:r>
      <w:r>
        <w:rPr>
          <w:rFonts w:hint="eastAsia"/>
        </w:rPr>
        <w:t>围绕漏洞检测、定位与修复等多个软件漏洞子任务对主流</w:t>
      </w:r>
      <w:r>
        <w:t xml:space="preserve"> LLM </w:t>
      </w:r>
      <w:r>
        <w:rPr>
          <w:rFonts w:hint="eastAsia"/>
        </w:rPr>
        <w:t>进行测评，结果表明当前模型在漏洞定位与跨语言理解方面仍存在明显短板。Fu</w:t>
      </w:r>
      <w:r>
        <w:t xml:space="preserve"> </w:t>
      </w:r>
      <w:r>
        <w:rPr>
          <w:rFonts w:hint="eastAsia"/>
        </w:rPr>
        <w:t>等</w:t>
      </w:r>
      <w:r>
        <w:t>(Fu et al. 2025)</w:t>
      </w:r>
      <w:r>
        <w:rPr>
          <w:rFonts w:hint="eastAsia"/>
        </w:rPr>
        <w:t>将评测对象进一步扩展到</w:t>
      </w:r>
      <w:r>
        <w:t xml:space="preserve"> LLM </w:t>
      </w:r>
      <w:r>
        <w:rPr>
          <w:rFonts w:hint="eastAsia"/>
        </w:rPr>
        <w:t>智能体，提出面向真实安全运维环境的评测框架，以考察智能体在信息不完整与噪声干扰条件下的稳定性与鲁棒性。Zhang</w:t>
      </w:r>
      <w:r>
        <w:t xml:space="preserve"> </w:t>
      </w:r>
      <w:r>
        <w:rPr>
          <w:rFonts w:hint="eastAsia"/>
        </w:rPr>
        <w:t>等</w:t>
      </w:r>
      <w:r>
        <w:t>(Zhang et al. 2025)</w:t>
      </w:r>
      <w:r>
        <w:rPr>
          <w:rFonts w:hint="eastAsia"/>
        </w:rPr>
        <w:t>则构建了覆盖告警研判、威胁检测与安全响应等多类防御任务的语言智能体评测基准</w:t>
      </w:r>
      <w:r>
        <w:t xml:space="preserve"> </w:t>
      </w:r>
      <w:r>
        <w:rPr>
          <w:rFonts w:hint="eastAsia"/>
        </w:rPr>
        <w:t>DefenderBench，为不同模型和智能体框架之间的横向比较提供了统一平台。上述工作表明，若缺乏面向真实安全任务的系统化评测，模型能力便难以被可靠比较，更难支撑其在漏洞防控场景中的实际应用。</w:t>
      </w:r>
    </w:p>
    <w:p w14:paraId="27491BE7">
      <w:pPr>
        <w:pStyle w:val="3"/>
      </w:pPr>
      <w:r>
        <w:rPr>
          <w:rFonts w:hint="eastAsia"/>
          <w:b/>
          <w:bCs/>
        </w:rPr>
        <w:t>(2)智能化漏洞检测与修复。</w:t>
      </w:r>
      <w:r>
        <w:rPr>
          <w:rFonts w:hint="eastAsia"/>
        </w:rPr>
        <w:t>软件缺陷管理可借助大语言模型智能。Ghosh</w:t>
      </w:r>
      <w:r>
        <w:t xml:space="preserve"> </w:t>
      </w:r>
      <w:r>
        <w:rPr>
          <w:rFonts w:hint="eastAsia"/>
        </w:rPr>
        <w:t>等</w:t>
      </w:r>
      <w:r>
        <w:t>(Ghosh et al. 2025)</w:t>
      </w:r>
      <w:r>
        <w:rPr>
          <w:rFonts w:hint="eastAsia"/>
        </w:rPr>
        <w:t>提出以安全领域本体辅助</w:t>
      </w:r>
      <w:r>
        <w:t xml:space="preserve"> LLM </w:t>
      </w:r>
      <w:r>
        <w:rPr>
          <w:rFonts w:hint="eastAsia"/>
        </w:rPr>
        <w:t>完成</w:t>
      </w:r>
      <w:r>
        <w:t xml:space="preserve"> CVE </w:t>
      </w:r>
      <w:r>
        <w:rPr>
          <w:rFonts w:hint="eastAsia"/>
        </w:rPr>
        <w:t>漏洞评估，通过引入漏洞类型、攻击向量和影响范围等结构化知识约束模型推理，提升了漏洞语义理解与风险评估的准确性。在云原生误配置修复方向，Malul</w:t>
      </w:r>
      <w:r>
        <w:t xml:space="preserve"> </w:t>
      </w:r>
      <w:r>
        <w:rPr>
          <w:rFonts w:hint="eastAsia"/>
        </w:rPr>
        <w:t>等</w:t>
      </w:r>
      <w:r>
        <w:t>(Malul et al. 2024)</w:t>
      </w:r>
      <w:r>
        <w:rPr>
          <w:rFonts w:hint="eastAsia"/>
        </w:rPr>
        <w:t>提出</w:t>
      </w:r>
      <w:r>
        <w:t xml:space="preserve"> </w:t>
      </w:r>
      <w:r>
        <w:rPr>
          <w:rFonts w:hint="eastAsia"/>
        </w:rPr>
        <w:t>GenKubeSec，将</w:t>
      </w:r>
      <w:r>
        <w:t xml:space="preserve"> LLM </w:t>
      </w:r>
      <w:r>
        <w:rPr>
          <w:rFonts w:hint="eastAsia"/>
        </w:rPr>
        <w:t>引入</w:t>
      </w:r>
      <w:r>
        <w:t xml:space="preserve"> K8s </w:t>
      </w:r>
      <w:r>
        <w:rPr>
          <w:rFonts w:hint="eastAsia"/>
        </w:rPr>
        <w:t>误配置的检测、定位、推理与修复建议生成，构建了面向云原生配置安全的全流程自动化处理框架；Minna</w:t>
      </w:r>
      <w:r>
        <w:t xml:space="preserve"> </w:t>
      </w:r>
      <w:r>
        <w:rPr>
          <w:rFonts w:hint="eastAsia"/>
        </w:rPr>
        <w:t>等</w:t>
      </w:r>
      <w:r>
        <w:t>(Minna et al. 2025)</w:t>
      </w:r>
      <w:r>
        <w:rPr>
          <w:rFonts w:hint="eastAsia"/>
        </w:rPr>
        <w:t>进一步评估了</w:t>
      </w:r>
      <w:r>
        <w:t xml:space="preserve"> LLM </w:t>
      </w:r>
      <w:r>
        <w:rPr>
          <w:rFonts w:hint="eastAsia"/>
        </w:rPr>
        <w:t>修复</w:t>
      </w:r>
      <w:r>
        <w:t xml:space="preserve"> Helm Chart </w:t>
      </w:r>
      <w:r>
        <w:rPr>
          <w:rFonts w:hint="eastAsia"/>
        </w:rPr>
        <w:t>配置异味的效果，指出仅以局部</w:t>
      </w:r>
      <w:r>
        <w:t xml:space="preserve"> YAML </w:t>
      </w:r>
      <w:r>
        <w:rPr>
          <w:rFonts w:hint="eastAsia"/>
        </w:rPr>
        <w:t>片段为输入往往难以生成完整修复方案，且模型存在误删无关配置的风险，说明上下文完整性与输出可靠性是当前方法的关键约束。除修复建议之外，LLM</w:t>
      </w:r>
      <w:r>
        <w:t xml:space="preserve"> </w:t>
      </w:r>
      <w:r>
        <w:rPr>
          <w:rFonts w:hint="eastAsia"/>
        </w:rPr>
        <w:t>也被用于检测规则生成。Konstantaras</w:t>
      </w:r>
      <w:r>
        <w:t xml:space="preserve"> </w:t>
      </w:r>
      <w:r>
        <w:rPr>
          <w:rFonts w:hint="eastAsia"/>
        </w:rPr>
        <w:t>等</w:t>
      </w:r>
      <w:r>
        <w:t>(Konstantaras et al. 2026)</w:t>
      </w:r>
      <w:r>
        <w:rPr>
          <w:rFonts w:hint="eastAsia"/>
        </w:rPr>
        <w:t>探索了由模型从威胁描述中自动归纳生成静态检测规则的方法，为将自然语言形式的攻击知识转化为可部署规则提供了初步路径。总体而言，这类研究展示了从漏洞描述到防控措施生成的自动化潜力，但已有工作多聚焦于通用误配置或孤立漏洞场景，输出也多停留在修复建议或单条规则层面，尚未形成面向云原生权限提升漏洞的多策略协同生成与部署验证闭环。</w:t>
      </w:r>
    </w:p>
    <w:p w14:paraId="46DE1AC7">
      <w:pPr>
        <w:pStyle w:val="3"/>
      </w:pPr>
      <w:r>
        <w:rPr>
          <w:rFonts w:hint="eastAsia"/>
          <w:b/>
          <w:bCs/>
        </w:rPr>
        <w:t>(3)多智能体驱动的安全任务自动化。</w:t>
      </w:r>
      <w:r>
        <w:rPr>
          <w:rFonts w:hint="eastAsia"/>
        </w:rPr>
        <w:t>当安全任务具有多阶段依赖、高上下文需求和反馈迭代特征时，单一模型往往难以稳定完成整条任务链条，因此多智能体驱动的安全任务自动化成为新的研究方向。Alsabbagh</w:t>
      </w:r>
      <w:r>
        <w:t xml:space="preserve"> </w:t>
      </w:r>
      <w:r>
        <w:rPr>
          <w:rFonts w:hint="eastAsia"/>
        </w:rPr>
        <w:t>等</w:t>
      </w:r>
      <w:r>
        <w:t>(Al-Sabbagh et al. 2026)</w:t>
      </w:r>
      <w:r>
        <w:rPr>
          <w:rFonts w:hint="eastAsia"/>
        </w:rPr>
        <w:t>提出</w:t>
      </w:r>
      <w:r>
        <w:t xml:space="preserve"> </w:t>
      </w:r>
      <w:r>
        <w:rPr>
          <w:rFonts w:hint="eastAsia"/>
        </w:rPr>
        <w:t>AutoSecAgent，通过智能体编排、递归记忆与检索增强生成，使系统能够在多步骤安全任务中跨轮次积累上下文并稳定执行，从而缓解单模型在长链路任务中的信息遗忘问题。Yang</w:t>
      </w:r>
      <w:r>
        <w:t xml:space="preserve"> </w:t>
      </w:r>
      <w:r>
        <w:rPr>
          <w:rFonts w:hint="eastAsia"/>
        </w:rPr>
        <w:t>等</w:t>
      </w:r>
      <w:r>
        <w:t>(Yang et al. 2026)</w:t>
      </w:r>
      <w:r>
        <w:rPr>
          <w:rFonts w:hint="eastAsia"/>
        </w:rPr>
        <w:t>则针对</w:t>
      </w:r>
      <w:r>
        <w:t xml:space="preserve"> Web </w:t>
      </w:r>
      <w:r>
        <w:rPr>
          <w:rFonts w:hint="eastAsia"/>
        </w:rPr>
        <w:t>应用中已知第三方组件漏洞的利用验证问题，设计了多智能体协同与迭代反馈机制，通过多轮自主探索实现从漏洞信息到可验证利用策略的端到端自动化。Zhu</w:t>
      </w:r>
      <w:r>
        <w:t xml:space="preserve"> </w:t>
      </w:r>
      <w:r>
        <w:rPr>
          <w:rFonts w:hint="eastAsia"/>
        </w:rPr>
        <w:t>等</w:t>
      </w:r>
      <w:r>
        <w:t>(Zhu et al. 2025)</w:t>
      </w:r>
      <w:r>
        <w:rPr>
          <w:rFonts w:hint="eastAsia"/>
        </w:rPr>
        <w:t>关注高危零日漏洞的利用场景，通过一个计划智能体管理多个子智能体的方法解决单智能体难以探索多种漏洞并进行长期规划的短板。多智能体框架已在渗透测试和漏洞利用生成等攻击侧任务中显示出较强潜力，可以探索大语言模型自动生成安全防控工具特定代码的安全能力边界，以解决复杂权限提升漏洞的防控问题。</w:t>
      </w:r>
    </w:p>
    <w:p w14:paraId="72649CB9">
      <w:pPr>
        <w:pStyle w:val="3"/>
      </w:pPr>
      <w:r>
        <w:rPr>
          <w:rFonts w:hint="eastAsia"/>
        </w:rPr>
        <w:t>现有研究已在大语言模型安全能力评测、漏洞检测修复及多智能体安全任务自动化等方向取得显著进展，但在云原生安全管理方面仍缺乏体系性研究，可针对云原生领域多智能体的安全应用进行进一步探索。</w:t>
      </w:r>
    </w:p>
    <w:bookmarkEnd w:id="29"/>
    <w:bookmarkEnd w:id="32"/>
    <w:p w14:paraId="64A512A8">
      <w:pPr>
        <w:pStyle w:val="4"/>
      </w:pPr>
      <w:bookmarkStart w:id="33" w:name="小结"/>
      <w:r>
        <w:rPr>
          <w:rFonts w:hint="eastAsia"/>
        </w:rPr>
        <w:t>小结</w:t>
      </w:r>
    </w:p>
    <w:p w14:paraId="406E27DD">
      <w:pPr>
        <w:pStyle w:val="23"/>
      </w:pPr>
      <w:r>
        <w:rPr>
          <w:rFonts w:hint="eastAsia"/>
        </w:rPr>
        <w:t>本章围绕云原生权限提升漏洞智能化防控问题，介绍了容器、K8s</w:t>
      </w:r>
      <w:r>
        <w:t xml:space="preserve"> </w:t>
      </w:r>
      <w:r>
        <w:rPr>
          <w:rFonts w:hint="eastAsia"/>
        </w:rPr>
        <w:t>及其权限模型等基础概念与云原生安全技术，并从权限提升风险与防控、云原生权限安全以及智能化漏洞防控三个方向梳理了国内外研究现状。</w:t>
      </w:r>
    </w:p>
    <w:bookmarkEnd w:id="10"/>
    <w:bookmarkEnd w:id="33"/>
    <w:p w14:paraId="5CE3E39E">
      <w:pPr>
        <w:pStyle w:val="2"/>
      </w:pPr>
      <w:bookmarkStart w:id="34" w:name="chap:method"/>
      <w:r>
        <w:rPr>
          <w:rFonts w:hint="eastAsia"/>
        </w:rPr>
        <w:t>云原生权限提升漏洞智能化安全策略生成方法</w:t>
      </w:r>
    </w:p>
    <w:p w14:paraId="5D71436B">
      <w:pPr>
        <w:pStyle w:val="23"/>
      </w:pPr>
      <w:r>
        <w:rPr>
          <w:rFonts w:hint="eastAsia"/>
        </w:rPr>
        <w:t>本章阐述面向云原生权限提升漏洞智能化安全策略生成方法，介绍研究动机、方法框架，并给出一个方法示例。</w:t>
      </w:r>
    </w:p>
    <w:p w14:paraId="6A92A086">
      <w:pPr>
        <w:pStyle w:val="4"/>
      </w:pPr>
      <w:bookmarkStart w:id="35" w:name="研究动机"/>
      <w:r>
        <w:rPr>
          <w:rFonts w:hint="eastAsia"/>
        </w:rPr>
        <w:t>研究动机</w:t>
      </w:r>
    </w:p>
    <w:p w14:paraId="55981E44">
      <w:pPr>
        <w:pStyle w:val="23"/>
      </w:pPr>
      <w:r>
        <w:rPr>
          <w:rFonts w:hint="eastAsia"/>
        </w:rPr>
        <w:t>云原生应用运行涉及关键资源控制，权限提升攻击会造成严重集群化失控危害。云原生应用与控制节点、工作负载、网络插件等组件进行数据交互，权限提升漏洞一旦被利用，攻击者可能从单个组件的异常行为扩展到集群资源访问和恶意控制。面向云原生权限提升漏洞的防控需要解决以下问题：</w:t>
      </w:r>
    </w:p>
    <w:p w14:paraId="38120E26">
      <w:pPr>
        <w:pStyle w:val="3"/>
      </w:pPr>
      <w:r>
        <w:t>(1)</w:t>
      </w:r>
      <w:r>
        <w:rPr>
          <w:rFonts w:hint="eastAsia"/>
          <w:b/>
          <w:bCs/>
        </w:rPr>
        <w:t>临时防控措施及时性</w:t>
      </w:r>
      <w:r>
        <w:rPr>
          <w:rFonts w:hint="eastAsia"/>
        </w:rPr>
        <w:t>。权限提升漏洞公开后，系统方需要在有限时间内判断受影响的应用组件和防控措施。即使上游已经给出修复补丁，生产集群在修复前需要完成依赖检查和变更审批等流程。因而，漏洞处置需在补丁部署前生成临时策略，对特定权限提升漏洞相关的高风险操作或关键攻击路径进行约束。</w:t>
      </w:r>
    </w:p>
    <w:p w14:paraId="7607A555">
      <w:pPr>
        <w:pStyle w:val="3"/>
      </w:pPr>
      <w:r>
        <w:t>(2)</w:t>
      </w:r>
      <w:r>
        <w:rPr>
          <w:rFonts w:hint="eastAsia"/>
          <w:b/>
          <w:bCs/>
        </w:rPr>
        <w:t>现有方法有效性不足</w:t>
      </w:r>
      <w:r>
        <w:rPr>
          <w:rFonts w:hint="eastAsia"/>
        </w:rPr>
        <w:t>。配置扫描</w:t>
      </w:r>
      <w:r>
        <w:t>(Shamim et al. 2025b; Rahman et al. 2023)</w:t>
      </w:r>
      <w:r>
        <w:rPr>
          <w:rFonts w:hint="eastAsia"/>
        </w:rPr>
        <w:t>偏重静态风险扫描，与漏洞相关性不足；运行时监控</w:t>
      </w:r>
      <w:r>
        <w:t>(Falco (CNCF) 2025)</w:t>
      </w:r>
      <w:r>
        <w:rPr>
          <w:rFonts w:hint="eastAsia"/>
        </w:rPr>
        <w:t>、准入控制</w:t>
      </w:r>
      <w:r>
        <w:t>(Open Policy Agent (CNCF) 2025; Kyverno (CNCF) 2025)</w:t>
      </w:r>
      <w:r>
        <w:rPr>
          <w:rFonts w:hint="eastAsia"/>
        </w:rPr>
        <w:t>和网络隔离</w:t>
      </w:r>
      <w:r>
        <w:t>(Minna et al. 2021; Budigiri et al. 2021)</w:t>
      </w:r>
      <w:r>
        <w:rPr>
          <w:rFonts w:hint="eastAsia"/>
        </w:rPr>
        <w:t>则依赖预先定义的规则或策略。这些机制提供了安全方案，但从漏洞公告到可执行规则之间仍完全依赖人工完成，受到安全经验差异的限制。</w:t>
      </w:r>
    </w:p>
    <w:p w14:paraId="79CC6FB5">
      <w:pPr>
        <w:pStyle w:val="3"/>
      </w:pPr>
      <w:r>
        <w:t>(3)</w:t>
      </w:r>
      <w:r>
        <w:rPr>
          <w:rFonts w:hint="eastAsia"/>
          <w:b/>
          <w:bCs/>
        </w:rPr>
        <w:t>漏洞防控依赖安全知识</w:t>
      </w:r>
      <w:r>
        <w:rPr>
          <w:rFonts w:hint="eastAsia"/>
        </w:rPr>
        <w:t>。权限提升漏洞形成与</w:t>
      </w:r>
      <w:r>
        <w:t xml:space="preserve"> RBAC </w:t>
      </w:r>
      <w:r>
        <w:rPr>
          <w:rFonts w:hint="eastAsia"/>
        </w:rPr>
        <w:t>授权关系</w:t>
      </w:r>
      <w:r>
        <w:t>(Ferraiolo et al. 1995)</w:t>
      </w:r>
      <w:r>
        <w:rPr>
          <w:rFonts w:hint="eastAsia"/>
        </w:rPr>
        <w:t>、过度授权</w:t>
      </w:r>
      <w:r>
        <w:t>(Yang et al. 2023)</w:t>
      </w:r>
      <w:r>
        <w:rPr>
          <w:rFonts w:hint="eastAsia"/>
        </w:rPr>
        <w:t>、风险组件劫持和敏感信息泄露</w:t>
      </w:r>
      <w:r>
        <w:t>(Sun et al. 2025)</w:t>
      </w:r>
      <w:r>
        <w:rPr>
          <w:rFonts w:hint="eastAsia"/>
        </w:rPr>
        <w:t>等多种问题相关，防控安全策略编写需要根据具体漏洞描述以及应用相关的信息推断攻击前提、权限变化路径和可控制点。</w:t>
      </w:r>
    </w:p>
    <w:p w14:paraId="5187CCE6">
      <w:pPr>
        <w:pStyle w:val="3"/>
      </w:pPr>
      <w:r>
        <w:rPr>
          <w:rFonts w:hint="eastAsia"/>
        </w:rPr>
        <w:t>针对上述问题，本文提出一种面向云原生权限提升漏洞的智能化安全策略生成方法KPEDefense。该方法通过安全知识库组织多源漏洞证据，形成可追溯的安全上下文；以该上下文作为输入，通过多智能体协同流程完成漏洞分析、策略生成与反馈优化，将权限提升相关知识转化为规则化安全工具可执行的策略；并从有效性、无干扰性和可部署性三个维度对候选策略进行评价与筛选，从而为补丁部署前的漏洞处置提供临时性防控支持。</w:t>
      </w:r>
    </w:p>
    <w:bookmarkEnd w:id="35"/>
    <w:p w14:paraId="2E27B3A5">
      <w:pPr>
        <w:pStyle w:val="4"/>
      </w:pPr>
      <w:bookmarkStart w:id="36" w:name="方法框架"/>
      <w:r>
        <w:rPr>
          <w:rFonts w:hint="eastAsia"/>
        </w:rPr>
        <w:t>方法框架</w:t>
      </w:r>
    </w:p>
    <w:p w14:paraId="00F1256E">
      <w:pPr>
        <w:pStyle w:val="23"/>
      </w:pPr>
      <w:r>
        <w:rPr>
          <w:rFonts w:hint="eastAsia"/>
        </w:rPr>
        <w:t>面向云原生权限提升漏洞的智能化安全策略生成方法KPEDefense由安全知识库、基于多智能体的策略生成与优化、策略代码质量评估三个部分构成，如图</w:t>
      </w:r>
      <w:r>
        <w:t> </w:t>
      </w:r>
      <w:r>
        <w:fldChar w:fldCharType="begin"/>
      </w:r>
      <w:r>
        <w:instrText xml:space="preserve"> HYPERLINK \l "fig:overall-framework" \h </w:instrText>
      </w:r>
      <w:r>
        <w:fldChar w:fldCharType="separate"/>
      </w:r>
      <w:r>
        <w:rPr>
          <w:rStyle w:val="20"/>
        </w:rPr>
        <w:t>3.1</w:t>
      </w:r>
      <w:r>
        <w:rPr>
          <w:rStyle w:val="20"/>
        </w:rPr>
        <w:fldChar w:fldCharType="end"/>
      </w:r>
      <w:r>
        <w:rPr>
          <w:rFonts w:hint="eastAsia"/>
        </w:rPr>
        <w:t>所示。该方法以权限提升类</w:t>
      </w:r>
      <w:r>
        <w:t xml:space="preserve"> CVE </w:t>
      </w:r>
      <w:r>
        <w:rPr>
          <w:rFonts w:hint="eastAsia"/>
        </w:rPr>
        <w:t>为输入，最终生成针对权限提升漏洞的防护与监控安全策略。总体流程如下：</w:t>
      </w:r>
    </w:p>
    <w:p w14:paraId="4798091B">
      <w:pPr>
        <w:pStyle w:val="3"/>
      </w:pPr>
      <w:r>
        <w:t>(1)</w:t>
      </w:r>
      <w:r>
        <w:rPr>
          <w:rFonts w:hint="eastAsia"/>
          <w:b/>
          <w:bCs/>
        </w:rPr>
        <w:t>云原生安全知识库构建</w:t>
      </w:r>
      <w:r>
        <w:rPr>
          <w:rFonts w:hint="eastAsia"/>
        </w:rPr>
        <w:t>：从第三方开源应用代码仓库的多源信息中采集上下文特征，形成包含</w:t>
      </w:r>
      <w:r>
        <w:t xml:space="preserve"> CVE/CWE </w:t>
      </w:r>
      <w:r>
        <w:rPr>
          <w:rFonts w:hint="eastAsia"/>
        </w:rPr>
        <w:t>统计、权限提升风险分类框架与向量化领域知识的安全知识库，为后续分析提供可检索的证据支撑；</w:t>
      </w:r>
    </w:p>
    <w:p w14:paraId="604C9C0D">
      <w:pPr>
        <w:pStyle w:val="3"/>
      </w:pPr>
      <w:r>
        <w:t>(2)</w:t>
      </w:r>
      <w:r>
        <w:rPr>
          <w:rFonts w:hint="eastAsia"/>
          <w:b/>
          <w:bCs/>
        </w:rPr>
        <w:t>基于多智能体的策略生成与优化</w:t>
      </w:r>
      <w:r>
        <w:rPr>
          <w:rFonts w:hint="eastAsia"/>
        </w:rPr>
        <w:t>：以权限提升</w:t>
      </w:r>
      <w:r>
        <w:t xml:space="preserve"> CVE </w:t>
      </w:r>
      <w:r>
        <w:rPr>
          <w:rFonts w:hint="eastAsia"/>
        </w:rPr>
        <w:t>为输入，通过安全知识检索上下文构建、思维链推理与反馈优化等多智能体协同工作流生成安全策略候选集合；</w:t>
      </w:r>
    </w:p>
    <w:p w14:paraId="59426DE4">
      <w:pPr>
        <w:pStyle w:val="3"/>
      </w:pPr>
      <w:r>
        <w:t>(3)</w:t>
      </w:r>
      <w:r>
        <w:rPr>
          <w:rFonts w:hint="eastAsia"/>
          <w:b/>
          <w:bCs/>
        </w:rPr>
        <w:t>策略代码质量评估</w:t>
      </w:r>
      <w:r>
        <w:rPr>
          <w:rFonts w:hint="eastAsia"/>
        </w:rPr>
        <w:t>：采用多源大模型排名进行静态评估，给出安全策略代码质量的量化评分，此外在实验中通过案例分析和动态评测方式进行动态评估。</w:t>
      </w:r>
    </w:p>
    <w:tbl>
      <w:tblPr>
        <w:tblStyle w:val="18"/>
        <w:tblW w:w="0" w:type="auto"/>
        <w:jc w:val="center"/>
        <w:tblLayout w:type="autofit"/>
        <w:tblCellMar>
          <w:top w:w="0" w:type="dxa"/>
          <w:left w:w="10" w:type="dxa"/>
          <w:bottom w:w="0" w:type="dxa"/>
          <w:right w:w="10" w:type="dxa"/>
        </w:tblCellMar>
      </w:tblPr>
      <w:tblGrid>
        <w:gridCol w:w="8420"/>
      </w:tblGrid>
      <w:tr w14:paraId="525E59C4">
        <w:tblPrEx>
          <w:tblCellMar>
            <w:top w:w="0" w:type="dxa"/>
            <w:left w:w="10" w:type="dxa"/>
            <w:bottom w:w="0" w:type="dxa"/>
            <w:right w:w="10" w:type="dxa"/>
          </w:tblCellMar>
        </w:tblPrEx>
        <w:trPr>
          <w:jc w:val="center"/>
        </w:trPr>
        <w:tc>
          <w:p w14:paraId="65467B27">
            <w:pPr>
              <w:jc w:val="center"/>
            </w:pPr>
            <w:bookmarkStart w:id="37" w:name="fig:overall-framework"/>
            <w:r>
              <w:drawing>
                <wp:inline distT="0" distB="0" distL="114300" distR="114300">
                  <wp:extent cx="5334000" cy="1985645"/>
                  <wp:effectExtent l="0" t="0" r="0" b="0"/>
                  <wp:docPr id="6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image"/>
                          <pic:cNvPicPr>
                            <a:picLocks noChangeAspect="1" noChangeArrowheads="1"/>
                          </pic:cNvPicPr>
                        </pic:nvPicPr>
                        <pic:blipFill>
                          <a:blip r:embed="rId10"/>
                          <a:stretch>
                            <a:fillRect/>
                          </a:stretch>
                        </pic:blipFill>
                        <pic:spPr>
                          <a:xfrm>
                            <a:off x="0" y="0"/>
                            <a:ext cx="5334000" cy="1986253"/>
                          </a:xfrm>
                          <a:prstGeom prst="rect">
                            <a:avLst/>
                          </a:prstGeom>
                          <a:noFill/>
                          <a:ln w="9525">
                            <a:noFill/>
                          </a:ln>
                        </pic:spPr>
                      </pic:pic>
                    </a:graphicData>
                  </a:graphic>
                </wp:inline>
              </w:drawing>
            </w:r>
            <w:r>
              <w:t xml:space="preserve"> </w:t>
            </w:r>
            <w:bookmarkStart w:id="38" w:name="fig:overall-framework"/>
            <w:bookmarkEnd w:id="38"/>
          </w:p>
        </w:tc>
      </w:tr>
      <w:bookmarkEnd w:id="37"/>
    </w:tbl>
    <w:p w14:paraId="3FFE135A">
      <w:pPr>
        <w:pStyle w:val="5"/>
      </w:pPr>
      <w:bookmarkStart w:id="39" w:name="subsec:def"/>
      <w:r>
        <w:rPr>
          <w:rFonts w:hint="eastAsia"/>
        </w:rPr>
        <w:t>基本概念定义</w:t>
      </w:r>
    </w:p>
    <w:p w14:paraId="3741406B">
      <w:pPr>
        <w:pStyle w:val="23"/>
      </w:pPr>
      <w:r>
        <w:rPr>
          <w:rFonts w:hint="eastAsia"/>
        </w:rPr>
        <w:t>以下将核心对象形式化为漏洞实例、安全上下文与安全策略三类实体。</w:t>
      </w:r>
    </w:p>
    <w:p w14:paraId="3EEE044A">
      <w:pPr>
        <w:pStyle w:val="3"/>
      </w:pPr>
      <w:r>
        <w:rPr>
          <w:rFonts w:hint="eastAsia"/>
          <w:b/>
          <w:bCs/>
        </w:rPr>
        <w:t>定义</w:t>
      </w:r>
      <w:r>
        <w:rPr>
          <w:b/>
          <w:bCs/>
        </w:rPr>
        <w:t xml:space="preserve"> </w:t>
      </w:r>
      <w:r>
        <w:rPr>
          <w:rFonts w:hint="eastAsia"/>
          <w:b/>
          <w:bCs/>
        </w:rPr>
        <w:t>(漏洞实例)：</w:t>
      </w:r>
      <w:r>
        <w:t xml:space="preserve"> </w:t>
      </w:r>
      <w:bookmarkStart w:id="40" w:name="def:vuln-instance"/>
      <w:bookmarkEnd w:id="40"/>
      <w:r>
        <w:t xml:space="preserve"> </w:t>
      </w:r>
      <w:r>
        <w:rPr>
          <w:rFonts w:hint="eastAsia"/>
        </w:rPr>
        <w:t>设</w:t>
      </w:r>
      <w:r>
        <w:t xml:space="preserve"> </w:t>
      </w:r>
      <m:oMath>
        <m:r>
          <m:rPr>
            <m:sty m:val="p"/>
            <m:scr m:val="script"/>
          </m:rPr>
          <m:t>V</m:t>
        </m:r>
      </m:oMath>
      <w:r>
        <w:t xml:space="preserve"> </w:t>
      </w:r>
      <w:r>
        <w:rPr>
          <w:rFonts w:hint="eastAsia"/>
        </w:rPr>
        <w:t>为漏洞实例空间，任一漏洞实例表示为</w:t>
      </w:r>
    </w:p>
    <w:p w14:paraId="07FB17AD">
      <w:pPr>
        <w:pStyle w:val="3"/>
      </w:pPr>
      <m:oMathPara>
        <m:oMathParaPr>
          <m:jc m:val="center"/>
        </m:oMathParaPr>
        <m:oMath>
          <m:r>
            <m:rPr/>
            <m:t>v</m:t>
          </m:r>
          <m:r>
            <m:rPr>
              <m:sty m:val="p"/>
            </m:rPr>
            <m:t>=⟨</m:t>
          </m:r>
          <m:r>
            <m:rPr/>
            <m:t>id</m:t>
          </m:r>
          <m:r>
            <m:rPr>
              <m:sty m:val="p"/>
            </m:rPr>
            <m:t>,</m:t>
          </m:r>
          <m:r>
            <m:rPr/>
            <m:t> d</m:t>
          </m:r>
          <m:r>
            <m:rPr>
              <m:sty m:val="p"/>
            </m:rPr>
            <m:t>,</m:t>
          </m:r>
          <m:r>
            <m:rPr/>
            <m:t> m</m:t>
          </m:r>
          <m:r>
            <m:rPr>
              <m:sty m:val="p"/>
            </m:rPr>
            <m:t>⟩∈</m:t>
          </m:r>
          <m:r>
            <m:rPr>
              <m:sty m:val="p"/>
              <m:scr m:val="script"/>
            </m:rPr>
            <m:t>V</m:t>
          </m:r>
        </m:oMath>
      </m:oMathPara>
    </w:p>
    <w:p w14:paraId="5095A5CA">
      <w:pPr>
        <w:pStyle w:val="23"/>
      </w:pPr>
      <w:r>
        <w:rPr>
          <w:rFonts w:hint="eastAsia"/>
        </w:rPr>
        <w:t>其中</w:t>
      </w:r>
      <w:r>
        <w:t xml:space="preserve"> </w:t>
      </w:r>
      <m:oMath>
        <m:r>
          <m:rPr/>
          <m:t>id</m:t>
        </m:r>
      </m:oMath>
      <w:r>
        <w:t xml:space="preserve"> </w:t>
      </w:r>
      <w:r>
        <w:rPr>
          <w:rFonts w:hint="eastAsia"/>
        </w:rPr>
        <w:t>为漏洞</w:t>
      </w:r>
      <w:r>
        <w:t xml:space="preserve"> CVE </w:t>
      </w:r>
      <w:r>
        <w:rPr>
          <w:rFonts w:hint="eastAsia"/>
        </w:rPr>
        <w:t>编号，</w:t>
      </w:r>
      <m:oMath>
        <m:r>
          <m:rPr/>
          <m:t>d</m:t>
        </m:r>
      </m:oMath>
      <w:r>
        <w:t xml:space="preserve"> </w:t>
      </w:r>
      <w:r>
        <w:rPr>
          <w:rFonts w:hint="eastAsia"/>
        </w:rPr>
        <w:t>为漏洞描述文本，</w:t>
      </w:r>
      <m:oMath>
        <m:r>
          <m:rPr/>
          <m:t>m</m:t>
        </m:r>
      </m:oMath>
      <w:r>
        <w:t xml:space="preserve"> </w:t>
      </w:r>
      <w:r>
        <w:rPr>
          <w:rFonts w:hint="eastAsia"/>
        </w:rPr>
        <w:t>为元数据，记录严重性、受影响组件及版本范围等属性。</w:t>
      </w:r>
    </w:p>
    <w:p w14:paraId="449E4FBC">
      <w:pPr>
        <w:pStyle w:val="3"/>
      </w:pPr>
      <w:r>
        <w:rPr>
          <w:rFonts w:hint="eastAsia"/>
          <w:b/>
          <w:bCs/>
        </w:rPr>
        <w:t>定义</w:t>
      </w:r>
      <w:r>
        <w:rPr>
          <w:b/>
          <w:bCs/>
        </w:rPr>
        <w:t xml:space="preserve"> </w:t>
      </w:r>
      <w:r>
        <w:rPr>
          <w:rFonts w:hint="eastAsia"/>
          <w:b/>
          <w:bCs/>
        </w:rPr>
        <w:t>(安全上下文)：</w:t>
      </w:r>
      <w:r>
        <w:t xml:space="preserve"> </w:t>
      </w:r>
      <w:bookmarkStart w:id="41" w:name="def:security-context"/>
      <w:bookmarkEnd w:id="41"/>
      <w:r>
        <w:t xml:space="preserve"> </w:t>
      </w:r>
      <w:r>
        <w:rPr>
          <w:rFonts w:hint="eastAsia"/>
        </w:rPr>
        <w:t>给定漏洞实例</w:t>
      </w:r>
      <w:r>
        <w:t xml:space="preserve"> </w:t>
      </w:r>
      <m:oMath>
        <m:r>
          <m:rPr/>
          <m:t>v</m:t>
        </m:r>
      </m:oMath>
      <w:r>
        <w:rPr>
          <w:rFonts w:hint="eastAsia"/>
        </w:rPr>
        <w:t>，其安全上下文</w:t>
      </w:r>
      <w:r>
        <w:t xml:space="preserve"> </w:t>
      </w:r>
      <m:oMath>
        <m:r>
          <m:rPr/>
          <m:t>c</m:t>
        </m:r>
      </m:oMath>
      <w:r>
        <w:t xml:space="preserve"> </w:t>
      </w:r>
      <w:r>
        <w:rPr>
          <w:rFonts w:hint="eastAsia"/>
        </w:rPr>
        <w:t>为带来源标识的有限证据集合：</w:t>
      </w:r>
    </w:p>
    <w:p w14:paraId="1C3EAF1D">
      <w:pPr>
        <w:pStyle w:val="3"/>
      </w:pPr>
      <m:oMathPara>
        <m:oMathParaPr>
          <m:jc m:val="center"/>
        </m:oMathParaPr>
        <m:oMath>
          <m:r>
            <m:rPr/>
            <m:t>c</m:t>
          </m:r>
          <m:r>
            <m:rPr>
              <m:sty m:val="p"/>
            </m:rPr>
            <m:t>=</m:t>
          </m:r>
          <m:d>
            <m:dPr>
              <m:begChr m:val="{"/>
              <m:sepChr m:val=""/>
              <m:endChr m:val="}"/>
            </m:dPr>
            <m:e>
              <m:r>
                <m:rPr/>
                <m:t> </m:t>
              </m:r>
              <m:r>
                <m:rPr>
                  <m:sty m:val="p"/>
                </m:rPr>
                <m:t>⟨</m:t>
              </m:r>
              <m:sSub>
                <m:sSubPr/>
                <m:e>
                  <m:r>
                    <m:rPr/>
                    <m:t>t</m:t>
                  </m:r>
                </m:e>
                <m:sub>
                  <m:r>
                    <m:rPr/>
                    <m:t>i</m:t>
                  </m:r>
                </m:sub>
              </m:sSub>
              <m:r>
                <m:rPr>
                  <m:sty m:val="p"/>
                </m:rPr>
                <m:t>,</m:t>
              </m:r>
              <m:r>
                <m:rPr/>
                <m:t> </m:t>
              </m:r>
              <m:sSub>
                <m:sSubPr/>
                <m:e>
                  <m:r>
                    <m:rPr/>
                    <m:t>src</m:t>
                  </m:r>
                </m:e>
                <m:sub>
                  <m:r>
                    <m:rPr/>
                    <m:t>i</m:t>
                  </m:r>
                </m:sub>
              </m:sSub>
              <m:r>
                <m:rPr>
                  <m:sty m:val="p"/>
                </m:rPr>
                <m:t>⟩∣</m:t>
              </m:r>
              <m:r>
                <m:rPr/>
                <m:t>i</m:t>
              </m:r>
              <m:r>
                <m:rPr>
                  <m:sty m:val="p"/>
                </m:rPr>
                <m:t>∈[</m:t>
              </m:r>
              <m:sSub>
                <m:sSubPr/>
                <m:e>
                  <m:r>
                    <m:rPr/>
                    <m:t>n</m:t>
                  </m:r>
                </m:e>
                <m:sub>
                  <m:r>
                    <m:rPr/>
                    <m:t>c</m:t>
                  </m:r>
                </m:sub>
              </m:sSub>
              <m:r>
                <m:rPr>
                  <m:sty m:val="p"/>
                </m:rPr>
                <m:t>]</m:t>
              </m:r>
              <m:r>
                <m:rPr/>
                <m:t> </m:t>
              </m:r>
            </m:e>
          </m:d>
        </m:oMath>
      </m:oMathPara>
    </w:p>
    <w:p w14:paraId="3533607D">
      <w:pPr>
        <w:pStyle w:val="23"/>
      </w:pPr>
      <w:r>
        <w:rPr>
          <w:rFonts w:hint="eastAsia"/>
        </w:rPr>
        <w:t>其中</w:t>
      </w:r>
      <w:r>
        <w:t xml:space="preserve"> </w:t>
      </w:r>
      <m:oMath>
        <m:sSub>
          <m:sSubPr/>
          <m:e>
            <m:r>
              <m:rPr/>
              <m:t>t</m:t>
            </m:r>
          </m:e>
          <m:sub>
            <m:r>
              <m:rPr/>
              <m:t>i</m:t>
            </m:r>
          </m:sub>
        </m:sSub>
      </m:oMath>
      <w:r>
        <w:t xml:space="preserve"> </w:t>
      </w:r>
      <w:r>
        <w:rPr>
          <w:rFonts w:hint="eastAsia"/>
        </w:rPr>
        <w:t>为证据内容，</w:t>
      </w:r>
      <m:oMath>
        <m:sSub>
          <m:sSubPr/>
          <m:e>
            <m:r>
              <m:rPr/>
              <m:t>src</m:t>
            </m:r>
          </m:e>
          <m:sub>
            <m:r>
              <m:rPr/>
              <m:t>i</m:t>
            </m:r>
          </m:sub>
        </m:sSub>
      </m:oMath>
      <w:r>
        <w:t xml:space="preserve"> </w:t>
      </w:r>
      <w:r>
        <w:rPr>
          <w:rFonts w:hint="eastAsia"/>
        </w:rPr>
        <w:t>为来源标识(如文档路径、公告链接或代码位置)，用于支撑策略生成中的证据追溯与复核，</w:t>
      </w:r>
      <m:oMath>
        <m:r>
          <m:rPr>
            <m:sty m:val="p"/>
          </m:rPr>
          <m:t>[</m:t>
        </m:r>
        <m:sSub>
          <m:sSubPr/>
          <m:e>
            <m:r>
              <m:rPr/>
              <m:t>n</m:t>
            </m:r>
          </m:e>
          <m:sub>
            <m:r>
              <m:rPr/>
              <m:t>c</m:t>
            </m:r>
          </m:sub>
        </m:sSub>
        <m:r>
          <m:rPr>
            <m:sty m:val="p"/>
          </m:rPr>
          <m:t>]={</m:t>
        </m:r>
        <m:r>
          <m:rPr/>
          <m:t>1</m:t>
        </m:r>
        <m:r>
          <m:rPr>
            <m:sty m:val="p"/>
          </m:rPr>
          <m:t>,</m:t>
        </m:r>
        <m:r>
          <m:rPr/>
          <m:t>2</m:t>
        </m:r>
        <m:r>
          <m:rPr>
            <m:sty m:val="p"/>
          </m:rPr>
          <m:t>,…,</m:t>
        </m:r>
        <m:sSub>
          <m:sSubPr/>
          <m:e>
            <m:r>
              <m:rPr/>
              <m:t>n</m:t>
            </m:r>
          </m:e>
          <m:sub>
            <m:r>
              <m:rPr/>
              <m:t>c</m:t>
            </m:r>
          </m:sub>
        </m:sSub>
        <m:r>
          <m:rPr>
            <m:sty m:val="p"/>
          </m:rPr>
          <m:t>}</m:t>
        </m:r>
      </m:oMath>
      <w:r>
        <w:t xml:space="preserve"> </w:t>
      </w:r>
      <w:r>
        <w:rPr>
          <w:rFonts w:hint="eastAsia"/>
        </w:rPr>
        <w:t>为证据索引集合，</w:t>
      </w:r>
      <m:oMath>
        <m:sSub>
          <m:sSubPr/>
          <m:e>
            <m:r>
              <m:rPr/>
              <m:t>n</m:t>
            </m:r>
          </m:e>
          <m:sub>
            <m:r>
              <m:rPr/>
              <m:t>c</m:t>
            </m:r>
          </m:sub>
        </m:sSub>
      </m:oMath>
      <w:r>
        <w:t xml:space="preserve"> </w:t>
      </w:r>
      <w:r>
        <w:rPr>
          <w:rFonts w:hint="eastAsia"/>
        </w:rPr>
        <w:t>为检索到的证据数量。</w:t>
      </w:r>
    </w:p>
    <w:p w14:paraId="7403FFEA">
      <w:pPr>
        <w:pStyle w:val="3"/>
      </w:pPr>
      <w:r>
        <w:rPr>
          <w:rFonts w:hint="eastAsia"/>
          <w:b/>
          <w:bCs/>
        </w:rPr>
        <w:t>定义</w:t>
      </w:r>
      <w:r>
        <w:rPr>
          <w:b/>
          <w:bCs/>
        </w:rPr>
        <w:t xml:space="preserve"> </w:t>
      </w:r>
      <w:r>
        <w:rPr>
          <w:rFonts w:hint="eastAsia"/>
          <w:b/>
          <w:bCs/>
        </w:rPr>
        <w:t>(防控条目)：</w:t>
      </w:r>
      <w:r>
        <w:t xml:space="preserve"> </w:t>
      </w:r>
      <w:bookmarkStart w:id="42" w:name="def:control-item"/>
      <w:bookmarkEnd w:id="42"/>
      <w:r>
        <w:t xml:space="preserve"> </w:t>
      </w:r>
      <w:r>
        <w:rPr>
          <w:rFonts w:hint="eastAsia"/>
        </w:rPr>
        <w:t>安全策略的基本组成单元为三元组</w:t>
      </w:r>
    </w:p>
    <w:p w14:paraId="25186FF6">
      <w:pPr>
        <w:pStyle w:val="3"/>
      </w:pPr>
      <m:oMathPara>
        <m:oMathParaPr>
          <m:jc m:val="center"/>
        </m:oMathParaPr>
        <m:oMath>
          <m:r>
            <m:rPr/>
            <m:t>e</m:t>
          </m:r>
          <m:r>
            <m:rPr>
              <m:sty m:val="p"/>
            </m:rPr>
            <m:t>=⟨</m:t>
          </m:r>
          <m:r>
            <m:rPr/>
            <m:t>τ</m:t>
          </m:r>
          <m:r>
            <m:rPr>
              <m:sty m:val="p"/>
            </m:rPr>
            <m:t>,</m:t>
          </m:r>
          <m:r>
            <m:rPr/>
            <m:t> m</m:t>
          </m:r>
          <m:r>
            <m:rPr>
              <m:sty m:val="p"/>
            </m:rPr>
            <m:t>,</m:t>
          </m:r>
          <m:r>
            <m:rPr/>
            <m:t> </m:t>
          </m:r>
          <m:r>
            <m:rPr>
              <m:sty m:val="bi"/>
            </m:rPr>
            <m:t>a</m:t>
          </m:r>
          <m:r>
            <m:rPr>
              <m:sty m:val="p"/>
            </m:rPr>
            <m:t>⟩</m:t>
          </m:r>
        </m:oMath>
      </m:oMathPara>
    </w:p>
    <w:p w14:paraId="442EA290">
      <w:pPr>
        <w:pStyle w:val="23"/>
      </w:pPr>
      <w:r>
        <w:rPr>
          <w:rFonts w:hint="eastAsia"/>
        </w:rPr>
        <w:t>其中</w:t>
      </w:r>
      <w:r>
        <w:t xml:space="preserve"> </w:t>
      </w:r>
      <m:oMath>
        <m:r>
          <m:rPr/>
          <m:t>τ</m:t>
        </m:r>
        <m:r>
          <m:rPr>
            <m:sty m:val="p"/>
          </m:rPr>
          <m:t>∈{mon,prot}</m:t>
        </m:r>
      </m:oMath>
      <w:r>
        <w:t xml:space="preserve"> </w:t>
      </w:r>
      <w:r>
        <w:rPr>
          <w:rFonts w:hint="eastAsia"/>
        </w:rPr>
        <w:t>为控制类型：监控型策略(</w:t>
      </w:r>
      <m:oMath>
        <m:r>
          <m:rPr>
            <m:sty m:val="p"/>
          </m:rPr>
          <m:t>mon</m:t>
        </m:r>
      </m:oMath>
      <w:r>
        <w:rPr>
          <w:rFonts w:hint="eastAsia"/>
        </w:rPr>
        <w:t>)持续观测运行时状态并触发异常告警；防护型策略(</w:t>
      </w:r>
      <m:oMath>
        <m:r>
          <m:rPr>
            <m:sty m:val="p"/>
          </m:rPr>
          <m:t>prot</m:t>
        </m:r>
      </m:oMath>
      <w:r>
        <w:rPr>
          <w:rFonts w:hint="eastAsia"/>
        </w:rPr>
        <w:t>)主动阻断权限滥用并收缩攻击面。</w:t>
      </w:r>
      <m:oMath>
        <m:r>
          <m:rPr/>
          <m:t>m</m:t>
        </m:r>
      </m:oMath>
      <w:r>
        <w:t xml:space="preserve"> </w:t>
      </w:r>
      <w:r>
        <w:rPr>
          <w:rFonts w:hint="eastAsia"/>
        </w:rPr>
        <w:t>为控制机理，描述该措施的作用路径，如</w:t>
      </w:r>
      <w:r>
        <w:t xml:space="preserve"> Falco </w:t>
      </w:r>
      <w:r>
        <w:rPr>
          <w:rFonts w:hint="eastAsia"/>
        </w:rPr>
        <w:t>规则告警、Kyverno</w:t>
      </w:r>
      <w:r>
        <w:t xml:space="preserve"> </w:t>
      </w:r>
      <w:r>
        <w:rPr>
          <w:rFonts w:hint="eastAsia"/>
        </w:rPr>
        <w:t>准入审计或</w:t>
      </w:r>
      <w:r>
        <w:t xml:space="preserve"> RBAC </w:t>
      </w:r>
      <w:r>
        <w:rPr>
          <w:rFonts w:hint="eastAsia"/>
        </w:rPr>
        <w:t>权限收缩。</w:t>
      </w:r>
      <m:oMath>
        <m:r>
          <m:rPr>
            <m:sty m:val="bi"/>
          </m:rPr>
          <m:t>a</m:t>
        </m:r>
        <m:r>
          <m:rPr>
            <m:sty m:val="p"/>
          </m:rPr>
          <m:t>=(</m:t>
        </m:r>
        <m:sSub>
          <m:sSubPr/>
          <m:e>
            <m:r>
              <m:rPr/>
              <m:t>a</m:t>
            </m:r>
          </m:e>
          <m:sub>
            <m:sSub>
              <m:sSubPr/>
              <m:e>
                <m:r>
                  <m:rPr/>
                  <m:t>m</m:t>
                </m:r>
              </m:e>
              <m:sub>
                <m:r>
                  <m:rPr/>
                  <m:t>1</m:t>
                </m:r>
              </m:sub>
            </m:sSub>
          </m:sub>
        </m:sSub>
        <m:r>
          <m:rPr>
            <m:sty m:val="p"/>
          </m:rPr>
          <m:t>,…,</m:t>
        </m:r>
        <m:sSub>
          <m:sSubPr/>
          <m:e>
            <m:r>
              <m:rPr/>
              <m:t>a</m:t>
            </m:r>
          </m:e>
          <m:sub>
            <m:sSub>
              <m:sSubPr/>
              <m:e>
                <m:r>
                  <m:rPr/>
                  <m:t>m</m:t>
                </m:r>
              </m:e>
              <m:sub>
                <m:r>
                  <m:rPr/>
                  <m:t>k</m:t>
                </m:r>
              </m:sub>
            </m:sSub>
          </m:sub>
        </m:sSub>
        <m:r>
          <m:rPr>
            <m:sty m:val="p"/>
          </m:rPr>
          <m:t>)</m:t>
        </m:r>
      </m:oMath>
      <w:r>
        <w:t xml:space="preserve"> </w:t>
      </w:r>
      <w:r>
        <w:rPr>
          <w:rFonts w:hint="eastAsia"/>
        </w:rPr>
        <w:t>为</w:t>
      </w:r>
      <w:r>
        <w:t xml:space="preserve"> </w:t>
      </w:r>
      <m:oMath>
        <m:r>
          <m:rPr/>
          <m:t>m</m:t>
        </m:r>
      </m:oMath>
      <w:r>
        <w:t xml:space="preserve"> </w:t>
      </w:r>
      <w:r>
        <w:rPr>
          <w:rFonts w:hint="eastAsia"/>
        </w:rPr>
        <w:t>对应的执行表达序列(规则片段、配置声明或可执行命令)，每个</w:t>
      </w:r>
      <w:r>
        <w:t xml:space="preserve"> </w:t>
      </w:r>
      <m:oMath>
        <m:sSub>
          <m:sSubPr/>
          <m:e>
            <m:r>
              <m:rPr/>
              <m:t>a</m:t>
            </m:r>
          </m:e>
          <m:sub>
            <m:sSub>
              <m:sSubPr/>
              <m:e>
                <m:r>
                  <m:rPr/>
                  <m:t>m</m:t>
                </m:r>
              </m:e>
              <m:sub>
                <m:r>
                  <m:rPr/>
                  <m:t>i</m:t>
                </m:r>
              </m:sub>
            </m:sSub>
          </m:sub>
        </m:sSub>
      </m:oMath>
      <w:r>
        <w:t xml:space="preserve"> </w:t>
      </w:r>
      <w:r>
        <w:rPr>
          <w:rFonts w:hint="eastAsia"/>
        </w:rPr>
        <w:t>对应</w:t>
      </w:r>
      <w:r>
        <w:t xml:space="preserve"> </w:t>
      </w:r>
      <m:oMath>
        <m:r>
          <m:rPr/>
          <m:t>m</m:t>
        </m:r>
      </m:oMath>
      <w:r>
        <w:t xml:space="preserve"> </w:t>
      </w:r>
      <w:r>
        <w:rPr>
          <w:rFonts w:hint="eastAsia"/>
        </w:rPr>
        <w:t>的一个可部署策略代码。</w:t>
      </w:r>
    </w:p>
    <w:p w14:paraId="1CBAAF23">
      <w:pPr>
        <w:pStyle w:val="3"/>
      </w:pPr>
      <w:r>
        <w:rPr>
          <w:rFonts w:hint="eastAsia"/>
          <w:b/>
          <w:bCs/>
        </w:rPr>
        <w:t>定义</w:t>
      </w:r>
      <w:r>
        <w:rPr>
          <w:b/>
          <w:bCs/>
        </w:rPr>
        <w:t xml:space="preserve"> </w:t>
      </w:r>
      <w:r>
        <w:rPr>
          <w:rFonts w:hint="eastAsia"/>
          <w:b/>
          <w:bCs/>
        </w:rPr>
        <w:t>(安全策略)：</w:t>
      </w:r>
      <w:r>
        <w:t xml:space="preserve"> </w:t>
      </w:r>
      <w:bookmarkStart w:id="43" w:name="def:security-strategy"/>
      <w:bookmarkEnd w:id="43"/>
      <w:r>
        <w:t xml:space="preserve"> </w:t>
      </w:r>
      <w:r>
        <w:rPr>
          <w:rFonts w:hint="eastAsia"/>
        </w:rPr>
        <w:t>针对漏洞实例</w:t>
      </w:r>
      <w:r>
        <w:t xml:space="preserve"> </w:t>
      </w:r>
      <m:oMath>
        <m:r>
          <m:rPr/>
          <m:t>v</m:t>
        </m:r>
      </m:oMath>
      <w:r>
        <w:t xml:space="preserve"> </w:t>
      </w:r>
      <w:r>
        <w:rPr>
          <w:rFonts w:hint="eastAsia"/>
        </w:rPr>
        <w:t>的安全策略为防控条目的有限集合</w:t>
      </w:r>
    </w:p>
    <w:p w14:paraId="6C2AB729">
      <w:pPr>
        <w:pStyle w:val="3"/>
      </w:pPr>
      <m:oMathPara>
        <m:oMathParaPr>
          <m:jc m:val="center"/>
        </m:oMathParaPr>
        <m:oMath>
          <m:r>
            <m:rPr/>
            <m:t>π</m:t>
          </m:r>
          <m:r>
            <m:rPr>
              <m:sty m:val="p"/>
            </m:rPr>
            <m:t>={</m:t>
          </m:r>
          <m:sSub>
            <m:sSubPr/>
            <m:e>
              <m:r>
                <m:rPr/>
                <m:t>e</m:t>
              </m:r>
            </m:e>
            <m:sub>
              <m:r>
                <m:rPr/>
                <m:t>1</m:t>
              </m:r>
            </m:sub>
          </m:sSub>
          <m:r>
            <m:rPr>
              <m:sty m:val="p"/>
            </m:rPr>
            <m:t>,</m:t>
          </m:r>
          <m:r>
            <m:rPr/>
            <m:t> </m:t>
          </m:r>
          <m:sSub>
            <m:sSubPr/>
            <m:e>
              <m:r>
                <m:rPr/>
                <m:t>e</m:t>
              </m:r>
            </m:e>
            <m:sub>
              <m:r>
                <m:rPr/>
                <m:t>2</m:t>
              </m:r>
            </m:sub>
          </m:sSub>
          <m:r>
            <m:rPr>
              <m:sty m:val="p"/>
            </m:rPr>
            <m:t>,</m:t>
          </m:r>
          <m:r>
            <m:rPr/>
            <m:t> </m:t>
          </m:r>
          <m:r>
            <m:rPr>
              <m:sty m:val="p"/>
            </m:rPr>
            <m:t>…,</m:t>
          </m:r>
          <m:r>
            <m:rPr/>
            <m:t> </m:t>
          </m:r>
          <m:sSub>
            <m:sSubPr/>
            <m:e>
              <m:r>
                <m:rPr/>
                <m:t>e</m:t>
              </m:r>
            </m:e>
            <m:sub>
              <m:r>
                <m:rPr/>
                <m:t>n</m:t>
              </m:r>
            </m:sub>
          </m:sSub>
          <m:r>
            <m:rPr>
              <m:sty m:val="p"/>
            </m:rPr>
            <m:t>}</m:t>
          </m:r>
        </m:oMath>
      </m:oMathPara>
    </w:p>
    <w:p w14:paraId="74C18661">
      <w:pPr>
        <w:pStyle w:val="23"/>
      </w:pPr>
      <w:r>
        <w:rPr>
          <w:rFonts w:hint="eastAsia"/>
        </w:rPr>
        <w:t>其中每个</w:t>
      </w:r>
      <w:r>
        <w:t xml:space="preserve"> </w:t>
      </w:r>
      <m:oMath>
        <m:sSub>
          <m:sSubPr/>
          <m:e>
            <m:r>
              <m:rPr/>
              <m:t>e</m:t>
            </m:r>
          </m:e>
          <m:sub>
            <m:r>
              <m:rPr/>
              <m:t>i</m:t>
            </m:r>
          </m:sub>
        </m:sSub>
        <m:r>
          <m:rPr>
            <m:sty m:val="p"/>
          </m:rPr>
          <m:t>=⟨</m:t>
        </m:r>
        <m:sSub>
          <m:sSubPr/>
          <m:e>
            <m:r>
              <m:rPr/>
              <m:t>τ</m:t>
            </m:r>
          </m:e>
          <m:sub>
            <m:r>
              <m:rPr/>
              <m:t>i</m:t>
            </m:r>
          </m:sub>
        </m:sSub>
        <m:r>
          <m:rPr>
            <m:sty m:val="p"/>
          </m:rPr>
          <m:t>,</m:t>
        </m:r>
        <m:r>
          <m:rPr/>
          <m:t> </m:t>
        </m:r>
        <m:sSub>
          <m:sSubPr/>
          <m:e>
            <m:r>
              <m:rPr/>
              <m:t>m</m:t>
            </m:r>
          </m:e>
          <m:sub>
            <m:r>
              <m:rPr/>
              <m:t>i</m:t>
            </m:r>
          </m:sub>
        </m:sSub>
        <m:r>
          <m:rPr>
            <m:sty m:val="p"/>
          </m:rPr>
          <m:t>,</m:t>
        </m:r>
        <m:r>
          <m:rPr/>
          <m:t> </m:t>
        </m:r>
        <m:sSub>
          <m:sSubPr/>
          <m:e>
            <m:r>
              <m:rPr>
                <m:sty m:val="bi"/>
              </m:rPr>
              <m:t>a</m:t>
            </m:r>
          </m:e>
          <m:sub>
            <m:r>
              <m:rPr/>
              <m:t>i</m:t>
            </m:r>
          </m:sub>
        </m:sSub>
        <m:r>
          <m:rPr>
            <m:sty m:val="p"/>
          </m:rPr>
          <m:t>⟩</m:t>
        </m:r>
      </m:oMath>
      <w:r>
        <w:t xml:space="preserve"> </w:t>
      </w:r>
      <w:r>
        <w:rPr>
          <w:rFonts w:hint="eastAsia"/>
        </w:rPr>
        <w:t>为定义</w:t>
      </w:r>
      <w:r>
        <w:t> </w:t>
      </w:r>
      <w:r>
        <w:fldChar w:fldCharType="begin"/>
      </w:r>
      <w:r>
        <w:instrText xml:space="preserve"> HYPERLINK \l "def:control-item" \h </w:instrText>
      </w:r>
      <w:r>
        <w:fldChar w:fldCharType="separate"/>
      </w:r>
      <w:r>
        <w:rPr>
          <w:rStyle w:val="20"/>
        </w:rPr>
        <w:t>[def:control-item]</w:t>
      </w:r>
      <w:r>
        <w:rPr>
          <w:rStyle w:val="20"/>
        </w:rPr>
        <w:fldChar w:fldCharType="end"/>
      </w:r>
      <w:r>
        <w:t xml:space="preserve"> </w:t>
      </w:r>
      <w:r>
        <w:rPr>
          <w:rFonts w:hint="eastAsia"/>
        </w:rPr>
        <w:t>所述防控条目。多条目策略将防护型与监控型措施协同组织，弥补单一类型在阻断能力或持续观测方面的局限。</w:t>
      </w:r>
    </w:p>
    <w:p w14:paraId="790CAA86">
      <w:pPr>
        <w:pStyle w:val="3"/>
      </w:pPr>
      <w:r>
        <w:rPr>
          <w:rFonts w:hint="eastAsia"/>
          <w:b/>
          <w:bCs/>
        </w:rPr>
        <w:t>定义</w:t>
      </w:r>
      <w:r>
        <w:rPr>
          <w:b/>
          <w:bCs/>
        </w:rPr>
        <w:t xml:space="preserve"> </w:t>
      </w:r>
      <w:r>
        <w:rPr>
          <w:rFonts w:hint="eastAsia"/>
          <w:b/>
          <w:bCs/>
        </w:rPr>
        <w:t>(生成配置)：</w:t>
      </w:r>
      <w:r>
        <w:t xml:space="preserve"> </w:t>
      </w:r>
      <w:bookmarkStart w:id="44" w:name="def:gen-config"/>
      <w:bookmarkEnd w:id="44"/>
      <w:r>
        <w:t xml:space="preserve"> </w:t>
      </w:r>
      <w:r>
        <w:rPr>
          <w:rFonts w:hint="eastAsia"/>
        </w:rPr>
        <w:t>设</w:t>
      </w:r>
      <w:r>
        <w:t xml:space="preserve"> </w:t>
      </w:r>
      <m:oMath>
        <m:r>
          <m:rPr>
            <m:sty m:val="p"/>
            <m:scr m:val="script"/>
          </m:rPr>
          <m:t>A</m:t>
        </m:r>
      </m:oMath>
      <w:r>
        <w:t xml:space="preserve"> </w:t>
      </w:r>
      <w:r>
        <w:rPr>
          <w:rFonts w:hint="eastAsia"/>
        </w:rPr>
        <w:t>为方法配置集合，</w:t>
      </w:r>
      <m:oMath>
        <m:r>
          <m:rPr>
            <m:sty m:val="p"/>
            <m:scr m:val="script"/>
          </m:rPr>
          <m:t>ℳ</m:t>
        </m:r>
      </m:oMath>
      <w:r>
        <w:t xml:space="preserve"> </w:t>
      </w:r>
      <w:r>
        <w:rPr>
          <w:rFonts w:hint="eastAsia"/>
        </w:rPr>
        <w:t>为大语言模型集合，任一生成配置实例记为</w:t>
      </w:r>
      <w:r>
        <w:t xml:space="preserve"> </w:t>
      </w:r>
      <m:oMath>
        <m:r>
          <m:rPr/>
          <m:t>g</m:t>
        </m:r>
        <m:r>
          <m:rPr>
            <m:sty m:val="p"/>
          </m:rPr>
          <m:t>=(</m:t>
        </m:r>
        <m:r>
          <m:rPr/>
          <m:t>a</m:t>
        </m:r>
        <m:r>
          <m:rPr>
            <m:sty m:val="p"/>
          </m:rPr>
          <m:t>,</m:t>
        </m:r>
        <m:r>
          <m:rPr/>
          <m:t>h</m:t>
        </m:r>
        <m:r>
          <m:rPr>
            <m:sty m:val="p"/>
          </m:rPr>
          <m:t>)∈</m:t>
        </m:r>
        <m:r>
          <m:rPr>
            <m:sty m:val="p"/>
            <m:scr m:val="script"/>
          </m:rPr>
          <m:t>A</m:t>
        </m:r>
        <m:r>
          <m:rPr>
            <m:sty m:val="p"/>
          </m:rPr>
          <m:t>×</m:t>
        </m:r>
        <m:r>
          <m:rPr>
            <m:sty m:val="p"/>
            <m:scr m:val="script"/>
          </m:rPr>
          <m:t>ℳ</m:t>
        </m:r>
      </m:oMath>
      <w:r>
        <w:rPr>
          <w:rFonts w:hint="eastAsia"/>
        </w:rPr>
        <w:t>，表示方法配置</w:t>
      </w:r>
      <w:r>
        <w:t xml:space="preserve"> </w:t>
      </w:r>
      <m:oMath>
        <m:r>
          <m:rPr/>
          <m:t>a</m:t>
        </m:r>
      </m:oMath>
      <w:r>
        <w:t xml:space="preserve"> </w:t>
      </w:r>
      <w:r>
        <w:rPr>
          <w:rFonts w:hint="eastAsia"/>
        </w:rPr>
        <w:t>与底层模型</w:t>
      </w:r>
      <w:r>
        <w:t xml:space="preserve"> </w:t>
      </w:r>
      <m:oMath>
        <m:r>
          <m:rPr/>
          <m:t>h</m:t>
        </m:r>
      </m:oMath>
      <w:r>
        <w:t xml:space="preserve"> </w:t>
      </w:r>
      <w:r>
        <w:rPr>
          <w:rFonts w:hint="eastAsia"/>
        </w:rPr>
        <w:t>的组合。</w:t>
      </w:r>
    </w:p>
    <w:p w14:paraId="614F0AAF">
      <w:pPr>
        <w:pStyle w:val="3"/>
      </w:pPr>
      <w:r>
        <w:rPr>
          <w:rFonts w:hint="eastAsia"/>
          <w:b/>
          <w:bCs/>
        </w:rPr>
        <w:t>定义</w:t>
      </w:r>
      <w:r>
        <w:rPr>
          <w:b/>
          <w:bCs/>
        </w:rPr>
        <w:t xml:space="preserve"> </w:t>
      </w:r>
      <w:r>
        <w:rPr>
          <w:rFonts w:hint="eastAsia"/>
          <w:b/>
          <w:bCs/>
        </w:rPr>
        <w:t>(候选策略集合)：</w:t>
      </w:r>
      <w:r>
        <w:t xml:space="preserve"> </w:t>
      </w:r>
      <w:bookmarkStart w:id="45" w:name="def:candidate-strategy-set"/>
      <w:bookmarkEnd w:id="45"/>
      <w:r>
        <w:t xml:space="preserve"> </w:t>
      </w:r>
      <w:r>
        <w:rPr>
          <w:rFonts w:hint="eastAsia"/>
        </w:rPr>
        <w:t>围绕漏洞实例</w:t>
      </w:r>
      <w:r>
        <w:t xml:space="preserve"> </w:t>
      </w:r>
      <m:oMath>
        <m:r>
          <m:rPr/>
          <m:t>v</m:t>
        </m:r>
      </m:oMath>
      <w:r>
        <w:t xml:space="preserve"> </w:t>
      </w:r>
      <w:r>
        <w:rPr>
          <w:rFonts w:hint="eastAsia"/>
        </w:rPr>
        <w:t>的候选策略集合记为</w:t>
      </w:r>
    </w:p>
    <w:p w14:paraId="75A56A43">
      <w:pPr>
        <w:pStyle w:val="3"/>
      </w:pPr>
      <m:oMathPara>
        <m:oMathParaPr>
          <m:jc m:val="center"/>
        </m:oMathParaPr>
        <m:oMath>
          <m:sSub>
            <m:sSubPr/>
            <m:e>
              <m:r>
                <m:rPr>
                  <m:sty m:val="p"/>
                </m:rPr>
                <m:t>Π</m:t>
              </m:r>
            </m:e>
            <m:sub>
              <m:r>
                <m:rPr/>
                <m:t>v</m:t>
              </m:r>
            </m:sub>
          </m:sSub>
          <m:r>
            <m:rPr>
              <m:sty m:val="p"/>
            </m:rPr>
            <m:t>=</m:t>
          </m:r>
          <m:limLow>
            <m:limLowPr/>
            <m:e>
              <m:r>
                <m:rPr>
                  <m:sty m:val="p"/>
                </m:rPr>
                <m:t>⋃</m:t>
              </m:r>
            </m:e>
            <m:lim>
              <m:r>
                <m:rPr/>
                <m:t>g</m:t>
              </m:r>
              <m:r>
                <m:rPr>
                  <m:sty m:val="p"/>
                </m:rPr>
                <m:t>∈</m:t>
              </m:r>
              <m:sSub>
                <m:sSubPr/>
                <m:e>
                  <m:r>
                    <m:rPr>
                      <m:sty m:val="p"/>
                      <m:scr m:val="script"/>
                    </m:rPr>
                    <m:t>G</m:t>
                  </m:r>
                </m:e>
                <m:sub>
                  <m:r>
                    <m:rPr/>
                    <m:t>v</m:t>
                  </m:r>
                </m:sub>
              </m:sSub>
            </m:lim>
          </m:limLow>
          <m:sSubSup>
            <m:sSubSupPr/>
            <m:e>
              <m:r>
                <m:rPr>
                  <m:sty m:val="p"/>
                </m:rPr>
                <m:t>Π</m:t>
              </m:r>
            </m:e>
            <m:sub>
              <m:r>
                <m:rPr/>
                <m:t>v</m:t>
              </m:r>
            </m:sub>
            <m:sup>
              <m:r>
                <m:rPr>
                  <m:sty m:val="p"/>
                </m:rPr>
                <m:t>(</m:t>
              </m:r>
              <m:r>
                <m:rPr/>
                <m:t>g</m:t>
              </m:r>
              <m:r>
                <m:rPr>
                  <m:sty m:val="p"/>
                </m:rPr>
                <m:t>)</m:t>
              </m:r>
            </m:sup>
          </m:sSubSup>
        </m:oMath>
      </m:oMathPara>
    </w:p>
    <w:p w14:paraId="7B9BD4A2">
      <w:pPr>
        <w:pStyle w:val="23"/>
      </w:pPr>
      <w:r>
        <w:rPr>
          <w:rFonts w:hint="eastAsia"/>
        </w:rPr>
        <w:t>其中</w:t>
      </w:r>
      <w:r>
        <w:t xml:space="preserve"> </w:t>
      </w:r>
      <m:oMath>
        <m:sSub>
          <m:sSubPr/>
          <m:e>
            <m:r>
              <m:rPr>
                <m:sty m:val="p"/>
                <m:scr m:val="script"/>
              </m:rPr>
              <m:t>G</m:t>
            </m:r>
          </m:e>
          <m:sub>
            <m:r>
              <m:rPr/>
              <m:t>v</m:t>
            </m:r>
          </m:sub>
        </m:sSub>
        <m:r>
          <m:rPr>
            <m:sty m:val="p"/>
          </m:rPr>
          <m:t>⊆</m:t>
        </m:r>
        <m:r>
          <m:rPr>
            <m:sty m:val="p"/>
            <m:scr m:val="script"/>
          </m:rPr>
          <m:t>A</m:t>
        </m:r>
        <m:r>
          <m:rPr>
            <m:sty m:val="p"/>
          </m:rPr>
          <m:t>×</m:t>
        </m:r>
        <m:r>
          <m:rPr>
            <m:sty m:val="p"/>
            <m:scr m:val="script"/>
          </m:rPr>
          <m:t>ℳ</m:t>
        </m:r>
      </m:oMath>
      <w:r>
        <w:t xml:space="preserve"> </w:t>
      </w:r>
      <w:r>
        <w:rPr>
          <w:rFonts w:hint="eastAsia"/>
        </w:rPr>
        <w:t>为</w:t>
      </w:r>
      <w:r>
        <w:t xml:space="preserve"> </w:t>
      </w:r>
      <m:oMath>
        <m:r>
          <m:rPr/>
          <m:t>v</m:t>
        </m:r>
      </m:oMath>
      <w:r>
        <w:t xml:space="preserve"> </w:t>
      </w:r>
      <w:r>
        <w:rPr>
          <w:rFonts w:hint="eastAsia"/>
        </w:rPr>
        <w:t>采用的生成配置集合(定义</w:t>
      </w:r>
      <w:r>
        <w:t> </w:t>
      </w:r>
      <w:r>
        <w:fldChar w:fldCharType="begin"/>
      </w:r>
      <w:r>
        <w:instrText xml:space="preserve"> HYPERLINK \l "def:gen-config" \h </w:instrText>
      </w:r>
      <w:r>
        <w:fldChar w:fldCharType="separate"/>
      </w:r>
      <w:r>
        <w:rPr>
          <w:rStyle w:val="20"/>
        </w:rPr>
        <w:t>[def:gen-config]</w:t>
      </w:r>
      <w:r>
        <w:rPr>
          <w:rStyle w:val="20"/>
        </w:rPr>
        <w:fldChar w:fldCharType="end"/>
      </w:r>
      <w:r>
        <w:rPr>
          <w:rFonts w:hint="eastAsia"/>
        </w:rPr>
        <w:t>)，</w:t>
      </w:r>
      <m:oMath>
        <m:sSubSup>
          <m:sSubSupPr/>
          <m:e>
            <m:r>
              <m:rPr>
                <m:sty m:val="p"/>
              </m:rPr>
              <m:t>Π</m:t>
            </m:r>
          </m:e>
          <m:sub>
            <m:r>
              <m:rPr/>
              <m:t>v</m:t>
            </m:r>
          </m:sub>
          <m:sup>
            <m:r>
              <m:rPr>
                <m:sty m:val="p"/>
              </m:rPr>
              <m:t>(</m:t>
            </m:r>
            <m:r>
              <m:rPr/>
              <m:t>g</m:t>
            </m:r>
            <m:r>
              <m:rPr>
                <m:sty m:val="p"/>
              </m:rPr>
              <m:t>)</m:t>
            </m:r>
          </m:sup>
        </m:sSubSup>
        <m:r>
          <m:rPr>
            <m:sty m:val="p"/>
          </m:rPr>
          <m:t>⊆Π</m:t>
        </m:r>
      </m:oMath>
      <w:r>
        <w:t xml:space="preserve"> </w:t>
      </w:r>
      <w:r>
        <w:rPr>
          <w:rFonts w:hint="eastAsia"/>
        </w:rPr>
        <w:t>为配置</w:t>
      </w:r>
      <w:r>
        <w:t xml:space="preserve"> </w:t>
      </w:r>
      <m:oMath>
        <m:r>
          <m:rPr/>
          <m:t>g</m:t>
        </m:r>
      </m:oMath>
      <w:r>
        <w:t xml:space="preserve"> </w:t>
      </w:r>
      <w:r>
        <w:rPr>
          <w:rFonts w:hint="eastAsia"/>
        </w:rPr>
        <w:t>输出的候选子集，</w:t>
      </w:r>
      <m:oMath>
        <m:r>
          <m:rPr>
            <m:sty m:val="p"/>
            <m:scr m:val="script"/>
          </m:rPr>
          <m:t>ℰ</m:t>
        </m:r>
      </m:oMath>
      <w:r>
        <w:t xml:space="preserve"> </w:t>
      </w:r>
      <w:r>
        <w:rPr>
          <w:rFonts w:hint="eastAsia"/>
        </w:rPr>
        <w:t>为防控条目全集，</w:t>
      </w:r>
      <m:oMath>
        <m:r>
          <m:rPr>
            <m:sty m:val="p"/>
          </m:rPr>
          <m:t>Π=</m:t>
        </m:r>
        <m:sSup>
          <m:sSupPr/>
          <m:e>
            <m:r>
              <m:rPr/>
              <m:t>2</m:t>
            </m:r>
          </m:e>
          <m:sup>
            <m:r>
              <m:rPr>
                <m:sty m:val="p"/>
                <m:scr m:val="script"/>
              </m:rPr>
              <m:t>ℰ</m:t>
            </m:r>
          </m:sup>
        </m:sSup>
      </m:oMath>
      <w:r>
        <w:t xml:space="preserve"> </w:t>
      </w:r>
      <w:r>
        <w:rPr>
          <w:rFonts w:hint="eastAsia"/>
        </w:rPr>
        <w:t>为安全策略全集。</w:t>
      </w:r>
      <m:oMath>
        <m:r>
          <m:rPr>
            <m:sty m:val="p"/>
            <m:scr m:val="script"/>
          </m:rPr>
          <m:t>A</m:t>
        </m:r>
      </m:oMath>
      <w:r>
        <w:t xml:space="preserve"> </w:t>
      </w:r>
      <w:r>
        <w:rPr>
          <w:rFonts w:hint="eastAsia"/>
        </w:rPr>
        <w:t>与</w:t>
      </w:r>
      <w:r>
        <w:t xml:space="preserve"> </w:t>
      </w:r>
      <m:oMath>
        <m:r>
          <m:rPr>
            <m:sty m:val="p"/>
            <m:scr m:val="script"/>
          </m:rPr>
          <m:t>ℳ</m:t>
        </m:r>
      </m:oMath>
      <w:r>
        <w:t xml:space="preserve"> </w:t>
      </w:r>
      <w:r>
        <w:rPr>
          <w:rFonts w:hint="eastAsia"/>
        </w:rPr>
        <w:t>的具体取值在第五章实验部分给出。</w:t>
      </w:r>
    </w:p>
    <w:bookmarkEnd w:id="39"/>
    <w:p w14:paraId="45CE665C">
      <w:pPr>
        <w:pStyle w:val="5"/>
      </w:pPr>
      <w:bookmarkStart w:id="46" w:name="subsec:kb"/>
      <w:r>
        <w:rPr>
          <w:rFonts w:hint="eastAsia"/>
        </w:rPr>
        <w:t>云原生安全知识库</w:t>
      </w:r>
    </w:p>
    <w:p w14:paraId="362A20B3">
      <w:pPr>
        <w:pStyle w:val="23"/>
      </w:pPr>
      <w:r>
        <w:rPr>
          <w:rFonts w:hint="eastAsia"/>
        </w:rPr>
        <w:t>本节围绕漏洞实例</w:t>
      </w:r>
      <w:r>
        <w:t xml:space="preserve"> </w:t>
      </w:r>
      <m:oMath>
        <m:r>
          <m:rPr/>
          <m:t>v</m:t>
        </m:r>
      </m:oMath>
      <w:r>
        <w:t xml:space="preserve"> </w:t>
      </w:r>
      <w:r>
        <w:rPr>
          <w:rFonts w:hint="eastAsia"/>
        </w:rPr>
        <w:t>构建可追溯云原生安全知识库</w:t>
      </w:r>
      <w:r>
        <w:t xml:space="preserve"> </w:t>
      </w:r>
      <m:oMath>
        <m:sSub>
          <m:sSubPr/>
          <m:e>
            <m:r>
              <m:rPr>
                <m:sty m:val="p"/>
                <m:scr m:val="script"/>
              </m:rPr>
              <m:t>K</m:t>
            </m:r>
          </m:e>
          <m:sub>
            <m:r>
              <m:rPr/>
              <m:t>v</m:t>
            </m:r>
          </m:sub>
        </m:sSub>
      </m:oMath>
      <w:r>
        <w:rPr>
          <w:rFonts w:hint="eastAsia"/>
        </w:rPr>
        <w:t>，并通过检索形成安全上下文</w:t>
      </w:r>
      <w:r>
        <w:t xml:space="preserve"> </w:t>
      </w:r>
      <m:oMath>
        <m:r>
          <m:rPr/>
          <m:t>c</m:t>
        </m:r>
      </m:oMath>
      <w:r>
        <w:rPr>
          <w:rFonts w:hint="eastAsia"/>
        </w:rPr>
        <w:t>，为后续策略生成提供带来源标识的证据支撑，具体流程如图</w:t>
      </w:r>
      <w:r>
        <w:t> </w:t>
      </w:r>
      <w:r>
        <w:fldChar w:fldCharType="begin"/>
      </w:r>
      <w:r>
        <w:instrText xml:space="preserve"> HYPERLINK \l "fig:cve-database" \h </w:instrText>
      </w:r>
      <w:r>
        <w:fldChar w:fldCharType="separate"/>
      </w:r>
      <w:r>
        <w:rPr>
          <w:rStyle w:val="20"/>
        </w:rPr>
        <w:t>3.2</w:t>
      </w:r>
      <w:r>
        <w:rPr>
          <w:rStyle w:val="20"/>
        </w:rPr>
        <w:fldChar w:fldCharType="end"/>
      </w:r>
      <w:r>
        <w:rPr>
          <w:rFonts w:hint="eastAsia"/>
        </w:rPr>
        <w:t>所示。</w:t>
      </w:r>
    </w:p>
    <w:tbl>
      <w:tblPr>
        <w:tblStyle w:val="18"/>
        <w:tblW w:w="0" w:type="auto"/>
        <w:jc w:val="center"/>
        <w:tblLayout w:type="autofit"/>
        <w:tblCellMar>
          <w:top w:w="0" w:type="dxa"/>
          <w:left w:w="10" w:type="dxa"/>
          <w:bottom w:w="0" w:type="dxa"/>
          <w:right w:w="10" w:type="dxa"/>
        </w:tblCellMar>
      </w:tblPr>
      <w:tblGrid>
        <w:gridCol w:w="7748"/>
      </w:tblGrid>
      <w:tr w14:paraId="07A9CF45">
        <w:tblPrEx>
          <w:tblCellMar>
            <w:top w:w="0" w:type="dxa"/>
            <w:left w:w="10" w:type="dxa"/>
            <w:bottom w:w="0" w:type="dxa"/>
            <w:right w:w="10" w:type="dxa"/>
          </w:tblCellMar>
        </w:tblPrEx>
        <w:trPr>
          <w:jc w:val="center"/>
        </w:trPr>
        <w:tc>
          <w:p w14:paraId="31991F1A">
            <w:pPr>
              <w:jc w:val="center"/>
            </w:pPr>
            <w:bookmarkStart w:id="47" w:name="fig:cve-database"/>
            <w:r>
              <w:drawing>
                <wp:inline distT="0" distB="0" distL="114300" distR="114300">
                  <wp:extent cx="4907280" cy="2350135"/>
                  <wp:effectExtent l="0" t="0" r="0" b="0"/>
                  <wp:docPr id="7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image"/>
                          <pic:cNvPicPr>
                            <a:picLocks noChangeAspect="1" noChangeArrowheads="1"/>
                          </pic:cNvPicPr>
                        </pic:nvPicPr>
                        <pic:blipFill>
                          <a:blip r:embed="rId11"/>
                          <a:stretch>
                            <a:fillRect/>
                          </a:stretch>
                        </pic:blipFill>
                        <pic:spPr>
                          <a:xfrm>
                            <a:off x="0" y="0"/>
                            <a:ext cx="4907280" cy="2350297"/>
                          </a:xfrm>
                          <a:prstGeom prst="rect">
                            <a:avLst/>
                          </a:prstGeom>
                          <a:noFill/>
                          <a:ln w="9525">
                            <a:noFill/>
                          </a:ln>
                        </pic:spPr>
                      </pic:pic>
                    </a:graphicData>
                  </a:graphic>
                </wp:inline>
              </w:drawing>
            </w:r>
            <w:r>
              <w:t xml:space="preserve"> </w:t>
            </w:r>
            <w:bookmarkStart w:id="48" w:name="fig:cve-database"/>
            <w:bookmarkEnd w:id="48"/>
          </w:p>
        </w:tc>
      </w:tr>
      <w:bookmarkEnd w:id="47"/>
    </w:tbl>
    <w:p w14:paraId="07F12F27">
      <w:pPr>
        <w:pStyle w:val="6"/>
      </w:pPr>
      <w:bookmarkStart w:id="49" w:name="数据采集"/>
      <w:r>
        <w:rPr>
          <w:rFonts w:hint="eastAsia"/>
        </w:rPr>
        <w:t>(1)数据采集</w:t>
      </w:r>
    </w:p>
    <w:p w14:paraId="7707124D">
      <w:pPr>
        <w:pStyle w:val="23"/>
      </w:pPr>
      <w:r>
        <w:rPr>
          <w:rFonts w:hint="eastAsia"/>
        </w:rPr>
        <w:t>以</w:t>
      </w:r>
      <w:r>
        <w:t xml:space="preserve"> K8s </w:t>
      </w:r>
      <w:r>
        <w:rPr>
          <w:rFonts w:hint="eastAsia"/>
        </w:rPr>
        <w:t>及其生态开源应用为研究对象，首先从</w:t>
      </w:r>
      <w:r>
        <w:t xml:space="preserve"> CNCF Landscape </w:t>
      </w:r>
      <w:r>
        <w:rPr>
          <w:rFonts w:hint="eastAsia"/>
        </w:rPr>
        <w:t>获取云原生应用清单，将清单条目名称映射到其官方代码仓库，形成后续漏洞检索与证据收集的目标集合。使用</w:t>
      </w:r>
      <w:r>
        <w:t xml:space="preserve"> NIST NVD</w:t>
      </w:r>
      <w:r>
        <w:rPr>
          <w:rStyle w:val="22"/>
        </w:rPr>
        <w:footnoteReference w:id="1"/>
      </w:r>
      <w:r>
        <w:t xml:space="preserve">、MITRE CVE </w:t>
      </w:r>
      <w:r>
        <w:rPr>
          <w:rFonts w:hint="eastAsia"/>
        </w:rPr>
        <w:t>官方库</w:t>
      </w:r>
      <w:r>
        <w:rPr>
          <w:rStyle w:val="22"/>
        </w:rPr>
        <w:footnoteReference w:id="2"/>
      </w:r>
      <w:r>
        <w:rPr>
          <w:rFonts w:hint="eastAsia"/>
        </w:rPr>
        <w:t>与安全公告平台</w:t>
      </w:r>
      <w:r>
        <w:t xml:space="preserve"> GitHub Security Advisory</w:t>
      </w:r>
      <w:r>
        <w:rPr>
          <w:rStyle w:val="22"/>
        </w:rPr>
        <w:footnoteReference w:id="3"/>
      </w:r>
      <w:r>
        <w:rPr>
          <w:rFonts w:hint="eastAsia"/>
        </w:rPr>
        <w:t>三个来源，围绕权限提升相关关键词对相关开源项目开展多源漏洞检索，获得初步</w:t>
      </w:r>
      <w:r>
        <w:t xml:space="preserve"> CVE </w:t>
      </w:r>
      <w:r>
        <w:rPr>
          <w:rFonts w:hint="eastAsia"/>
        </w:rPr>
        <w:t>候选池。</w:t>
      </w:r>
    </w:p>
    <w:bookmarkEnd w:id="49"/>
    <w:p w14:paraId="6E56825D">
      <w:pPr>
        <w:pStyle w:val="6"/>
      </w:pPr>
      <w:bookmarkStart w:id="50" w:name="漏洞筛选"/>
      <w:r>
        <w:rPr>
          <w:rFonts w:hint="eastAsia"/>
        </w:rPr>
        <w:t>(2)漏洞筛选</w:t>
      </w:r>
    </w:p>
    <w:p w14:paraId="3591B6C8">
      <w:pPr>
        <w:pStyle w:val="23"/>
      </w:pPr>
      <w:r>
        <w:rPr>
          <w:rFonts w:hint="eastAsia"/>
        </w:rPr>
        <w:t>为从</w:t>
      </w:r>
      <w:r>
        <w:t xml:space="preserve"> CVE </w:t>
      </w:r>
      <w:r>
        <w:rPr>
          <w:rFonts w:hint="eastAsia"/>
        </w:rPr>
        <w:t>候选池中筛选出高质量样本，研究采用关键词约束、严重性阈值与人工复核相结合的三重过滤策略：</w:t>
      </w:r>
    </w:p>
    <w:p w14:paraId="3768E5DA">
      <w:pPr>
        <w:numPr>
          <w:ilvl w:val="0"/>
          <w:numId w:val="1"/>
        </w:numPr>
      </w:pPr>
      <w:r>
        <w:rPr>
          <w:rFonts w:hint="eastAsia"/>
          <w:b/>
          <w:bCs/>
        </w:rPr>
        <w:t>关键词约束</w:t>
      </w:r>
      <w:r>
        <w:rPr>
          <w:rFonts w:hint="eastAsia"/>
        </w:rPr>
        <w:t>：在</w:t>
      </w:r>
      <w:r>
        <w:t xml:space="preserve"> CVE </w:t>
      </w:r>
      <w:r>
        <w:rPr>
          <w:rFonts w:hint="eastAsia"/>
        </w:rPr>
        <w:t>描述与参考链接中匹配</w:t>
      </w:r>
      <w:r>
        <w:t xml:space="preserve"> Privilege Escalation、Authorization Bypass、Improper Access Control、RBAC、ServiceAccount、ClusterRole、Container Escape/Sandbox Escape/Breakout </w:t>
      </w:r>
      <w:r>
        <w:rPr>
          <w:rFonts w:hint="eastAsia"/>
        </w:rPr>
        <w:t>等关键词；</w:t>
      </w:r>
    </w:p>
    <w:p w14:paraId="1706F116">
      <w:pPr>
        <w:numPr>
          <w:ilvl w:val="0"/>
          <w:numId w:val="1"/>
        </w:numPr>
      </w:pPr>
      <w:r>
        <w:rPr>
          <w:rFonts w:hint="eastAsia"/>
          <w:b/>
          <w:bCs/>
        </w:rPr>
        <w:t>严重性阈值</w:t>
      </w:r>
      <w:r>
        <w:rPr>
          <w:rFonts w:hint="eastAsia"/>
        </w:rPr>
        <w:t>：采用</w:t>
      </w:r>
      <w:r>
        <w:t xml:space="preserve"> CVSS v3.x </w:t>
      </w:r>
      <w:r>
        <w:rPr>
          <w:rFonts w:hint="eastAsia"/>
        </w:rPr>
        <w:t>评分，并以</w:t>
      </w:r>
      <w:r>
        <w:t xml:space="preserve"> </w:t>
      </w:r>
      <m:oMath>
        <m:r>
          <m:rPr>
            <m:sty m:val="p"/>
          </m:rPr>
          <m:t>≥</m:t>
        </m:r>
        <m:r>
          <m:rPr/>
          <m:t>5.0</m:t>
        </m:r>
      </m:oMath>
      <w:r>
        <w:t xml:space="preserve"> </w:t>
      </w:r>
      <w:r>
        <w:rPr>
          <w:rFonts w:hint="eastAsia"/>
        </w:rPr>
        <w:t>的中危及以上漏洞为主要对象；</w:t>
      </w:r>
    </w:p>
    <w:p w14:paraId="12694A48">
      <w:pPr>
        <w:numPr>
          <w:ilvl w:val="0"/>
          <w:numId w:val="1"/>
        </w:numPr>
      </w:pPr>
      <w:r>
        <w:rPr>
          <w:rFonts w:hint="eastAsia"/>
          <w:b/>
          <w:bCs/>
        </w:rPr>
        <w:t>人工复核</w:t>
      </w:r>
      <w:r>
        <w:rPr>
          <w:rFonts w:hint="eastAsia"/>
        </w:rPr>
        <w:t>：对候选条目结合公告原文、厂商通告与社区讨论进行复核，剔除重复或与权限提升无关的记录，并补全攻击前提、影响面与可用缓解信息。</w:t>
      </w:r>
    </w:p>
    <w:bookmarkEnd w:id="50"/>
    <w:p w14:paraId="1B9AA30A">
      <w:pPr>
        <w:pStyle w:val="6"/>
      </w:pPr>
      <w:bookmarkStart w:id="51" w:name="漏洞分类"/>
      <w:r>
        <w:rPr>
          <w:rFonts w:hint="eastAsia"/>
        </w:rPr>
        <w:t>(3)漏洞分类</w:t>
      </w:r>
    </w:p>
    <w:p w14:paraId="0D02A326">
      <w:pPr>
        <w:pStyle w:val="23"/>
      </w:pPr>
      <w:r>
        <w:rPr>
          <w:rFonts w:hint="eastAsia"/>
        </w:rPr>
        <w:t>漏洞样本的分类方式影响后续策略生成方向。为此，研究构建了面向策略生成场景的两级成因分类框架，旨在为模型提供稳定且可解释的风险语义线索，同时提示安全工具类型的使用。</w:t>
      </w:r>
    </w:p>
    <w:p w14:paraId="565DBDE1">
      <w:pPr>
        <w:pStyle w:val="3"/>
      </w:pPr>
      <w:r>
        <w:rPr>
          <w:rFonts w:hint="eastAsia"/>
        </w:rPr>
        <w:t>为建立该分类框架，首先参考现有权限提升漏洞</w:t>
      </w:r>
      <w:r>
        <w:t xml:space="preserve"> CVE </w:t>
      </w:r>
      <w:r>
        <w:rPr>
          <w:rFonts w:hint="eastAsia"/>
        </w:rPr>
        <w:t>采用的弱点分类体系</w:t>
      </w:r>
      <w:r>
        <w:t xml:space="preserve"> CWE(Common Weakness Enumeration)。CWE </w:t>
      </w:r>
      <w:r>
        <w:rPr>
          <w:rFonts w:hint="eastAsia"/>
        </w:rPr>
        <w:t>是</w:t>
      </w:r>
      <w:r>
        <w:t xml:space="preserve"> MITRE </w:t>
      </w:r>
      <w:r>
        <w:rPr>
          <w:rFonts w:hint="eastAsia"/>
        </w:rPr>
        <w:t>维护的软件弱点枚举体系，可用于将具体</w:t>
      </w:r>
      <w:r>
        <w:t xml:space="preserve"> CVE </w:t>
      </w:r>
      <w:r>
        <w:rPr>
          <w:rFonts w:hint="eastAsia"/>
        </w:rPr>
        <w:t>归并到更抽象的弱点类型。CWE</w:t>
      </w:r>
      <w:r>
        <w:t xml:space="preserve"> </w:t>
      </w:r>
      <w:r>
        <w:rPr>
          <w:rFonts w:hint="eastAsia"/>
        </w:rPr>
        <w:t>体系并不是严格互斥的分类框架。同一漏洞往往会同时对应多个弱点条目，不同条目在抽象层次上也可能彼此交叉。在收集的</w:t>
      </w:r>
      <w:r>
        <w:t xml:space="preserve"> 55 </w:t>
      </w:r>
      <w:r>
        <w:rPr>
          <w:rFonts w:hint="eastAsia"/>
        </w:rPr>
        <w:t>个权限提升漏洞中，有</w:t>
      </w:r>
      <w:r>
        <w:t xml:space="preserve"> 20 </w:t>
      </w:r>
      <w:r>
        <w:rPr>
          <w:rFonts w:hint="eastAsia"/>
        </w:rPr>
        <w:t>个样本同时关联两个及以上</w:t>
      </w:r>
      <w:r>
        <w:t xml:space="preserve"> CWE </w:t>
      </w:r>
      <w:r>
        <w:rPr>
          <w:rFonts w:hint="eastAsia"/>
        </w:rPr>
        <w:t>标签，占比</w:t>
      </w:r>
      <w:r>
        <w:t xml:space="preserve"> </w:t>
      </w:r>
      <w:r>
        <w:rPr>
          <w:rFonts w:hint="eastAsia"/>
        </w:rPr>
        <w:t>36%。为更客观地反映</w:t>
      </w:r>
      <w:r>
        <w:t xml:space="preserve"> CWE </w:t>
      </w:r>
      <w:r>
        <w:rPr>
          <w:rFonts w:hint="eastAsia"/>
        </w:rPr>
        <w:t>分布，统计时令每个</w:t>
      </w:r>
      <w:r>
        <w:t xml:space="preserve"> CVE </w:t>
      </w:r>
      <w:r>
        <w:rPr>
          <w:rFonts w:hint="eastAsia"/>
        </w:rPr>
        <w:t>的总权重为</w:t>
      </w:r>
      <w:r>
        <w:t xml:space="preserve"> </w:t>
      </w:r>
      <w:r>
        <w:rPr>
          <w:rFonts w:hint="eastAsia"/>
        </w:rPr>
        <w:t>1，多标签样本按标签数平均分配。</w:t>
      </w:r>
    </w:p>
    <w:tbl>
      <w:tblPr>
        <w:tblStyle w:val="18"/>
        <w:tblW w:w="0" w:type="auto"/>
        <w:jc w:val="center"/>
        <w:tblLayout w:type="autofit"/>
        <w:tblCellMar>
          <w:top w:w="0" w:type="dxa"/>
          <w:left w:w="10" w:type="dxa"/>
          <w:bottom w:w="0" w:type="dxa"/>
          <w:right w:w="10" w:type="dxa"/>
        </w:tblCellMar>
      </w:tblPr>
      <w:tblGrid>
        <w:gridCol w:w="7580"/>
      </w:tblGrid>
      <w:tr w14:paraId="4B51A516">
        <w:tblPrEx>
          <w:tblCellMar>
            <w:top w:w="0" w:type="dxa"/>
            <w:left w:w="10" w:type="dxa"/>
            <w:bottom w:w="0" w:type="dxa"/>
            <w:right w:w="10" w:type="dxa"/>
          </w:tblCellMar>
        </w:tblPrEx>
        <w:trPr>
          <w:jc w:val="center"/>
        </w:trPr>
        <w:tc>
          <w:p w14:paraId="409CB41C">
            <w:pPr>
              <w:jc w:val="center"/>
            </w:pPr>
            <w:bookmarkStart w:id="52" w:name="fig:cwe-distribution-ch3"/>
            <w:r>
              <w:drawing>
                <wp:inline distT="0" distB="0" distL="114300" distR="114300">
                  <wp:extent cx="4800600" cy="3054985"/>
                  <wp:effectExtent l="0" t="0" r="0" b="0"/>
                  <wp:docPr id="8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image"/>
                          <pic:cNvPicPr>
                            <a:picLocks noChangeAspect="1" noChangeArrowheads="1"/>
                          </pic:cNvPicPr>
                        </pic:nvPicPr>
                        <pic:blipFill>
                          <a:blip r:embed="rId12"/>
                          <a:stretch>
                            <a:fillRect/>
                          </a:stretch>
                        </pic:blipFill>
                        <pic:spPr>
                          <a:xfrm>
                            <a:off x="0" y="0"/>
                            <a:ext cx="4800600" cy="3055146"/>
                          </a:xfrm>
                          <a:prstGeom prst="rect">
                            <a:avLst/>
                          </a:prstGeom>
                          <a:noFill/>
                          <a:ln w="9525">
                            <a:noFill/>
                          </a:ln>
                        </pic:spPr>
                      </pic:pic>
                    </a:graphicData>
                  </a:graphic>
                </wp:inline>
              </w:drawing>
            </w:r>
            <w:r>
              <w:t xml:space="preserve"> </w:t>
            </w:r>
            <w:bookmarkStart w:id="53" w:name="fig:cwe-distribution-ch3"/>
            <w:bookmarkEnd w:id="53"/>
          </w:p>
        </w:tc>
      </w:tr>
      <w:bookmarkEnd w:id="52"/>
    </w:tbl>
    <w:p w14:paraId="420A7ECA">
      <w:pPr>
        <w:pStyle w:val="3"/>
      </w:pPr>
      <w:r>
        <w:rPr>
          <w:rFonts w:hint="eastAsia"/>
        </w:rPr>
        <w:t>综上，权限提升漏洞可能存在多种特性，而</w:t>
      </w:r>
      <w:r>
        <w:t xml:space="preserve"> CWE </w:t>
      </w:r>
      <w:r>
        <w:rPr>
          <w:rFonts w:hint="eastAsia"/>
        </w:rPr>
        <w:t>的类目划分并不能指出权限提升漏洞攻击的关键攻击路径。为此，构建面向云原生权限提升漏洞的两级成因分类框架。该框架基于漏洞的关键成因，其中一级分类用于概括高层风险来源，如安全逻辑缺陷、配置缺陷、代码注入和敏感信息泄露；二级分类则进一步细化到更贴近防控动作选择的类型，如授权验证不完善、默认不安全配置等。在策略生成阶段，分类结果作为提示词中的结构化约束，引导模型先识别漏洞的主要成因，再定位关键控制点，最后组织可执行的防控动作，从而减少无关信息并提高策略的有效性。完整的分类见表</w:t>
      </w:r>
      <w:r>
        <w:fldChar w:fldCharType="begin"/>
      </w:r>
      <w:r>
        <w:instrText xml:space="preserve"> HYPERLINK \l "tab:cloud-native-vuln" \h </w:instrText>
      </w:r>
      <w:r>
        <w:fldChar w:fldCharType="separate"/>
      </w:r>
      <w:r>
        <w:rPr>
          <w:rStyle w:val="20"/>
        </w:rPr>
        <w:t>3.1</w:t>
      </w:r>
      <w:r>
        <w:rPr>
          <w:rStyle w:val="20"/>
        </w:rPr>
        <w:fldChar w:fldCharType="end"/>
      </w:r>
      <w:r>
        <w:t>。</w:t>
      </w:r>
    </w:p>
    <w:p w14:paraId="3326FB27">
      <w:pPr>
        <w:pStyle w:val="3"/>
      </w:pPr>
      <w:bookmarkStart w:id="54" w:name="tab:cloud-native-vuln"/>
      <w:bookmarkEnd w:id="54"/>
    </w:p>
    <w:tbl>
      <w:tblPr>
        <w:tblStyle w:val="41"/>
        <w:tblW w:w="0" w:type="auto"/>
        <w:tblInd w:w="0" w:type="dxa"/>
        <w:tblLayout w:type="autofit"/>
        <w:tblCellMar>
          <w:top w:w="0" w:type="dxa"/>
          <w:left w:w="108" w:type="dxa"/>
          <w:bottom w:w="0" w:type="dxa"/>
          <w:right w:w="108" w:type="dxa"/>
        </w:tblCellMar>
      </w:tblPr>
      <w:tblGrid>
        <w:gridCol w:w="1176"/>
        <w:gridCol w:w="1896"/>
        <w:gridCol w:w="1992"/>
      </w:tblGrid>
      <w:tr w14:paraId="1AF10080">
        <w:tblPrEx>
          <w:tblCellMar>
            <w:top w:w="0" w:type="dxa"/>
            <w:left w:w="108" w:type="dxa"/>
            <w:bottom w:w="0" w:type="dxa"/>
            <w:right w:w="108" w:type="dxa"/>
          </w:tblCellMar>
        </w:tblPrEx>
        <w:trPr>
          <w:tblHeader/>
        </w:trPr>
        <w:tc>
          <w:p w14:paraId="3FFB9B09">
            <w:pPr>
              <w:pStyle w:val="24"/>
              <w:jc w:val="left"/>
            </w:pPr>
            <w:bookmarkStart w:id="55" w:name="tab:cloud-native-vuln"/>
            <w:r>
              <w:rPr>
                <w:rFonts w:hint="eastAsia"/>
                <w:b/>
                <w:bCs/>
              </w:rPr>
              <w:t>一级分类</w:t>
            </w:r>
          </w:p>
        </w:tc>
        <w:tc>
          <w:p w14:paraId="3A096707">
            <w:pPr>
              <w:pStyle w:val="24"/>
              <w:jc w:val="left"/>
            </w:pPr>
            <w:r>
              <w:rPr>
                <w:rFonts w:hint="eastAsia"/>
                <w:b/>
                <w:bCs/>
              </w:rPr>
              <w:t>二级分类</w:t>
            </w:r>
          </w:p>
        </w:tc>
        <w:tc>
          <w:p w14:paraId="61D29958">
            <w:pPr>
              <w:pStyle w:val="24"/>
              <w:jc w:val="left"/>
            </w:pPr>
            <w:r>
              <w:rPr>
                <w:rFonts w:hint="eastAsia"/>
                <w:b/>
                <w:bCs/>
              </w:rPr>
              <w:t>示例</w:t>
            </w:r>
            <w:r>
              <w:rPr>
                <w:b/>
                <w:bCs/>
              </w:rPr>
              <w:t xml:space="preserve"> CVE</w:t>
            </w:r>
          </w:p>
        </w:tc>
      </w:tr>
      <w:tr w14:paraId="046AE7E6">
        <w:tblPrEx>
          <w:tblCellMar>
            <w:top w:w="0" w:type="dxa"/>
            <w:left w:w="108" w:type="dxa"/>
            <w:bottom w:w="0" w:type="dxa"/>
            <w:right w:w="108" w:type="dxa"/>
          </w:tblCellMar>
        </w:tblPrEx>
        <w:tc>
          <w:p w14:paraId="1E884CB3">
            <w:pPr>
              <w:pStyle w:val="24"/>
            </w:pPr>
          </w:p>
        </w:tc>
        <w:tc>
          <w:p w14:paraId="5BF9446B">
            <w:pPr>
              <w:pStyle w:val="24"/>
              <w:jc w:val="left"/>
            </w:pPr>
            <w:r>
              <w:rPr>
                <w:rFonts w:hint="eastAsia"/>
              </w:rPr>
              <w:t>冗余权限</w:t>
            </w:r>
          </w:p>
        </w:tc>
        <w:tc>
          <w:p w14:paraId="78CA4502">
            <w:pPr>
              <w:pStyle w:val="24"/>
              <w:jc w:val="left"/>
            </w:pPr>
            <w:r>
              <w:t>CVE-2023-30512</w:t>
            </w:r>
          </w:p>
        </w:tc>
      </w:tr>
      <w:tr w14:paraId="1AEF00B6">
        <w:tblPrEx>
          <w:tblCellMar>
            <w:top w:w="0" w:type="dxa"/>
            <w:left w:w="108" w:type="dxa"/>
            <w:bottom w:w="0" w:type="dxa"/>
            <w:right w:w="108" w:type="dxa"/>
          </w:tblCellMar>
        </w:tblPrEx>
        <w:tc>
          <w:p w14:paraId="243D7DE5">
            <w:pPr>
              <w:pStyle w:val="24"/>
            </w:pPr>
          </w:p>
        </w:tc>
        <w:tc>
          <w:p w14:paraId="6C0B34DA">
            <w:pPr>
              <w:pStyle w:val="24"/>
              <w:jc w:val="left"/>
            </w:pPr>
            <w:r>
              <w:rPr>
                <w:rFonts w:hint="eastAsia"/>
              </w:rPr>
              <w:t>网络隔离不足</w:t>
            </w:r>
          </w:p>
        </w:tc>
        <w:tc>
          <w:p w14:paraId="3833603D">
            <w:pPr>
              <w:pStyle w:val="24"/>
              <w:jc w:val="left"/>
            </w:pPr>
            <w:r>
              <w:t>CVE-2020-4062</w:t>
            </w:r>
          </w:p>
        </w:tc>
      </w:tr>
      <w:tr w14:paraId="63E4570A">
        <w:tblPrEx>
          <w:tblCellMar>
            <w:top w:w="0" w:type="dxa"/>
            <w:left w:w="108" w:type="dxa"/>
            <w:bottom w:w="0" w:type="dxa"/>
            <w:right w:w="108" w:type="dxa"/>
          </w:tblCellMar>
        </w:tblPrEx>
        <w:tc>
          <w:p w14:paraId="40B09867">
            <w:pPr>
              <w:pStyle w:val="24"/>
            </w:pPr>
          </w:p>
        </w:tc>
        <w:tc>
          <w:p w14:paraId="6FD02420">
            <w:pPr>
              <w:pStyle w:val="24"/>
              <w:jc w:val="left"/>
            </w:pPr>
            <w:r>
              <w:rPr>
                <w:rFonts w:hint="eastAsia"/>
              </w:rPr>
              <w:t>访问控制缺陷</w:t>
            </w:r>
          </w:p>
        </w:tc>
        <w:tc>
          <w:p w14:paraId="3090E4C8">
            <w:pPr>
              <w:pStyle w:val="24"/>
              <w:jc w:val="left"/>
            </w:pPr>
            <w:r>
              <w:t>CVE-2022-24768</w:t>
            </w:r>
          </w:p>
        </w:tc>
      </w:tr>
      <w:tr w14:paraId="7234CDF2">
        <w:tblPrEx>
          <w:tblCellMar>
            <w:top w:w="0" w:type="dxa"/>
            <w:left w:w="108" w:type="dxa"/>
            <w:bottom w:w="0" w:type="dxa"/>
            <w:right w:w="108" w:type="dxa"/>
          </w:tblCellMar>
        </w:tblPrEx>
        <w:tc>
          <w:p w14:paraId="1AC266D7">
            <w:pPr>
              <w:pStyle w:val="24"/>
            </w:pPr>
          </w:p>
        </w:tc>
        <w:tc>
          <w:p w14:paraId="68C39AAB">
            <w:pPr>
              <w:pStyle w:val="24"/>
              <w:jc w:val="left"/>
            </w:pPr>
            <w:r>
              <w:rPr>
                <w:rFonts w:hint="eastAsia"/>
              </w:rPr>
              <w:t>身份验证绕过</w:t>
            </w:r>
          </w:p>
        </w:tc>
        <w:tc>
          <w:p w14:paraId="101C752B">
            <w:pPr>
              <w:pStyle w:val="24"/>
              <w:jc w:val="left"/>
            </w:pPr>
            <w:r>
              <w:t>CVE-2023-22482</w:t>
            </w:r>
          </w:p>
        </w:tc>
      </w:tr>
      <w:tr w14:paraId="6D71ED4F">
        <w:tblPrEx>
          <w:tblCellMar>
            <w:top w:w="0" w:type="dxa"/>
            <w:left w:w="108" w:type="dxa"/>
            <w:bottom w:w="0" w:type="dxa"/>
            <w:right w:w="108" w:type="dxa"/>
          </w:tblCellMar>
        </w:tblPrEx>
        <w:tc>
          <w:p w14:paraId="4BBE9596">
            <w:pPr>
              <w:pStyle w:val="24"/>
            </w:pPr>
          </w:p>
        </w:tc>
        <w:tc>
          <w:p w14:paraId="607BE31A">
            <w:pPr>
              <w:pStyle w:val="24"/>
              <w:jc w:val="left"/>
            </w:pPr>
            <w:r>
              <w:rPr>
                <w:rFonts w:hint="eastAsia"/>
              </w:rPr>
              <w:t>输入验证不足</w:t>
            </w:r>
          </w:p>
        </w:tc>
        <w:tc>
          <w:p w14:paraId="29702EA8">
            <w:pPr>
              <w:pStyle w:val="24"/>
              <w:jc w:val="left"/>
            </w:pPr>
            <w:r>
              <w:t>CVE-2023-3955</w:t>
            </w:r>
          </w:p>
        </w:tc>
      </w:tr>
      <w:tr w14:paraId="2FBD0548">
        <w:tblPrEx>
          <w:tblCellMar>
            <w:top w:w="0" w:type="dxa"/>
            <w:left w:w="108" w:type="dxa"/>
            <w:bottom w:w="0" w:type="dxa"/>
            <w:right w:w="108" w:type="dxa"/>
          </w:tblCellMar>
        </w:tblPrEx>
        <w:tc>
          <w:p w14:paraId="0ECD0F9F">
            <w:pPr>
              <w:pStyle w:val="24"/>
            </w:pPr>
          </w:p>
        </w:tc>
        <w:tc>
          <w:p w14:paraId="18460359">
            <w:pPr>
              <w:pStyle w:val="24"/>
              <w:jc w:val="left"/>
            </w:pPr>
            <w:r>
              <w:rPr>
                <w:rFonts w:hint="eastAsia"/>
              </w:rPr>
              <w:t>授权验证不完善</w:t>
            </w:r>
          </w:p>
        </w:tc>
        <w:tc>
          <w:p w14:paraId="0A5D4987">
            <w:pPr>
              <w:pStyle w:val="24"/>
              <w:jc w:val="left"/>
            </w:pPr>
            <w:r>
              <w:t>CVE-2022-21701</w:t>
            </w:r>
          </w:p>
        </w:tc>
      </w:tr>
      <w:tr w14:paraId="083B35AF">
        <w:tblPrEx>
          <w:tblCellMar>
            <w:top w:w="0" w:type="dxa"/>
            <w:left w:w="108" w:type="dxa"/>
            <w:bottom w:w="0" w:type="dxa"/>
            <w:right w:w="108" w:type="dxa"/>
          </w:tblCellMar>
        </w:tblPrEx>
        <w:tc>
          <w:p w14:paraId="36807747">
            <w:pPr>
              <w:pStyle w:val="24"/>
            </w:pPr>
          </w:p>
        </w:tc>
        <w:tc>
          <w:p w14:paraId="3811D98C">
            <w:pPr>
              <w:pStyle w:val="24"/>
              <w:jc w:val="left"/>
            </w:pPr>
            <w:r>
              <w:rPr>
                <w:rFonts w:hint="eastAsia"/>
              </w:rPr>
              <w:t>API端口暴露</w:t>
            </w:r>
          </w:p>
        </w:tc>
        <w:tc>
          <w:p w14:paraId="4E190CAB">
            <w:pPr>
              <w:pStyle w:val="24"/>
              <w:jc w:val="left"/>
            </w:pPr>
            <w:r>
              <w:t>CVE-2022-1902</w:t>
            </w:r>
          </w:p>
        </w:tc>
      </w:tr>
      <w:tr w14:paraId="47C191DE">
        <w:tc>
          <w:p w14:paraId="3E41C146">
            <w:pPr>
              <w:pStyle w:val="24"/>
            </w:pPr>
          </w:p>
        </w:tc>
        <w:tc>
          <w:p w14:paraId="151DD467">
            <w:pPr>
              <w:pStyle w:val="24"/>
              <w:jc w:val="left"/>
            </w:pPr>
            <w:r>
              <w:rPr>
                <w:rFonts w:hint="eastAsia"/>
              </w:rPr>
              <w:t>日志泄露</w:t>
            </w:r>
          </w:p>
        </w:tc>
        <w:tc>
          <w:p w14:paraId="66DECC6C">
            <w:pPr>
              <w:pStyle w:val="24"/>
              <w:jc w:val="left"/>
            </w:pPr>
            <w:r>
              <w:t>CVE-2019-10165</w:t>
            </w:r>
          </w:p>
        </w:tc>
      </w:tr>
      <w:tr w14:paraId="5D6B19E0">
        <w:tblPrEx>
          <w:tblCellMar>
            <w:top w:w="0" w:type="dxa"/>
            <w:left w:w="108" w:type="dxa"/>
            <w:bottom w:w="0" w:type="dxa"/>
            <w:right w:w="108" w:type="dxa"/>
          </w:tblCellMar>
        </w:tblPrEx>
        <w:tc>
          <w:p w14:paraId="43BB5A9C">
            <w:pPr>
              <w:pStyle w:val="24"/>
            </w:pPr>
          </w:p>
        </w:tc>
        <w:tc>
          <w:p w14:paraId="48502A61">
            <w:pPr>
              <w:pStyle w:val="24"/>
              <w:jc w:val="left"/>
            </w:pPr>
            <w:r>
              <w:rPr>
                <w:rFonts w:hint="eastAsia"/>
              </w:rPr>
              <w:t>配置文件泄露</w:t>
            </w:r>
          </w:p>
        </w:tc>
        <w:tc>
          <w:p w14:paraId="0C70DCB0">
            <w:pPr>
              <w:pStyle w:val="24"/>
              <w:jc w:val="left"/>
            </w:pPr>
            <w:r>
              <w:t>CVE-2019-3869</w:t>
            </w:r>
          </w:p>
        </w:tc>
      </w:tr>
      <w:tr w14:paraId="6333ECD7">
        <w:tblPrEx>
          <w:tblCellMar>
            <w:top w:w="0" w:type="dxa"/>
            <w:left w:w="108" w:type="dxa"/>
            <w:bottom w:w="0" w:type="dxa"/>
            <w:right w:w="108" w:type="dxa"/>
          </w:tblCellMar>
        </w:tblPrEx>
        <w:tc>
          <w:p w14:paraId="202CA349">
            <w:pPr>
              <w:pStyle w:val="24"/>
            </w:pPr>
          </w:p>
        </w:tc>
        <w:tc>
          <w:p w14:paraId="0DF0462C">
            <w:pPr>
              <w:pStyle w:val="24"/>
              <w:jc w:val="left"/>
            </w:pPr>
            <w:r>
              <w:rPr>
                <w:rFonts w:hint="eastAsia"/>
              </w:rPr>
              <w:t>命令注入</w:t>
            </w:r>
          </w:p>
        </w:tc>
        <w:tc>
          <w:p w14:paraId="517D04C8">
            <w:pPr>
              <w:pStyle w:val="24"/>
              <w:jc w:val="left"/>
            </w:pPr>
            <w:r>
              <w:t>CVE-2021-41254</w:t>
            </w:r>
          </w:p>
        </w:tc>
      </w:tr>
      <w:tr w14:paraId="79D27C6F">
        <w:tblPrEx>
          <w:tblCellMar>
            <w:top w:w="0" w:type="dxa"/>
            <w:left w:w="108" w:type="dxa"/>
            <w:bottom w:w="0" w:type="dxa"/>
            <w:right w:w="108" w:type="dxa"/>
          </w:tblCellMar>
        </w:tblPrEx>
        <w:tc>
          <w:p w14:paraId="3A8EC8C7">
            <w:pPr>
              <w:pStyle w:val="24"/>
            </w:pPr>
          </w:p>
        </w:tc>
        <w:tc>
          <w:p w14:paraId="3083D267">
            <w:pPr>
              <w:pStyle w:val="24"/>
              <w:jc w:val="left"/>
            </w:pPr>
            <w:r>
              <w:rPr>
                <w:rFonts w:hint="eastAsia"/>
              </w:rPr>
              <w:t>路径遍历</w:t>
            </w:r>
          </w:p>
        </w:tc>
        <w:tc>
          <w:p w14:paraId="32B6510B">
            <w:pPr>
              <w:pStyle w:val="24"/>
              <w:jc w:val="left"/>
            </w:pPr>
            <w:r>
              <w:t>CVE-2022-24877</w:t>
            </w:r>
          </w:p>
        </w:tc>
      </w:tr>
      <w:bookmarkEnd w:id="55"/>
    </w:tbl>
    <w:p w14:paraId="380FDA28">
      <w:pPr>
        <w:pStyle w:val="3"/>
      </w:pPr>
      <w:r>
        <w:rPr>
          <w:rFonts w:hint="eastAsia"/>
        </w:rPr>
        <w:t>以下对各级分类分别展开说明。</w:t>
      </w:r>
    </w:p>
    <w:p w14:paraId="3A691BBD">
      <w:pPr>
        <w:pStyle w:val="3"/>
      </w:pPr>
      <w:r>
        <w:rPr>
          <w:rFonts w:hint="eastAsia"/>
          <w:b/>
          <w:bCs/>
        </w:rPr>
        <w:t>1)配置缺陷</w:t>
      </w:r>
      <w:r>
        <w:rPr>
          <w:rFonts w:hint="eastAsia"/>
        </w:rPr>
        <w:t>指应用或基础设施的配置不当导致的安全漏洞，主要包括两种情形：</w:t>
      </w:r>
    </w:p>
    <w:p w14:paraId="6EC7BB7A">
      <w:pPr>
        <w:numPr>
          <w:ilvl w:val="0"/>
          <w:numId w:val="2"/>
        </w:numPr>
      </w:pPr>
      <w:r>
        <w:rPr>
          <w:rFonts w:hint="eastAsia"/>
        </w:rPr>
        <w:t>冗余权限：K8s</w:t>
      </w:r>
      <w:r>
        <w:t xml:space="preserve"> RBAC </w:t>
      </w:r>
      <w:r>
        <w:rPr>
          <w:rFonts w:hint="eastAsia"/>
        </w:rPr>
        <w:t>配置不当、Role/ClusterRole</w:t>
      </w:r>
      <w:r>
        <w:t xml:space="preserve"> </w:t>
      </w:r>
      <w:r>
        <w:rPr>
          <w:rFonts w:hint="eastAsia"/>
        </w:rPr>
        <w:t>规则范围过宽或绑定关系不合理等，使低权限主体获得超出其职责的资源访问与高危操作能力。云原生应用在安装时申请了远超其功能需求的集群级权限，一旦被攻击者利用，即可借助已有</w:t>
      </w:r>
      <w:r>
        <w:t xml:space="preserve"> ServiceAccount </w:t>
      </w:r>
      <w:r>
        <w:rPr>
          <w:rFonts w:hint="eastAsia"/>
        </w:rPr>
        <w:t>绑定关系直接接管集群关键资源</w:t>
      </w:r>
      <w:r>
        <w:t>(O’Shea 1995; Yang et al. 2023)。</w:t>
      </w:r>
    </w:p>
    <w:p w14:paraId="5E3FDB00">
      <w:pPr>
        <w:numPr>
          <w:ilvl w:val="0"/>
          <w:numId w:val="2"/>
        </w:numPr>
      </w:pPr>
      <w:r>
        <w:rPr>
          <w:rFonts w:hint="eastAsia"/>
        </w:rPr>
        <w:t>网络隔离不足：容器、Pod</w:t>
      </w:r>
      <w:r>
        <w:t xml:space="preserve"> </w:t>
      </w:r>
      <w:r>
        <w:rPr>
          <w:rFonts w:hint="eastAsia"/>
        </w:rPr>
        <w:t>或服务间缺乏必要的网络隔离策略，导致攻击者在突破单一组件后可借助集群内部网络横向移动。</w:t>
      </w:r>
    </w:p>
    <w:p w14:paraId="4B3D7C33">
      <w:pPr>
        <w:pStyle w:val="23"/>
      </w:pPr>
      <w:r>
        <w:rPr>
          <w:rFonts w:hint="eastAsia"/>
          <w:b/>
          <w:bCs/>
        </w:rPr>
        <w:t>2)安全逻辑缺陷</w:t>
      </w:r>
      <w:r>
        <w:rPr>
          <w:rFonts w:hint="eastAsia"/>
        </w:rPr>
        <w:t>指应用代码中的安全机制设计或实现不当，涵盖以下情形：</w:t>
      </w:r>
    </w:p>
    <w:p w14:paraId="3CE250DE">
      <w:pPr>
        <w:numPr>
          <w:ilvl w:val="0"/>
          <w:numId w:val="3"/>
        </w:numPr>
      </w:pPr>
      <w:r>
        <w:rPr>
          <w:rFonts w:hint="eastAsia"/>
        </w:rPr>
        <w:t>访问控制缺陷：应用的权限检查逻辑存在遗漏或条件判断不完整，允许攻击者通过构造特定请求绕过鉴权层，直接操作受保护资源；</w:t>
      </w:r>
    </w:p>
    <w:p w14:paraId="22BF3BC7">
      <w:pPr>
        <w:numPr>
          <w:ilvl w:val="0"/>
          <w:numId w:val="3"/>
        </w:numPr>
      </w:pPr>
      <w:r>
        <w:rPr>
          <w:rFonts w:hint="eastAsia"/>
        </w:rPr>
        <w:t>身份验证绕过：认证机制在特定调用路径下存在设计缺陷，攻击者可伪造令牌、利用过期凭证或跳过认证前置步骤，以合法身份的名义执行未授权操作；</w:t>
      </w:r>
    </w:p>
    <w:p w14:paraId="2EFE88EB">
      <w:pPr>
        <w:numPr>
          <w:ilvl w:val="0"/>
          <w:numId w:val="3"/>
        </w:numPr>
      </w:pPr>
      <w:r>
        <w:rPr>
          <w:rFonts w:hint="eastAsia"/>
        </w:rPr>
        <w:t>输入验证不足：对请求参数、资源标识或边界条件的校验不充分，导致攻击者借由畸形输入触发意料之外的执行分支，进而扩大权限边界或绕过越权检查路径；</w:t>
      </w:r>
    </w:p>
    <w:p w14:paraId="38057F9D">
      <w:pPr>
        <w:numPr>
          <w:ilvl w:val="0"/>
          <w:numId w:val="3"/>
        </w:numPr>
      </w:pPr>
      <w:r>
        <w:rPr>
          <w:rFonts w:hint="eastAsia"/>
        </w:rPr>
        <w:t>授权验证不完善：权限检查仅覆盖主流程，在某些操作路径、回调分支或边界条件下存在验证缺失，使攻击者得以通过非常规路径访问需要更高权限的功能。</w:t>
      </w:r>
    </w:p>
    <w:p w14:paraId="15E63EC2">
      <w:pPr>
        <w:pStyle w:val="23"/>
      </w:pPr>
      <w:r>
        <w:rPr>
          <w:rFonts w:hint="eastAsia"/>
          <w:b/>
          <w:bCs/>
        </w:rPr>
        <w:t>3)敏感信息泄露</w:t>
      </w:r>
      <w:r>
        <w:rPr>
          <w:rFonts w:hint="eastAsia"/>
        </w:rPr>
        <w:t>指重要的身份凭证、密钥或访问令牌在不应暴露的位置意外出现，攻击者可借此直接获取高权限访问能力，常见形式包括：</w:t>
      </w:r>
    </w:p>
    <w:p w14:paraId="6FC0490D">
      <w:pPr>
        <w:numPr>
          <w:ilvl w:val="0"/>
          <w:numId w:val="4"/>
        </w:numPr>
      </w:pPr>
      <w:r>
        <w:t xml:space="preserve">API </w:t>
      </w:r>
      <w:r>
        <w:rPr>
          <w:rFonts w:hint="eastAsia"/>
        </w:rPr>
        <w:t>端口暴露：管理接口、内部</w:t>
      </w:r>
      <w:r>
        <w:t xml:space="preserve"> API </w:t>
      </w:r>
      <w:r>
        <w:rPr>
          <w:rFonts w:hint="eastAsia"/>
        </w:rPr>
        <w:t>或调试端口未设访问控制地暴露在集群网络中，攻击者可直接调用高权限接口执行敏感操作；</w:t>
      </w:r>
    </w:p>
    <w:p w14:paraId="0DA20369">
      <w:pPr>
        <w:numPr>
          <w:ilvl w:val="0"/>
          <w:numId w:val="4"/>
        </w:numPr>
      </w:pPr>
      <w:r>
        <w:rPr>
          <w:rFonts w:hint="eastAsia"/>
        </w:rPr>
        <w:t>日志泄露：应用错误处理不当，将包含密钥、访问令牌或命令历史的原始信息写入日志，使具有日志读取权限的攻击者得以提取有效凭证；</w:t>
      </w:r>
    </w:p>
    <w:p w14:paraId="34574DFF">
      <w:pPr>
        <w:numPr>
          <w:ilvl w:val="0"/>
          <w:numId w:val="4"/>
        </w:numPr>
      </w:pPr>
      <w:r>
        <w:rPr>
          <w:rFonts w:hint="eastAsia"/>
        </w:rPr>
        <w:t>配置文件泄露：部署清单或环境变量中存在硬编码的凭证或密钥，一旦配置文件被读取即可直接复用高权限账户。</w:t>
      </w:r>
    </w:p>
    <w:p w14:paraId="4D639EE5">
      <w:pPr>
        <w:pStyle w:val="23"/>
      </w:pPr>
      <w:r>
        <w:rPr>
          <w:rFonts w:hint="eastAsia"/>
          <w:b/>
          <w:bCs/>
        </w:rPr>
        <w:t>4)代码注入</w:t>
      </w:r>
      <w:r>
        <w:rPr>
          <w:rFonts w:hint="eastAsia"/>
        </w:rPr>
        <w:t>指应用对外部输入的处理不当，使攻击者得以将恶意指令混入正常执行流，从而在目标系统上以当前进程权限执行任意操作。典型子类包括：</w:t>
      </w:r>
    </w:p>
    <w:p w14:paraId="7C47BEB6">
      <w:pPr>
        <w:numPr>
          <w:ilvl w:val="0"/>
          <w:numId w:val="5"/>
        </w:numPr>
      </w:pPr>
      <w:r>
        <w:rPr>
          <w:rFonts w:hint="eastAsia"/>
        </w:rPr>
        <w:t>命令注入：应用将用户可控内容拼接进系统调用或</w:t>
      </w:r>
      <w:r>
        <w:t xml:space="preserve"> shell </w:t>
      </w:r>
      <w:r>
        <w:rPr>
          <w:rFonts w:hint="eastAsia"/>
        </w:rPr>
        <w:t>命令，攻击者通过注入分隔符或控制字符劫持执行流，以容器或宿主机进程权限运行任意命令；</w:t>
      </w:r>
    </w:p>
    <w:p w14:paraId="3C37C642">
      <w:pPr>
        <w:numPr>
          <w:ilvl w:val="0"/>
          <w:numId w:val="5"/>
        </w:numPr>
      </w:pPr>
      <w:r>
        <w:rPr>
          <w:rFonts w:hint="eastAsia"/>
        </w:rPr>
        <w:t>路径遍历：应用在拼接文件路径时未做规范化处理，攻击者借助</w:t>
      </w:r>
      <w:r>
        <w:t xml:space="preserve"> </w:t>
      </w:r>
      <w:r>
        <w:rPr>
          <w:rStyle w:val="48"/>
        </w:rPr>
        <w:t>../</w:t>
      </w:r>
      <w:r>
        <w:t xml:space="preserve"> </w:t>
      </w:r>
      <w:r>
        <w:rPr>
          <w:rFonts w:hint="eastAsia"/>
        </w:rPr>
        <w:t>序列突破预设目录边界，读取或写入系统敏感文件，进而获取凭证或修改关键配置。</w:t>
      </w:r>
    </w:p>
    <w:bookmarkEnd w:id="51"/>
    <w:p w14:paraId="66697820">
      <w:pPr>
        <w:pStyle w:val="6"/>
      </w:pPr>
      <w:bookmarkStart w:id="56" w:name="知识库构建"/>
      <w:r>
        <w:rPr>
          <w:rFonts w:hint="eastAsia"/>
        </w:rPr>
        <w:t>(4)知识库构建</w:t>
      </w:r>
    </w:p>
    <w:p w14:paraId="1C24DB5D">
      <w:pPr>
        <w:pStyle w:val="23"/>
      </w:pPr>
      <w:r>
        <w:rPr>
          <w:rFonts w:hint="eastAsia"/>
        </w:rPr>
        <w:t>知识库构建阶段的目标是将与漏洞</w:t>
      </w:r>
      <w:r>
        <w:t xml:space="preserve"> </w:t>
      </w:r>
      <m:oMath>
        <m:r>
          <m:rPr/>
          <m:t>v</m:t>
        </m:r>
      </m:oMath>
      <w:r>
        <w:t xml:space="preserve"> </w:t>
      </w:r>
      <w:r>
        <w:rPr>
          <w:rFonts w:hint="eastAsia"/>
        </w:rPr>
        <w:t>相关的多源材料组织为带来源标注的证据集合，并建立支持按需取证的检索增强生成。围绕</w:t>
      </w:r>
      <w:r>
        <w:t xml:space="preserve"> </w:t>
      </w:r>
      <m:oMath>
        <m:r>
          <m:rPr/>
          <m:t>v</m:t>
        </m:r>
      </m:oMath>
      <w:r>
        <w:t xml:space="preserve"> </w:t>
      </w:r>
      <w:r>
        <w:rPr>
          <w:rFonts w:hint="eastAsia"/>
        </w:rPr>
        <w:t>构建知识库</w:t>
      </w:r>
      <w:r>
        <w:t xml:space="preserve"> </w:t>
      </w:r>
      <m:oMath>
        <m:sSub>
          <m:sSubPr/>
          <m:e>
            <m:r>
              <m:rPr>
                <m:sty m:val="p"/>
                <m:scr m:val="script"/>
              </m:rPr>
              <m:t>K</m:t>
            </m:r>
          </m:e>
          <m:sub>
            <m:r>
              <m:rPr/>
              <m:t>v</m:t>
            </m:r>
          </m:sub>
        </m:sSub>
      </m:oMath>
      <w:r>
        <w:t xml:space="preserve"> </w:t>
      </w:r>
      <w:r>
        <w:rPr>
          <w:rFonts w:hint="eastAsia"/>
        </w:rPr>
        <w:t>后，策略生成阶段即可通过语义检索提取相关证据片段，并按需组装为安全上下文</w:t>
      </w:r>
      <w:r>
        <w:t xml:space="preserve"> </w:t>
      </w:r>
      <m:oMath>
        <m:r>
          <m:rPr/>
          <m:t>c</m:t>
        </m:r>
      </m:oMath>
      <w:r>
        <w:rPr>
          <w:rFonts w:hint="eastAsia"/>
        </w:rPr>
        <w:t>，为后续分析提供可追溯的事实依据。</w:t>
      </w:r>
    </w:p>
    <w:p w14:paraId="5BA093D9">
      <w:pPr>
        <w:pStyle w:val="3"/>
      </w:pPr>
      <w:r>
        <w:rPr>
          <w:rFonts w:hint="eastAsia"/>
        </w:rPr>
        <w:t>安全知识库基于开源仓库内多源信息构建分层向量数据库。首先自动化抓取每个漏洞关联的开源应用仓库，收集代码与文档，以及与漏洞相关的安全公告、议题(Issue)/合并请求(Pull</w:t>
      </w:r>
      <w:r>
        <w:t xml:space="preserve"> </w:t>
      </w:r>
      <w:r>
        <w:rPr>
          <w:rFonts w:hint="eastAsia"/>
        </w:rPr>
        <w:t>Request)讨论和修复提交信息。在完成材料收集后，研究对不同材料采用差异化分块策略以兼顾证据粒度与可复核性：对代码和配置按行切分，同时对文档则按段落与窗口切分，并保留适当重叠以减少跨块语义断裂。为实现语义层面的证据召回，研究为每个文本块构造向量表示，并建立近邻检索索引。具体采用</w:t>
      </w:r>
      <w:r>
        <w:t xml:space="preserve"> sentence-transformers </w:t>
      </w:r>
      <w:r>
        <w:rPr>
          <w:rFonts w:hint="eastAsia"/>
        </w:rPr>
        <w:t>框架中的</w:t>
      </w:r>
      <w:r>
        <w:t xml:space="preserve"> MPNet </w:t>
      </w:r>
      <w:r>
        <w:rPr>
          <w:rFonts w:hint="eastAsia"/>
        </w:rPr>
        <w:t>句子编码器</w:t>
      </w:r>
      <w:r>
        <w:t xml:space="preserve"> all-mpnet-base-v2 </w:t>
      </w:r>
      <w:r>
        <w:rPr>
          <w:rFonts w:hint="eastAsia"/>
        </w:rPr>
        <w:t>完成文本表示</w:t>
      </w:r>
      <w:r>
        <w:t>(Reimers and Gurevych 2019; Song et al. 2020)</w:t>
      </w:r>
      <w:r>
        <w:rPr>
          <w:rFonts w:hint="eastAsia"/>
        </w:rPr>
        <w:t>，并基于</w:t>
      </w:r>
      <w:r>
        <w:t xml:space="preserve"> FAISS(Douze et al. 2024) </w:t>
      </w:r>
      <w:r>
        <w:rPr>
          <w:rFonts w:hint="eastAsia"/>
        </w:rPr>
        <w:t>构建相似度索引。为保证可追溯性与可复现性，索引与元数据同步持久化，内容包括向量索引文件、块级元数据以及构建配置。</w:t>
      </w:r>
    </w:p>
    <w:p w14:paraId="34CEA682">
      <w:pPr>
        <w:pStyle w:val="3"/>
      </w:pPr>
      <w:r>
        <w:rPr>
          <w:rFonts w:hint="eastAsia"/>
        </w:rPr>
        <w:t>上述流程得到的向量知识库为后续策略生成提供了可追溯的证据支撑：模型分析漏洞和对应防控手段时可检索相关事实与上下文片段，并通过来源标识完成定位与复核。</w:t>
      </w:r>
    </w:p>
    <w:bookmarkEnd w:id="46"/>
    <w:bookmarkEnd w:id="56"/>
    <w:p w14:paraId="2A62EA56">
      <w:pPr>
        <w:pStyle w:val="5"/>
      </w:pPr>
      <w:bookmarkStart w:id="57" w:name="subsec:agent"/>
      <w:r>
        <w:rPr>
          <w:rFonts w:hint="eastAsia"/>
        </w:rPr>
        <w:t>基于多智能体的安全策略生成与优化</w:t>
      </w:r>
    </w:p>
    <w:p w14:paraId="7397EBAD">
      <w:pPr>
        <w:pStyle w:val="23"/>
      </w:pPr>
      <w:r>
        <w:rPr>
          <w:rFonts w:hint="eastAsia"/>
        </w:rPr>
        <w:t>策略生成阶段以漏洞实例</w:t>
      </w:r>
      <w:r>
        <w:t xml:space="preserve"> </w:t>
      </w:r>
      <m:oMath>
        <m:r>
          <m:rPr/>
          <m:t>v</m:t>
        </m:r>
        <m:r>
          <m:rPr>
            <m:sty m:val="p"/>
          </m:rPr>
          <m:t>=⟨</m:t>
        </m:r>
        <m:r>
          <m:rPr/>
          <m:t>id</m:t>
        </m:r>
        <m:r>
          <m:rPr>
            <m:sty m:val="p"/>
          </m:rPr>
          <m:t>,</m:t>
        </m:r>
        <m:r>
          <m:rPr/>
          <m:t>d</m:t>
        </m:r>
        <m:r>
          <m:rPr>
            <m:sty m:val="p"/>
          </m:rPr>
          <m:t>,</m:t>
        </m:r>
        <m:r>
          <m:rPr/>
          <m:t>m</m:t>
        </m:r>
        <m:r>
          <m:rPr>
            <m:sty m:val="p"/>
          </m:rPr>
          <m:t>⟩</m:t>
        </m:r>
      </m:oMath>
      <w:r>
        <w:t xml:space="preserve"> </w:t>
      </w:r>
      <w:r>
        <w:rPr>
          <w:rFonts w:hint="eastAsia"/>
        </w:rPr>
        <w:t>与安全上下文</w:t>
      </w:r>
      <w:r>
        <w:t xml:space="preserve"> </w:t>
      </w:r>
      <m:oMath>
        <m:r>
          <m:rPr/>
          <m:t>c</m:t>
        </m:r>
      </m:oMath>
      <w:r>
        <w:t xml:space="preserve"> </w:t>
      </w:r>
      <w:r>
        <w:rPr>
          <w:rFonts w:hint="eastAsia"/>
        </w:rPr>
        <w:t>为输入，在不同生成配置</w:t>
      </w:r>
      <w:r>
        <w:t xml:space="preserve"> </w:t>
      </w:r>
      <m:oMath>
        <m:r>
          <m:rPr/>
          <m:t>g</m:t>
        </m:r>
        <m:r>
          <m:rPr>
            <m:sty m:val="p"/>
          </m:rPr>
          <m:t>=(</m:t>
        </m:r>
        <m:r>
          <m:rPr/>
          <m:t>a</m:t>
        </m:r>
        <m:r>
          <m:rPr>
            <m:sty m:val="p"/>
          </m:rPr>
          <m:t>,</m:t>
        </m:r>
        <m:r>
          <m:rPr/>
          <m:t>h</m:t>
        </m:r>
        <m:r>
          <m:rPr>
            <m:sty m:val="p"/>
          </m:rPr>
          <m:t>)</m:t>
        </m:r>
      </m:oMath>
      <w:r>
        <w:t xml:space="preserve"> </w:t>
      </w:r>
      <w:r>
        <w:rPr>
          <w:rFonts w:hint="eastAsia"/>
        </w:rPr>
        <w:t>下开展多次独立生成，并将各配置输出的安全策略子集按定义</w:t>
      </w:r>
      <w:r>
        <w:t> </w:t>
      </w:r>
      <w:r>
        <w:fldChar w:fldCharType="begin"/>
      </w:r>
      <w:r>
        <w:instrText xml:space="preserve"> HYPERLINK \l "def:candidate-strategy-set" \h </w:instrText>
      </w:r>
      <w:r>
        <w:fldChar w:fldCharType="separate"/>
      </w:r>
      <w:r>
        <w:rPr>
          <w:rStyle w:val="20"/>
        </w:rPr>
        <w:t>[def:candidate-strategy-set]</w:t>
      </w:r>
      <w:r>
        <w:rPr>
          <w:rStyle w:val="20"/>
        </w:rPr>
        <w:fldChar w:fldCharType="end"/>
      </w:r>
      <w:r>
        <w:t xml:space="preserve"> </w:t>
      </w:r>
      <w:r>
        <w:rPr>
          <w:rFonts w:hint="eastAsia"/>
        </w:rPr>
        <w:t>汇合为候选策略集合</w:t>
      </w:r>
      <w:r>
        <w:t xml:space="preserve"> </w:t>
      </w:r>
      <m:oMath>
        <m:sSub>
          <m:sSubPr/>
          <m:e>
            <m:r>
              <m:rPr>
                <m:sty m:val="p"/>
              </m:rPr>
              <m:t>Π</m:t>
            </m:r>
          </m:e>
          <m:sub>
            <m:r>
              <m:rPr/>
              <m:t>v</m:t>
            </m:r>
          </m:sub>
        </m:sSub>
      </m:oMath>
      <w:r>
        <w:rPr>
          <w:rFonts w:hint="eastAsia"/>
        </w:rPr>
        <w:t>。完整工作流如图</w:t>
      </w:r>
      <w:r>
        <w:t> </w:t>
      </w:r>
      <w:r>
        <w:fldChar w:fldCharType="begin"/>
      </w:r>
      <w:r>
        <w:instrText xml:space="preserve"> HYPERLINK \l "fig:method" \h </w:instrText>
      </w:r>
      <w:r>
        <w:fldChar w:fldCharType="separate"/>
      </w:r>
      <w:r>
        <w:rPr>
          <w:rStyle w:val="20"/>
        </w:rPr>
        <w:t>3.4</w:t>
      </w:r>
      <w:r>
        <w:rPr>
          <w:rStyle w:val="20"/>
        </w:rPr>
        <w:fldChar w:fldCharType="end"/>
      </w:r>
      <w:r>
        <w:rPr>
          <w:rFonts w:hint="eastAsia"/>
        </w:rPr>
        <w:t>所示，分为安全上下文构建、基于漏洞分析思维链的策略生成、基于评审反馈的策略优化三个步骤，分别简写为</w:t>
      </w:r>
      <w:r>
        <w:t xml:space="preserve"> </w:t>
      </w:r>
      <m:oMath>
        <m:r>
          <m:rPr>
            <m:nor/>
            <m:sty m:val="p"/>
          </m:rPr>
          <w:rPr>
            <w:b w:val="0"/>
            <w:i w:val="0"/>
          </w:rPr>
          <m:t>RAG</m:t>
        </m:r>
      </m:oMath>
      <w:r>
        <w:t>、</w:t>
      </w:r>
      <m:oMath>
        <m:r>
          <m:rPr>
            <m:nor/>
            <m:sty m:val="p"/>
          </m:rPr>
          <w:rPr>
            <w:b w:val="0"/>
            <w:i w:val="0"/>
          </w:rPr>
          <m:t>CoT</m:t>
        </m:r>
      </m:oMath>
      <w:r>
        <w:t xml:space="preserve"> </w:t>
      </w:r>
      <w:r>
        <w:rPr>
          <w:rFonts w:hint="eastAsia"/>
        </w:rPr>
        <w:t>和</w:t>
      </w:r>
      <w:r>
        <w:t xml:space="preserve"> </w:t>
      </w:r>
      <m:oMath>
        <m:r>
          <m:rPr>
            <m:nor/>
            <m:sty m:val="p"/>
          </m:rPr>
          <w:rPr>
            <w:b w:val="0"/>
            <w:i w:val="0"/>
          </w:rPr>
          <m:t>Feedback</m:t>
        </m:r>
      </m:oMath>
      <w:r>
        <w:rPr>
          <w:rFonts w:hint="eastAsia"/>
        </w:rPr>
        <w:t>。其中，安全上下文构建负责将知识库证据组织为定义</w:t>
      </w:r>
      <w:r>
        <w:t> </w:t>
      </w:r>
      <w:r>
        <w:fldChar w:fldCharType="begin"/>
      </w:r>
      <w:r>
        <w:instrText xml:space="preserve"> HYPERLINK \l "def:security-context" \h </w:instrText>
      </w:r>
      <w:r>
        <w:fldChar w:fldCharType="separate"/>
      </w:r>
      <w:r>
        <w:rPr>
          <w:rStyle w:val="20"/>
        </w:rPr>
        <w:t>[def:security-context]</w:t>
      </w:r>
      <w:r>
        <w:rPr>
          <w:rStyle w:val="20"/>
        </w:rPr>
        <w:fldChar w:fldCharType="end"/>
      </w:r>
      <w:r>
        <w:t xml:space="preserve"> </w:t>
      </w:r>
      <w:r>
        <w:rPr>
          <w:rFonts w:hint="eastAsia"/>
        </w:rPr>
        <w:t>所述的</w:t>
      </w:r>
      <w:r>
        <w:t xml:space="preserve"> </w:t>
      </w:r>
      <m:oMath>
        <m:r>
          <m:rPr/>
          <m:t>c</m:t>
        </m:r>
      </m:oMath>
      <w:r>
        <w:rPr>
          <w:rFonts w:hint="eastAsia"/>
        </w:rPr>
        <w:t>；策略生成负责将漏洞分析结果映射为定义</w:t>
      </w:r>
      <w:r>
        <w:t> </w:t>
      </w:r>
      <w:r>
        <w:fldChar w:fldCharType="begin"/>
      </w:r>
      <w:r>
        <w:instrText xml:space="preserve"> HYPERLINK \l "def:security-strategy" \h </w:instrText>
      </w:r>
      <w:r>
        <w:fldChar w:fldCharType="separate"/>
      </w:r>
      <w:r>
        <w:rPr>
          <w:rStyle w:val="20"/>
        </w:rPr>
        <w:t>[def:security-strategy]</w:t>
      </w:r>
      <w:r>
        <w:rPr>
          <w:rStyle w:val="20"/>
        </w:rPr>
        <w:fldChar w:fldCharType="end"/>
      </w:r>
      <w:r>
        <w:t xml:space="preserve"> </w:t>
      </w:r>
      <w:r>
        <w:rPr>
          <w:rFonts w:hint="eastAsia"/>
        </w:rPr>
        <w:t>所述的安全策略</w:t>
      </w:r>
      <w:r>
        <w:t xml:space="preserve"> </w:t>
      </w:r>
      <m:oMath>
        <m:r>
          <m:rPr/>
          <m:t>π</m:t>
        </m:r>
      </m:oMath>
      <w:r>
        <w:rPr>
          <w:rFonts w:hint="eastAsia"/>
        </w:rPr>
        <w:t>；反馈优化则在不改变策略对象基本结构的前提下，对</w:t>
      </w:r>
      <w:r>
        <w:t xml:space="preserve"> </w:t>
      </w:r>
      <m:oMath>
        <m:r>
          <m:rPr/>
          <m:t>π</m:t>
        </m:r>
      </m:oMath>
      <w:r>
        <w:t xml:space="preserve"> </w:t>
      </w:r>
      <w:r>
        <w:rPr>
          <w:rFonts w:hint="eastAsia"/>
        </w:rPr>
        <w:t>中防控条目的控制类型、控制机理与执行表达进行修订，从而形成更适合进入质量评估阶段的候选策略。</w:t>
      </w:r>
    </w:p>
    <w:tbl>
      <w:tblPr>
        <w:tblStyle w:val="18"/>
        <w:tblW w:w="0" w:type="auto"/>
        <w:jc w:val="center"/>
        <w:tblLayout w:type="autofit"/>
        <w:tblCellMar>
          <w:top w:w="0" w:type="dxa"/>
          <w:left w:w="10" w:type="dxa"/>
          <w:bottom w:w="0" w:type="dxa"/>
          <w:right w:w="10" w:type="dxa"/>
        </w:tblCellMar>
      </w:tblPr>
      <w:tblGrid>
        <w:gridCol w:w="8420"/>
      </w:tblGrid>
      <w:tr w14:paraId="200F20D2">
        <w:tblPrEx>
          <w:tblCellMar>
            <w:top w:w="0" w:type="dxa"/>
            <w:left w:w="10" w:type="dxa"/>
            <w:bottom w:w="0" w:type="dxa"/>
            <w:right w:w="10" w:type="dxa"/>
          </w:tblCellMar>
        </w:tblPrEx>
        <w:trPr>
          <w:jc w:val="center"/>
        </w:trPr>
        <w:tc>
          <w:p w14:paraId="5E62770C">
            <w:pPr>
              <w:jc w:val="center"/>
            </w:pPr>
            <w:bookmarkStart w:id="58" w:name="fig:method"/>
            <w:r>
              <w:drawing>
                <wp:inline distT="0" distB="0" distL="114300" distR="114300">
                  <wp:extent cx="5334000" cy="2611120"/>
                  <wp:effectExtent l="0" t="0" r="0" b="0"/>
                  <wp:docPr id="9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image"/>
                          <pic:cNvPicPr>
                            <a:picLocks noChangeAspect="1" noChangeArrowheads="1"/>
                          </pic:cNvPicPr>
                        </pic:nvPicPr>
                        <pic:blipFill>
                          <a:blip r:embed="rId13"/>
                          <a:stretch>
                            <a:fillRect/>
                          </a:stretch>
                        </pic:blipFill>
                        <pic:spPr>
                          <a:xfrm>
                            <a:off x="0" y="0"/>
                            <a:ext cx="5334000" cy="2611492"/>
                          </a:xfrm>
                          <a:prstGeom prst="rect">
                            <a:avLst/>
                          </a:prstGeom>
                          <a:noFill/>
                          <a:ln w="9525">
                            <a:noFill/>
                          </a:ln>
                        </pic:spPr>
                      </pic:pic>
                    </a:graphicData>
                  </a:graphic>
                </wp:inline>
              </w:drawing>
            </w:r>
            <w:r>
              <w:t xml:space="preserve"> </w:t>
            </w:r>
            <w:bookmarkStart w:id="59" w:name="fig:method"/>
            <w:bookmarkEnd w:id="59"/>
          </w:p>
        </w:tc>
      </w:tr>
      <w:bookmarkEnd w:id="58"/>
    </w:tbl>
    <w:p w14:paraId="397AB878">
      <w:pPr>
        <w:pStyle w:val="6"/>
      </w:pPr>
      <w:bookmarkStart w:id="60" w:name="安全上下文构建"/>
      <w:r>
        <w:rPr>
          <w:rFonts w:hint="eastAsia"/>
        </w:rPr>
        <w:t>(1)安全上下文构建</w:t>
      </w:r>
    </w:p>
    <w:p w14:paraId="0D2547A9">
      <w:pPr>
        <w:pStyle w:val="23"/>
      </w:pPr>
      <w:r>
        <w:rPr>
          <w:rFonts w:hint="eastAsia"/>
        </w:rPr>
        <w:t>安全上下文构建基于检索增强生成技术(RAG)</w:t>
      </w:r>
      <w:r>
        <w:t>(Lewis et al. 2020)</w:t>
      </w:r>
      <w:r>
        <w:rPr>
          <w:rFonts w:hint="eastAsia"/>
        </w:rPr>
        <w:t>，从上一节构建的云原生安全知识库中检索与漏洞实例</w:t>
      </w:r>
      <w:r>
        <w:t xml:space="preserve"> </w:t>
      </w:r>
      <m:oMath>
        <m:r>
          <m:rPr/>
          <m:t>v</m:t>
        </m:r>
      </m:oMath>
      <w:r>
        <w:t xml:space="preserve"> </w:t>
      </w:r>
      <w:r>
        <w:rPr>
          <w:rFonts w:hint="eastAsia"/>
        </w:rPr>
        <w:t>相关的证据片段，并将其组织为面向漏洞分析的安全上下文</w:t>
      </w:r>
      <w:r>
        <w:t xml:space="preserve"> </w:t>
      </w:r>
      <m:oMath>
        <m:r>
          <m:rPr/>
          <m:t>c</m:t>
        </m:r>
      </m:oMath>
      <w:r>
        <w:rPr>
          <w:rFonts w:hint="eastAsia"/>
        </w:rPr>
        <w:t>。检索增强生成将代码、文档、安全公告与修复讨论等多源材料构建为密集向量索引，即本文中的向量化安全知识库，从而在生成前引入与具体漏洞相关的外部证据。与直接将检索结果拼接给模型不同，本文设置安全知识智能体对候选证据进行去重、归并和来源保留，使输出满足定义</w:t>
      </w:r>
      <w:r>
        <w:t> </w:t>
      </w:r>
      <w:r>
        <w:fldChar w:fldCharType="begin"/>
      </w:r>
      <w:r>
        <w:instrText xml:space="preserve"> HYPERLINK \l "def:security-context" \h </w:instrText>
      </w:r>
      <w:r>
        <w:fldChar w:fldCharType="separate"/>
      </w:r>
      <w:r>
        <w:rPr>
          <w:rStyle w:val="20"/>
        </w:rPr>
        <w:t>[def:security-context]</w:t>
      </w:r>
      <w:r>
        <w:rPr>
          <w:rStyle w:val="20"/>
        </w:rPr>
        <w:fldChar w:fldCharType="end"/>
      </w:r>
      <w:r>
        <w:t xml:space="preserve"> </w:t>
      </w:r>
      <w:r>
        <w:rPr>
          <w:rFonts w:hint="eastAsia"/>
        </w:rPr>
        <w:t>中</w:t>
      </w:r>
      <w:r>
        <w:t xml:space="preserve"> </w:t>
      </w:r>
      <m:oMath>
        <m:r>
          <m:rPr/>
          <m:t>c</m:t>
        </m:r>
        <m:r>
          <m:rPr>
            <m:sty m:val="p"/>
          </m:rPr>
          <m:t>={⟨</m:t>
        </m:r>
        <m:sSub>
          <m:sSubPr/>
          <m:e>
            <m:r>
              <m:rPr/>
              <m:t>t</m:t>
            </m:r>
          </m:e>
          <m:sub>
            <m:r>
              <m:rPr/>
              <m:t>i</m:t>
            </m:r>
          </m:sub>
        </m:sSub>
        <m:r>
          <m:rPr>
            <m:sty m:val="p"/>
          </m:rPr>
          <m:t>,</m:t>
        </m:r>
        <m:sSub>
          <m:sSubPr/>
          <m:e>
            <m:r>
              <m:rPr/>
              <m:t>src</m:t>
            </m:r>
          </m:e>
          <m:sub>
            <m:r>
              <m:rPr/>
              <m:t>i</m:t>
            </m:r>
          </m:sub>
        </m:sSub>
        <m:r>
          <m:rPr>
            <m:sty m:val="p"/>
          </m:rPr>
          <m:t>⟩∣</m:t>
        </m:r>
        <m:r>
          <m:rPr/>
          <m:t>i</m:t>
        </m:r>
        <m:r>
          <m:rPr>
            <m:sty m:val="p"/>
          </m:rPr>
          <m:t>∈[</m:t>
        </m:r>
        <m:sSub>
          <m:sSubPr/>
          <m:e>
            <m:r>
              <m:rPr/>
              <m:t>n</m:t>
            </m:r>
          </m:e>
          <m:sub>
            <m:r>
              <m:rPr/>
              <m:t>c</m:t>
            </m:r>
          </m:sub>
        </m:sSub>
        <m:r>
          <m:rPr>
            <m:sty m:val="p"/>
          </m:rPr>
          <m:t>]}</m:t>
        </m:r>
      </m:oMath>
      <w:r>
        <w:t xml:space="preserve"> </w:t>
      </w:r>
      <w:r>
        <w:rPr>
          <w:rFonts w:hint="eastAsia"/>
        </w:rPr>
        <w:t>的形式。</w:t>
      </w:r>
    </w:p>
    <w:p w14:paraId="617C910E">
      <w:pPr>
        <w:pStyle w:val="3"/>
      </w:pPr>
      <w:r>
        <w:rPr>
          <w:rFonts w:hint="eastAsia"/>
        </w:rPr>
        <w:t>具体而言，</w:t>
      </w:r>
      <m:oMath>
        <m:sSub>
          <m:sSubPr/>
          <m:e>
            <m:r>
              <m:rPr/>
              <m:t>t</m:t>
            </m:r>
          </m:e>
          <m:sub>
            <m:r>
              <m:rPr/>
              <m:t>i</m:t>
            </m:r>
          </m:sub>
        </m:sSub>
      </m:oMath>
      <w:r>
        <w:t xml:space="preserve"> </w:t>
      </w:r>
      <w:r>
        <w:rPr>
          <w:rFonts w:hint="eastAsia"/>
        </w:rPr>
        <w:t>对应漏洞触发条件、受影响组件、权限边界、攻击前提、修复线索或安全工具约束等证据内容，</w:t>
      </w:r>
      <m:oMath>
        <m:sSub>
          <m:sSubPr/>
          <m:e>
            <m:r>
              <m:rPr/>
              <m:t>src</m:t>
            </m:r>
          </m:e>
          <m:sub>
            <m:r>
              <m:rPr/>
              <m:t>i</m:t>
            </m:r>
          </m:sub>
        </m:sSub>
      </m:oMath>
      <w:r>
        <w:t xml:space="preserve"> </w:t>
      </w:r>
      <w:r>
        <w:rPr>
          <w:rFonts w:hint="eastAsia"/>
        </w:rPr>
        <w:t>对应文档路径、公告链接、代码位置或提交记录等来源标识。该结构使后续智能体不仅能够获得漏洞相关语义，还能在策略生成和评审阶段回溯每一项判断依据。图</w:t>
      </w:r>
      <w:r>
        <w:t> </w:t>
      </w:r>
      <w:r>
        <w:fldChar w:fldCharType="begin"/>
      </w:r>
      <w:r>
        <w:instrText xml:space="preserve"> HYPERLINK \l "fig:method" \h </w:instrText>
      </w:r>
      <w:r>
        <w:fldChar w:fldCharType="separate"/>
      </w:r>
      <w:r>
        <w:rPr>
          <w:rStyle w:val="20"/>
        </w:rPr>
        <w:t>3.4</w:t>
      </w:r>
      <w:r>
        <w:rPr>
          <w:rStyle w:val="20"/>
        </w:rPr>
        <w:fldChar w:fldCharType="end"/>
      </w:r>
      <w:r>
        <w:t xml:space="preserve"> </w:t>
      </w:r>
      <w:r>
        <w:rPr>
          <w:rFonts w:hint="eastAsia"/>
        </w:rPr>
        <w:t>中安全知识智能体位于知识库与漏洞分析之间，其输出边界被限制为安全上下文</w:t>
      </w:r>
      <w:r>
        <w:t xml:space="preserve"> </w:t>
      </w:r>
      <m:oMath>
        <m:r>
          <m:rPr/>
          <m:t>c</m:t>
        </m:r>
      </m:oMath>
      <w:r>
        <w:rPr>
          <w:rFonts w:hint="eastAsia"/>
        </w:rPr>
        <w:t>，不直接生成安全策略</w:t>
      </w:r>
      <w:r>
        <w:t xml:space="preserve"> </w:t>
      </w:r>
      <m:oMath>
        <m:r>
          <m:rPr/>
          <m:t>π</m:t>
        </m:r>
      </m:oMath>
      <w:r>
        <w:rPr>
          <w:rFonts w:hint="eastAsia"/>
        </w:rPr>
        <w:t>，以避免证据整理阶段过早引入未经分析的防控结论。安全知识智能体的具体提示词见图</w:t>
      </w:r>
      <w:r>
        <w:t> </w:t>
      </w:r>
      <w:r>
        <w:fldChar w:fldCharType="begin"/>
      </w:r>
      <w:r>
        <w:instrText xml:space="preserve"> HYPERLINK \l "fig:prompt-security-knowledge" \h </w:instrText>
      </w:r>
      <w:r>
        <w:fldChar w:fldCharType="separate"/>
      </w:r>
      <w:r>
        <w:rPr>
          <w:rStyle w:val="20"/>
        </w:rPr>
        <w:t>[fig:prompt-security-knowledge]</w:t>
      </w:r>
      <w:r>
        <w:rPr>
          <w:rStyle w:val="20"/>
        </w:rPr>
        <w:fldChar w:fldCharType="end"/>
      </w:r>
      <w:r>
        <w:t>。</w:t>
      </w:r>
    </w:p>
    <w:tbl>
      <w:tblPr>
        <w:tblStyle w:val="18"/>
        <w:tblW w:w="0" w:type="auto"/>
        <w:jc w:val="center"/>
        <w:tblLayout w:type="autofit"/>
        <w:tblCellMar>
          <w:top w:w="0" w:type="dxa"/>
          <w:left w:w="10" w:type="dxa"/>
          <w:bottom w:w="0" w:type="dxa"/>
          <w:right w:w="10" w:type="dxa"/>
        </w:tblCellMar>
      </w:tblPr>
      <w:tblGrid>
        <w:gridCol w:w="6180"/>
        <w:gridCol w:w="26"/>
      </w:tblGrid>
      <w:tr w14:paraId="15374066">
        <w:tblPrEx>
          <w:tblCellMar>
            <w:top w:w="0" w:type="dxa"/>
            <w:left w:w="10" w:type="dxa"/>
            <w:bottom w:w="0" w:type="dxa"/>
            <w:right w:w="10" w:type="dxa"/>
          </w:tblCellMar>
        </w:tblPrEx>
        <w:trPr>
          <w:jc w:val="center"/>
        </w:trPr>
        <w:tc>
          <w:p w14:paraId="3F53A77C">
            <w:pPr>
              <w:pStyle w:val="49"/>
              <w:jc w:val="center"/>
            </w:pPr>
            <w:bookmarkStart w:id="61" w:name="fig:sec_agent"/>
            <w:r>
              <w:rPr>
                <w:rStyle w:val="48"/>
                <w:rFonts w:hint="eastAsia"/>
              </w:rPr>
              <w:t>你是云原生安全知识整理助手。</w:t>
            </w:r>
            <w:r>
              <w:br w:type="textWrapping"/>
            </w:r>
            <w:r>
              <w:rPr>
                <w:rStyle w:val="48"/>
              </w:rPr>
              <w:t xml:space="preserve">## </w:t>
            </w:r>
            <w:r>
              <w:rPr>
                <w:rStyle w:val="48"/>
                <w:rFonts w:hint="eastAsia"/>
              </w:rPr>
              <w:t>输入</w:t>
            </w:r>
            <w:r>
              <w:br w:type="textWrapping"/>
            </w:r>
            <w:r>
              <w:rPr>
                <w:rStyle w:val="48"/>
                <w:rFonts w:hint="eastAsia"/>
              </w:rPr>
              <w:t>漏洞实例</w:t>
            </w:r>
            <w:r>
              <w:rPr>
                <w:rStyle w:val="48"/>
              </w:rPr>
              <w:t xml:space="preserve"> v </w:t>
            </w:r>
            <w:r>
              <w:rPr>
                <w:rStyle w:val="48"/>
                <w:rFonts w:hint="eastAsia"/>
              </w:rPr>
              <w:t>与通过RAG工具检索到的候选证据片段</w:t>
            </w:r>
            <w:r>
              <w:br w:type="textWrapping"/>
            </w:r>
            <w:r>
              <w:br w:type="textWrapping"/>
            </w:r>
            <w:r>
              <w:rPr>
                <w:rStyle w:val="48"/>
              </w:rPr>
              <w:t xml:space="preserve">## </w:t>
            </w:r>
            <w:r>
              <w:rPr>
                <w:rStyle w:val="48"/>
                <w:rFonts w:hint="eastAsia"/>
              </w:rPr>
              <w:t>任务</w:t>
            </w:r>
            <w:r>
              <w:br w:type="textWrapping"/>
            </w:r>
            <w:r>
              <w:rPr>
                <w:rStyle w:val="48"/>
                <w:rFonts w:hint="eastAsia"/>
              </w:rPr>
              <w:t>提炼受影响组件、触发条件、权限边界、攻击前提与缓解线索，</w:t>
            </w:r>
            <w:r>
              <w:br w:type="textWrapping"/>
            </w:r>
            <w:r>
              <w:rPr>
                <w:rStyle w:val="48"/>
                <w:rFonts w:hint="eastAsia"/>
              </w:rPr>
              <w:t>按定义组织安全上下文</w:t>
            </w:r>
            <w:r>
              <w:rPr>
                <w:rStyle w:val="48"/>
              </w:rPr>
              <w:t xml:space="preserve"> c。</w:t>
            </w:r>
            <w:r>
              <w:br w:type="textWrapping"/>
            </w:r>
            <w:r>
              <w:br w:type="textWrapping"/>
            </w:r>
            <w:r>
              <w:rPr>
                <w:rStyle w:val="48"/>
              </w:rPr>
              <w:t xml:space="preserve">## </w:t>
            </w:r>
            <w:r>
              <w:rPr>
                <w:rStyle w:val="48"/>
                <w:rFonts w:hint="eastAsia"/>
              </w:rPr>
              <w:t>输出</w:t>
            </w:r>
            <w:r>
              <w:br w:type="textWrapping"/>
            </w:r>
            <w:r>
              <w:rPr>
                <w:rStyle w:val="48"/>
                <w:rFonts w:hint="eastAsia"/>
              </w:rPr>
              <w:t>&lt;&lt;安全上下文</w:t>
            </w:r>
            <w:r>
              <w:rPr>
                <w:rStyle w:val="48"/>
              </w:rPr>
              <w:t xml:space="preserve"> c JSON </w:t>
            </w:r>
            <w:r>
              <w:rPr>
                <w:rStyle w:val="48"/>
                <w:rFonts w:hint="eastAsia"/>
              </w:rPr>
              <w:t>格式&gt;&gt;,含结构化摘要；</w:t>
            </w:r>
            <w:r>
              <w:br w:type="textWrapping"/>
            </w:r>
            <w:r>
              <w:rPr>
                <w:rStyle w:val="48"/>
                <w:rFonts w:hint="eastAsia"/>
              </w:rPr>
              <w:t>不直接生成安全策略</w:t>
            </w:r>
            <w:r>
              <w:rPr>
                <w:rStyle w:val="48"/>
              </w:rPr>
              <w:t xml:space="preserve"> pi。</w:t>
            </w:r>
          </w:p>
        </w:tc>
        <w:tc>
          <w:p w14:paraId="3D218BCB">
            <w:pPr>
              <w:jc w:val="center"/>
            </w:pPr>
            <w:bookmarkStart w:id="62" w:name="fig:prompt-security-knowledge"/>
            <w:bookmarkEnd w:id="62"/>
            <w:r>
              <w:t xml:space="preserve"> </w:t>
            </w:r>
            <w:bookmarkStart w:id="63" w:name="fig:sec_agent"/>
            <w:bookmarkEnd w:id="63"/>
          </w:p>
        </w:tc>
      </w:tr>
      <w:bookmarkEnd w:id="60"/>
      <w:bookmarkEnd w:id="61"/>
    </w:tbl>
    <w:p w14:paraId="47837DC5">
      <w:pPr>
        <w:pStyle w:val="6"/>
      </w:pPr>
      <w:bookmarkStart w:id="64" w:name="基于漏洞分析思维链的策略生成"/>
      <w:r>
        <w:rPr>
          <w:rFonts w:hint="eastAsia"/>
        </w:rPr>
        <w:t>(2)基于漏洞分析思维链的策略生成</w:t>
      </w:r>
    </w:p>
    <w:p w14:paraId="43DB94CB">
      <w:pPr>
        <w:pStyle w:val="23"/>
      </w:pPr>
      <w:r>
        <w:rPr>
          <w:rFonts w:hint="eastAsia"/>
        </w:rPr>
        <w:t>基于漏洞分析思维链的策略生成由漏洞分析智能体与策略生成智能体串联完成。漏洞分析智能体以漏洞实例</w:t>
      </w:r>
      <w:r>
        <w:t xml:space="preserve"> </w:t>
      </w:r>
      <m:oMath>
        <m:r>
          <m:rPr/>
          <m:t>v</m:t>
        </m:r>
      </m:oMath>
      <w:r>
        <w:t xml:space="preserve"> </w:t>
      </w:r>
      <w:r>
        <w:rPr>
          <w:rFonts w:hint="eastAsia"/>
        </w:rPr>
        <w:t>和安全上下文</w:t>
      </w:r>
      <w:r>
        <w:t xml:space="preserve"> </w:t>
      </w:r>
      <m:oMath>
        <m:r>
          <m:rPr/>
          <m:t>c</m:t>
        </m:r>
      </m:oMath>
      <w:r>
        <w:t xml:space="preserve"> </w:t>
      </w:r>
      <w:r>
        <w:rPr>
          <w:rFonts w:hint="eastAsia"/>
        </w:rPr>
        <w:t>为输入，首先从定义</w:t>
      </w:r>
      <w:r>
        <w:t> </w:t>
      </w:r>
      <w:r>
        <w:fldChar w:fldCharType="begin"/>
      </w:r>
      <w:r>
        <w:instrText xml:space="preserve"> HYPERLINK \l "def:vuln-instance" \h </w:instrText>
      </w:r>
      <w:r>
        <w:fldChar w:fldCharType="separate"/>
      </w:r>
      <w:r>
        <w:rPr>
          <w:rStyle w:val="20"/>
        </w:rPr>
        <w:t>[def:vuln-instance]</w:t>
      </w:r>
      <w:r>
        <w:rPr>
          <w:rStyle w:val="20"/>
        </w:rPr>
        <w:fldChar w:fldCharType="end"/>
      </w:r>
      <w:r>
        <w:t xml:space="preserve"> </w:t>
      </w:r>
      <w:r>
        <w:rPr>
          <w:rFonts w:hint="eastAsia"/>
        </w:rPr>
        <w:t>中的漏洞描述</w:t>
      </w:r>
      <w:r>
        <w:t xml:space="preserve"> </w:t>
      </w:r>
      <m:oMath>
        <m:r>
          <m:rPr/>
          <m:t>d</m:t>
        </m:r>
      </m:oMath>
      <w:r>
        <w:t xml:space="preserve"> </w:t>
      </w:r>
      <w:r>
        <w:rPr>
          <w:rFonts w:hint="eastAsia"/>
        </w:rPr>
        <w:t>与元数据</w:t>
      </w:r>
      <w:r>
        <w:t xml:space="preserve"> </w:t>
      </w:r>
      <m:oMath>
        <m:r>
          <m:rPr/>
          <m:t>m</m:t>
        </m:r>
      </m:oMath>
      <w:r>
        <w:t xml:space="preserve"> </w:t>
      </w:r>
      <w:r>
        <w:rPr>
          <w:rFonts w:hint="eastAsia"/>
        </w:rPr>
        <w:t>提取受影响组件、版本范围和风险等级，再结合</w:t>
      </w:r>
      <w:r>
        <w:t xml:space="preserve"> </w:t>
      </w:r>
      <m:oMath>
        <m:r>
          <m:rPr/>
          <m:t>c</m:t>
        </m:r>
      </m:oMath>
      <w:r>
        <w:t xml:space="preserve"> </w:t>
      </w:r>
      <w:r>
        <w:rPr>
          <w:rFonts w:hint="eastAsia"/>
        </w:rPr>
        <w:t>中带来源标识的证据识别触发条件、攻击入口、权限变化路径、影响资源和可控制点，最终形成覆盖漏洞类型、攻击路径、影响范围与成因分类的结构化分析结果。成因分类直接引用第</w:t>
      </w:r>
      <w:r>
        <w:t xml:space="preserve"> </w:t>
      </w:r>
      <w:r>
        <w:fldChar w:fldCharType="begin"/>
      </w:r>
      <w:r>
        <w:instrText xml:space="preserve"> HYPERLINK \l "subsec:kb" \h </w:instrText>
      </w:r>
      <w:r>
        <w:fldChar w:fldCharType="separate"/>
      </w:r>
      <w:r>
        <w:rPr>
          <w:rStyle w:val="20"/>
        </w:rPr>
        <w:t>3.2.2</w:t>
      </w:r>
      <w:r>
        <w:rPr>
          <w:rStyle w:val="20"/>
        </w:rPr>
        <w:fldChar w:fldCharType="end"/>
      </w:r>
      <w:r>
        <w:t xml:space="preserve"> </w:t>
      </w:r>
      <w:r>
        <w:rPr>
          <w:rFonts w:hint="eastAsia"/>
        </w:rPr>
        <w:t>节的两级框架，其作用在于提示后续防控工具的选择：一级类确定风险来源，二级类进一步锁定对应的控制手段，从而将泛化建议约束为与漏洞语义一致的具体措施。例如，配置缺陷类漏洞优先考虑</w:t>
      </w:r>
      <w:r>
        <w:t xml:space="preserve"> RBAC </w:t>
      </w:r>
      <w:r>
        <w:rPr>
          <w:rFonts w:hint="eastAsia"/>
        </w:rPr>
        <w:t>最小权限、准入控制和网络隔离；代码注入类漏洞优先考虑运行时监控、输入约束与执行边界收缩；敏感信息泄露类漏洞则优先围绕资源读取权限、Secret</w:t>
      </w:r>
      <w:r>
        <w:t xml:space="preserve"> </w:t>
      </w:r>
      <w:r>
        <w:rPr>
          <w:rFonts w:hint="eastAsia"/>
        </w:rPr>
        <w:t>管理与异常访问审计生成防控动作。</w:t>
      </w:r>
    </w:p>
    <w:p w14:paraId="276BBFCF">
      <w:pPr>
        <w:pStyle w:val="3"/>
      </w:pPr>
      <w:r>
        <w:rPr>
          <w:rFonts w:hint="eastAsia"/>
        </w:rPr>
        <w:t>策略生成智能体在上述分析约束下选择具体实施路径，并将防控动作映射为定义</w:t>
      </w:r>
      <w:r>
        <w:t> </w:t>
      </w:r>
      <w:r>
        <w:fldChar w:fldCharType="begin"/>
      </w:r>
      <w:r>
        <w:instrText xml:space="preserve"> HYPERLINK \l "def:control-item" \h </w:instrText>
      </w:r>
      <w:r>
        <w:fldChar w:fldCharType="separate"/>
      </w:r>
      <w:r>
        <w:rPr>
          <w:rStyle w:val="20"/>
        </w:rPr>
        <w:t>[def:control-item]</w:t>
      </w:r>
      <w:r>
        <w:rPr>
          <w:rStyle w:val="20"/>
        </w:rPr>
        <w:fldChar w:fldCharType="end"/>
      </w:r>
      <w:r>
        <w:t xml:space="preserve"> </w:t>
      </w:r>
      <w:r>
        <w:rPr>
          <w:rFonts w:hint="eastAsia"/>
        </w:rPr>
        <w:t>与定义</w:t>
      </w:r>
      <w:r>
        <w:t> </w:t>
      </w:r>
      <w:r>
        <w:fldChar w:fldCharType="begin"/>
      </w:r>
      <w:r>
        <w:instrText xml:space="preserve"> HYPERLINK \l "def:security-strategy" \h </w:instrText>
      </w:r>
      <w:r>
        <w:fldChar w:fldCharType="separate"/>
      </w:r>
      <w:r>
        <w:rPr>
          <w:rStyle w:val="20"/>
        </w:rPr>
        <w:t>[def:security-strategy]</w:t>
      </w:r>
      <w:r>
        <w:rPr>
          <w:rStyle w:val="20"/>
        </w:rPr>
        <w:fldChar w:fldCharType="end"/>
      </w:r>
      <w:r>
        <w:t xml:space="preserve"> </w:t>
      </w:r>
      <w:r>
        <w:rPr>
          <w:rFonts w:hint="eastAsia"/>
        </w:rPr>
        <w:t>所述的策略对象。具体而言，图</w:t>
      </w:r>
      <w:r>
        <w:t> </w:t>
      </w:r>
      <w:r>
        <w:fldChar w:fldCharType="begin"/>
      </w:r>
      <w:r>
        <w:instrText xml:space="preserve"> HYPERLINK \l "fig:method" \h </w:instrText>
      </w:r>
      <w:r>
        <w:fldChar w:fldCharType="separate"/>
      </w:r>
      <w:r>
        <w:rPr>
          <w:rStyle w:val="20"/>
        </w:rPr>
        <w:t>3.4</w:t>
      </w:r>
      <w:r>
        <w:rPr>
          <w:rStyle w:val="20"/>
        </w:rPr>
        <w:fldChar w:fldCharType="end"/>
      </w:r>
      <w:r>
        <w:t xml:space="preserve"> </w:t>
      </w:r>
      <w:r>
        <w:rPr>
          <w:rFonts w:hint="eastAsia"/>
        </w:rPr>
        <w:t>中的监控策略对应</w:t>
      </w:r>
      <w:r>
        <w:t xml:space="preserve"> </w:t>
      </w:r>
      <m:oMath>
        <m:r>
          <m:rPr/>
          <m:t>τ</m:t>
        </m:r>
        <m:r>
          <m:rPr>
            <m:sty m:val="p"/>
          </m:rPr>
          <m:t>=mon</m:t>
        </m:r>
      </m:oMath>
      <w:r>
        <w:t xml:space="preserve"> </w:t>
      </w:r>
      <w:r>
        <w:rPr>
          <w:rFonts w:hint="eastAsia"/>
        </w:rPr>
        <w:t>的防控条目，用于在运行时发现可疑行为并输出告警；防护策略对应</w:t>
      </w:r>
      <w:r>
        <w:t xml:space="preserve"> </w:t>
      </w:r>
      <m:oMath>
        <m:r>
          <m:rPr/>
          <m:t>τ</m:t>
        </m:r>
        <m:r>
          <m:rPr>
            <m:sty m:val="p"/>
          </m:rPr>
          <m:t>=prot</m:t>
        </m:r>
      </m:oMath>
      <w:r>
        <w:t xml:space="preserve"> </w:t>
      </w:r>
      <w:r>
        <w:rPr>
          <w:rFonts w:hint="eastAsia"/>
        </w:rPr>
        <w:t>的防控条目，用于通过准入拒绝、权限收缩或网络隔离等方式阻断攻击路径。控制机理</w:t>
      </w:r>
      <w:r>
        <w:t xml:space="preserve"> </w:t>
      </w:r>
      <m:oMath>
        <m:r>
          <m:rPr/>
          <m:t>m</m:t>
        </m:r>
      </m:oMath>
      <w:r>
        <w:t xml:space="preserve"> </w:t>
      </w:r>
      <w:r>
        <w:rPr>
          <w:rFonts w:hint="eastAsia"/>
        </w:rPr>
        <w:t>表示策略采用的安全工具或作用路径，如</w:t>
      </w:r>
      <w:r>
        <w:t xml:space="preserve"> Falco </w:t>
      </w:r>
      <w:r>
        <w:rPr>
          <w:rFonts w:hint="eastAsia"/>
        </w:rPr>
        <w:t>运行时规则、Kyverno</w:t>
      </w:r>
      <w:r>
        <w:t xml:space="preserve"> </w:t>
      </w:r>
      <w:r>
        <w:rPr>
          <w:rFonts w:hint="eastAsia"/>
        </w:rPr>
        <w:t>准入策略、OPA</w:t>
      </w:r>
      <w:r>
        <w:t xml:space="preserve"> Gatekeeper </w:t>
      </w:r>
      <w:r>
        <w:rPr>
          <w:rFonts w:hint="eastAsia"/>
        </w:rPr>
        <w:t>约束、NetworkPolicy</w:t>
      </w:r>
      <w:r>
        <w:t xml:space="preserve"> </w:t>
      </w:r>
      <w:r>
        <w:rPr>
          <w:rFonts w:hint="eastAsia"/>
        </w:rPr>
        <w:t>或</w:t>
      </w:r>
      <w:r>
        <w:t xml:space="preserve"> RBAC </w:t>
      </w:r>
      <w:r>
        <w:rPr>
          <w:rFonts w:hint="eastAsia"/>
        </w:rPr>
        <w:t>角色调整；执行表达</w:t>
      </w:r>
      <w:r>
        <w:t xml:space="preserve"> </w:t>
      </w:r>
      <m:oMath>
        <m:r>
          <m:rPr>
            <m:sty m:val="bi"/>
          </m:rPr>
          <m:t>a</m:t>
        </m:r>
      </m:oMath>
      <w:r>
        <w:t xml:space="preserve"> </w:t>
      </w:r>
      <w:r>
        <w:rPr>
          <w:rFonts w:hint="eastAsia"/>
        </w:rPr>
        <w:t>则保存与</w:t>
      </w:r>
      <w:r>
        <w:t xml:space="preserve"> </w:t>
      </w:r>
      <m:oMath>
        <m:r>
          <m:rPr/>
          <m:t>m</m:t>
        </m:r>
      </m:oMath>
      <w:r>
        <w:t xml:space="preserve"> </w:t>
      </w:r>
      <w:r>
        <w:rPr>
          <w:rFonts w:hint="eastAsia"/>
        </w:rPr>
        <w:t>对应的</w:t>
      </w:r>
      <w:r>
        <w:t xml:space="preserve"> YAML、Rego、Falco </w:t>
      </w:r>
      <w:r>
        <w:rPr>
          <w:rFonts w:hint="eastAsia"/>
        </w:rPr>
        <w:t>规则或命令序列。由此，每个候选策略</w:t>
      </w:r>
      <w:r>
        <w:t xml:space="preserve"> </w:t>
      </w:r>
      <m:oMath>
        <m:r>
          <m:rPr/>
          <m:t>π</m:t>
        </m:r>
        <m:r>
          <m:rPr>
            <m:sty m:val="p"/>
          </m:rPr>
          <m:t>={</m:t>
        </m:r>
        <m:sSub>
          <m:sSubPr/>
          <m:e>
            <m:r>
              <m:rPr/>
              <m:t>e</m:t>
            </m:r>
          </m:e>
          <m:sub>
            <m:r>
              <m:rPr/>
              <m:t>1</m:t>
            </m:r>
          </m:sub>
        </m:sSub>
        <m:r>
          <m:rPr>
            <m:sty m:val="p"/>
          </m:rPr>
          <m:t>,</m:t>
        </m:r>
        <m:sSub>
          <m:sSubPr/>
          <m:e>
            <m:r>
              <m:rPr/>
              <m:t>e</m:t>
            </m:r>
          </m:e>
          <m:sub>
            <m:r>
              <m:rPr/>
              <m:t>2</m:t>
            </m:r>
          </m:sub>
        </m:sSub>
        <m:r>
          <m:rPr>
            <m:sty m:val="p"/>
          </m:rPr>
          <m:t>,…,</m:t>
        </m:r>
        <m:sSub>
          <m:sSubPr/>
          <m:e>
            <m:r>
              <m:rPr/>
              <m:t>e</m:t>
            </m:r>
          </m:e>
          <m:sub>
            <m:r>
              <m:rPr/>
              <m:t>n</m:t>
            </m:r>
          </m:sub>
        </m:sSub>
        <m:r>
          <m:rPr>
            <m:sty m:val="p"/>
          </m:rPr>
          <m:t>}</m:t>
        </m:r>
      </m:oMath>
      <w:r>
        <w:t xml:space="preserve"> </w:t>
      </w:r>
      <w:r>
        <w:rPr>
          <w:rFonts w:hint="eastAsia"/>
        </w:rPr>
        <w:t>均可被解释为围绕同一漏洞实例组织的多条防控条目集合，而非若干松散的安全建议。</w:t>
      </w:r>
    </w:p>
    <w:p w14:paraId="78F71843">
      <w:pPr>
        <w:pStyle w:val="3"/>
      </w:pPr>
      <w:r>
        <w:rPr>
          <w:rFonts w:hint="eastAsia"/>
        </w:rPr>
        <w:t>在生成配置</w:t>
      </w:r>
      <w:r>
        <w:t xml:space="preserve"> </w:t>
      </w:r>
      <m:oMath>
        <m:r>
          <m:rPr/>
          <m:t>g</m:t>
        </m:r>
        <m:r>
          <m:rPr>
            <m:sty m:val="p"/>
          </m:rPr>
          <m:t>=(</m:t>
        </m:r>
        <m:r>
          <m:rPr/>
          <m:t>a</m:t>
        </m:r>
        <m:r>
          <m:rPr>
            <m:sty m:val="p"/>
          </m:rPr>
          <m:t>,</m:t>
        </m:r>
        <m:r>
          <m:rPr/>
          <m:t>h</m:t>
        </m:r>
        <m:r>
          <m:rPr>
            <m:sty m:val="p"/>
          </m:rPr>
          <m:t>)</m:t>
        </m:r>
      </m:oMath>
      <w:r>
        <w:t xml:space="preserve"> </w:t>
      </w:r>
      <w:r>
        <w:rPr>
          <w:rFonts w:hint="eastAsia"/>
        </w:rPr>
        <w:t>下，策略生成智能体输出当前配置对应的候选子集</w:t>
      </w:r>
      <w:r>
        <w:t xml:space="preserve"> </w:t>
      </w:r>
      <m:oMath>
        <m:sSubSup>
          <m:sSubSupPr/>
          <m:e>
            <m:r>
              <m:rPr>
                <m:sty m:val="p"/>
              </m:rPr>
              <m:t>Π</m:t>
            </m:r>
          </m:e>
          <m:sub>
            <m:r>
              <m:rPr/>
              <m:t>v</m:t>
            </m:r>
          </m:sub>
          <m:sup>
            <m:r>
              <m:rPr>
                <m:sty m:val="p"/>
              </m:rPr>
              <m:t>(</m:t>
            </m:r>
            <m:r>
              <m:rPr/>
              <m:t>g</m:t>
            </m:r>
            <m:r>
              <m:rPr>
                <m:sty m:val="p"/>
              </m:rPr>
              <m:t>)</m:t>
            </m:r>
          </m:sup>
        </m:sSubSup>
      </m:oMath>
      <w:r>
        <w:rPr>
          <w:rFonts w:hint="eastAsia"/>
        </w:rPr>
        <w:t>。不同方法配置</w:t>
      </w:r>
      <w:r>
        <w:t xml:space="preserve"> </w:t>
      </w:r>
      <m:oMath>
        <m:r>
          <m:rPr/>
          <m:t>a</m:t>
        </m:r>
      </m:oMath>
      <w:r>
        <w:t xml:space="preserve"> </w:t>
      </w:r>
      <w:r>
        <w:rPr>
          <w:rFonts w:hint="eastAsia"/>
        </w:rPr>
        <w:t>和底层模型</w:t>
      </w:r>
      <w:r>
        <w:t xml:space="preserve"> </w:t>
      </w:r>
      <m:oMath>
        <m:r>
          <m:rPr/>
          <m:t>h</m:t>
        </m:r>
      </m:oMath>
      <w:r>
        <w:t xml:space="preserve"> </w:t>
      </w:r>
      <w:r>
        <w:rPr>
          <w:rFonts w:hint="eastAsia"/>
        </w:rPr>
        <w:t>会带来差异化的推理路径与策略表达，多个候选子集最终合并为</w:t>
      </w:r>
      <w:r>
        <w:t xml:space="preserve"> </w:t>
      </w:r>
      <m:oMath>
        <m:sSub>
          <m:sSubPr/>
          <m:e>
            <m:r>
              <m:rPr>
                <m:sty m:val="p"/>
              </m:rPr>
              <m:t>Π</m:t>
            </m:r>
          </m:e>
          <m:sub>
            <m:r>
              <m:rPr/>
              <m:t>v</m:t>
            </m:r>
          </m:sub>
        </m:sSub>
      </m:oMath>
      <w:r>
        <w:rPr>
          <w:rFonts w:hint="eastAsia"/>
        </w:rPr>
        <w:t>，供后续质量评估比较。为保证候选之间具有可比性，生成阶段要求每个</w:t>
      </w:r>
      <w:r>
        <w:t xml:space="preserve"> </w:t>
      </w:r>
      <m:oMath>
        <m:r>
          <m:rPr/>
          <m:t>π</m:t>
        </m:r>
      </m:oMath>
      <w:r>
        <w:t xml:space="preserve"> </w:t>
      </w:r>
      <w:r>
        <w:rPr>
          <w:rFonts w:hint="eastAsia"/>
        </w:rPr>
        <w:t>至少包含防控目标、适用前提、策略代码、验证方式和回滚边界；当安全上下文中证据不足时，模型必须显式保留假设条件，而不能将假设内容写成确定事实。具体智能体提示词见图</w:t>
      </w:r>
      <w:r>
        <w:t> </w:t>
      </w:r>
      <w:r>
        <w:fldChar w:fldCharType="begin"/>
      </w:r>
      <w:r>
        <w:instrText xml:space="preserve"> HYPERLINK \l "fig:prompt-vuln-analysis" \h </w:instrText>
      </w:r>
      <w:r>
        <w:fldChar w:fldCharType="separate"/>
      </w:r>
      <w:r>
        <w:rPr>
          <w:rStyle w:val="20"/>
        </w:rPr>
        <w:t>3.6</w:t>
      </w:r>
      <w:r>
        <w:rPr>
          <w:rStyle w:val="20"/>
        </w:rPr>
        <w:fldChar w:fldCharType="end"/>
      </w:r>
      <w:r>
        <w:t xml:space="preserve"> </w:t>
      </w:r>
      <w:r>
        <w:rPr>
          <w:rFonts w:hint="eastAsia"/>
        </w:rPr>
        <w:t>和图</w:t>
      </w:r>
      <w:r>
        <w:t> </w:t>
      </w:r>
      <w:r>
        <w:fldChar w:fldCharType="begin"/>
      </w:r>
      <w:r>
        <w:instrText xml:space="preserve"> HYPERLINK \l "fig:prompt-strategy-gen" \h </w:instrText>
      </w:r>
      <w:r>
        <w:fldChar w:fldCharType="separate"/>
      </w:r>
      <w:r>
        <w:rPr>
          <w:rStyle w:val="20"/>
        </w:rPr>
        <w:t>3.7</w:t>
      </w:r>
      <w:r>
        <w:rPr>
          <w:rStyle w:val="20"/>
        </w:rPr>
        <w:fldChar w:fldCharType="end"/>
      </w:r>
      <w:r>
        <w:t>。</w:t>
      </w:r>
    </w:p>
    <w:tbl>
      <w:tblPr>
        <w:tblStyle w:val="18"/>
        <w:tblW w:w="0" w:type="auto"/>
        <w:jc w:val="center"/>
        <w:tblLayout w:type="autofit"/>
        <w:tblCellMar>
          <w:top w:w="0" w:type="dxa"/>
          <w:left w:w="10" w:type="dxa"/>
          <w:bottom w:w="0" w:type="dxa"/>
          <w:right w:w="10" w:type="dxa"/>
        </w:tblCellMar>
      </w:tblPr>
      <w:tblGrid>
        <w:gridCol w:w="7988"/>
        <w:gridCol w:w="26"/>
      </w:tblGrid>
      <w:tr w14:paraId="14243EBE">
        <w:tblPrEx>
          <w:tblCellMar>
            <w:top w:w="0" w:type="dxa"/>
            <w:left w:w="10" w:type="dxa"/>
            <w:bottom w:w="0" w:type="dxa"/>
            <w:right w:w="10" w:type="dxa"/>
          </w:tblCellMar>
        </w:tblPrEx>
        <w:trPr>
          <w:jc w:val="center"/>
        </w:trPr>
        <w:tc>
          <w:p w14:paraId="597891D7">
            <w:pPr>
              <w:pStyle w:val="49"/>
              <w:jc w:val="center"/>
            </w:pPr>
            <w:bookmarkStart w:id="65" w:name="fig:prompt-vuln-analysis"/>
            <w:r>
              <w:rPr>
                <w:rStyle w:val="48"/>
                <w:rFonts w:hint="eastAsia"/>
              </w:rPr>
              <w:t>你是</w:t>
            </w:r>
            <w:r>
              <w:rPr>
                <w:rStyle w:val="48"/>
              </w:rPr>
              <w:t xml:space="preserve"> K8s </w:t>
            </w:r>
            <w:r>
              <w:rPr>
                <w:rStyle w:val="48"/>
                <w:rFonts w:hint="eastAsia"/>
              </w:rPr>
              <w:t>漏洞分析助手。</w:t>
            </w:r>
            <w:r>
              <w:br w:type="textWrapping"/>
            </w:r>
            <w:r>
              <w:rPr>
                <w:rStyle w:val="48"/>
              </w:rPr>
              <w:t xml:space="preserve">## </w:t>
            </w:r>
            <w:r>
              <w:rPr>
                <w:rStyle w:val="48"/>
                <w:rFonts w:hint="eastAsia"/>
              </w:rPr>
              <w:t>输入</w:t>
            </w:r>
            <w:r>
              <w:br w:type="textWrapping"/>
            </w:r>
            <w:r>
              <w:rPr>
                <w:rStyle w:val="48"/>
                <w:rFonts w:hint="eastAsia"/>
              </w:rPr>
              <w:t>漏洞实例</w:t>
            </w:r>
            <w:r>
              <w:rPr>
                <w:rStyle w:val="48"/>
              </w:rPr>
              <w:t xml:space="preserve"> v </w:t>
            </w:r>
            <w:r>
              <w:rPr>
                <w:rStyle w:val="48"/>
                <w:rFonts w:hint="eastAsia"/>
              </w:rPr>
              <w:t>与安全上下文</w:t>
            </w:r>
            <w:r>
              <w:rPr>
                <w:rStyle w:val="48"/>
              </w:rPr>
              <w:t xml:space="preserve"> c</w:t>
            </w:r>
            <w:r>
              <w:br w:type="textWrapping"/>
            </w:r>
            <w:r>
              <w:br w:type="textWrapping"/>
            </w:r>
            <w:r>
              <w:rPr>
                <w:rStyle w:val="48"/>
              </w:rPr>
              <w:t xml:space="preserve">## </w:t>
            </w:r>
            <w:r>
              <w:rPr>
                <w:rStyle w:val="48"/>
                <w:rFonts w:hint="eastAsia"/>
              </w:rPr>
              <w:t>任务</w:t>
            </w:r>
            <w:r>
              <w:br w:type="textWrapping"/>
            </w:r>
            <w:r>
              <w:rPr>
                <w:rStyle w:val="48"/>
                <w:rFonts w:hint="eastAsia"/>
              </w:rPr>
              <w:t>给出漏洞类型、攻击路径、影响范围与成因分类，</w:t>
            </w:r>
            <w:r>
              <w:br w:type="textWrapping"/>
            </w:r>
            <w:r>
              <w:rPr>
                <w:rStyle w:val="48"/>
                <w:rFonts w:hint="eastAsia"/>
              </w:rPr>
              <w:t>并指出导致权限提升的关键环节。</w:t>
            </w:r>
            <w:r>
              <w:br w:type="textWrapping"/>
            </w:r>
            <w:r>
              <w:br w:type="textWrapping"/>
            </w:r>
            <w:r>
              <w:rPr>
                <w:rStyle w:val="48"/>
              </w:rPr>
              <w:t xml:space="preserve">## </w:t>
            </w:r>
            <w:r>
              <w:rPr>
                <w:rStyle w:val="48"/>
                <w:rFonts w:hint="eastAsia"/>
              </w:rPr>
              <w:t>输出</w:t>
            </w:r>
            <w:r>
              <w:br w:type="textWrapping"/>
            </w:r>
            <w:r>
              <w:rPr>
                <w:rStyle w:val="48"/>
                <w:rFonts w:hint="eastAsia"/>
              </w:rPr>
              <w:t>&lt;&lt;漏洞分析</w:t>
            </w:r>
            <w:r>
              <w:rPr>
                <w:rStyle w:val="48"/>
              </w:rPr>
              <w:t xml:space="preserve"> JSON </w:t>
            </w:r>
            <w:r>
              <w:rPr>
                <w:rStyle w:val="48"/>
                <w:rFonts w:hint="eastAsia"/>
              </w:rPr>
              <w:t>格式&gt;&gt;：包含结构化分析结果</w:t>
            </w:r>
            <w:r>
              <w:br w:type="textWrapping"/>
            </w:r>
            <w:r>
              <w:rPr>
                <w:rStyle w:val="48"/>
                <w:rFonts w:hint="eastAsia"/>
              </w:rPr>
              <w:t>不直接输出安全策略。</w:t>
            </w:r>
          </w:p>
        </w:tc>
        <w:tc>
          <w:p w14:paraId="40E4EA0D">
            <w:pPr>
              <w:jc w:val="center"/>
            </w:pPr>
            <w:bookmarkStart w:id="66" w:name="fig:prompt-vuln-analysis"/>
            <w:bookmarkEnd w:id="66"/>
          </w:p>
        </w:tc>
      </w:tr>
      <w:bookmarkEnd w:id="65"/>
      <w:tr w14:paraId="22B8E3E9">
        <w:tblPrEx>
          <w:tblCellMar>
            <w:top w:w="0" w:type="dxa"/>
            <w:left w:w="10" w:type="dxa"/>
            <w:bottom w:w="0" w:type="dxa"/>
            <w:right w:w="10" w:type="dxa"/>
          </w:tblCellMar>
        </w:tblPrEx>
        <w:trPr>
          <w:jc w:val="center"/>
        </w:trPr>
        <w:tc>
          <w:p w14:paraId="7F3574EB">
            <w:pPr>
              <w:pStyle w:val="49"/>
              <w:jc w:val="center"/>
            </w:pPr>
            <w:bookmarkStart w:id="67" w:name="fig:prompt-strategy-gen"/>
            <w:r>
              <w:rPr>
                <w:rStyle w:val="48"/>
                <w:rFonts w:hint="eastAsia"/>
              </w:rPr>
              <w:t>你是云原生安全策略生成助手，精通</w:t>
            </w:r>
            <w:r>
              <w:rPr>
                <w:rStyle w:val="48"/>
              </w:rPr>
              <w:t xml:space="preserve"> K8s </w:t>
            </w:r>
            <w:r>
              <w:rPr>
                <w:rStyle w:val="48"/>
                <w:rFonts w:hint="eastAsia"/>
              </w:rPr>
              <w:t>权限管理操作和</w:t>
            </w:r>
            <w:r>
              <w:br w:type="textWrapping"/>
            </w:r>
            <w:r>
              <w:rPr>
                <w:rStyle w:val="48"/>
                <w:rFonts w:hint="eastAsia"/>
              </w:rPr>
              <w:t>常用云原生安全工具，如Falco、OPA</w:t>
            </w:r>
            <w:r>
              <w:rPr>
                <w:rStyle w:val="48"/>
              </w:rPr>
              <w:t xml:space="preserve"> Gatekeeper、NetworkPolicy、Kyverno.</w:t>
            </w:r>
            <w:r>
              <w:br w:type="textWrapping"/>
            </w:r>
            <w:r>
              <w:rPr>
                <w:rStyle w:val="48"/>
              </w:rPr>
              <w:t xml:space="preserve">## </w:t>
            </w:r>
            <w:r>
              <w:rPr>
                <w:rStyle w:val="48"/>
                <w:rFonts w:hint="eastAsia"/>
              </w:rPr>
              <w:t>输入</w:t>
            </w:r>
            <w:r>
              <w:br w:type="textWrapping"/>
            </w:r>
            <w:r>
              <w:rPr>
                <w:rStyle w:val="48"/>
                <w:rFonts w:hint="eastAsia"/>
              </w:rPr>
              <w:t>漏洞实例</w:t>
            </w:r>
            <w:r>
              <w:rPr>
                <w:rStyle w:val="48"/>
              </w:rPr>
              <w:t xml:space="preserve"> </w:t>
            </w:r>
            <w:r>
              <w:rPr>
                <w:rStyle w:val="48"/>
                <w:rFonts w:hint="eastAsia"/>
              </w:rPr>
              <w:t>v、漏洞分析结果、安全上下文</w:t>
            </w:r>
            <w:r>
              <w:rPr>
                <w:rStyle w:val="48"/>
              </w:rPr>
              <w:t xml:space="preserve"> c </w:t>
            </w:r>
            <w:r>
              <w:rPr>
                <w:rStyle w:val="48"/>
                <w:rFonts w:hint="eastAsia"/>
              </w:rPr>
              <w:t>与生成目标</w:t>
            </w:r>
            <w:r>
              <w:br w:type="textWrapping"/>
            </w:r>
            <w:r>
              <w:br w:type="textWrapping"/>
            </w:r>
            <w:r>
              <w:rPr>
                <w:rStyle w:val="48"/>
              </w:rPr>
              <w:t xml:space="preserve">## </w:t>
            </w:r>
            <w:r>
              <w:rPr>
                <w:rStyle w:val="48"/>
                <w:rFonts w:hint="eastAsia"/>
              </w:rPr>
              <w:t>任务</w:t>
            </w:r>
            <w:r>
              <w:br w:type="textWrapping"/>
            </w:r>
            <w:r>
              <w:rPr>
                <w:rStyle w:val="48"/>
                <w:rFonts w:hint="eastAsia"/>
              </w:rPr>
              <w:t>围绕监控或防护目标生成候选安全策略</w:t>
            </w:r>
            <w:r>
              <w:rPr>
                <w:rStyle w:val="48"/>
              </w:rPr>
              <w:t xml:space="preserve"> </w:t>
            </w:r>
            <w:r>
              <w:rPr>
                <w:rStyle w:val="48"/>
                <w:rFonts w:hint="eastAsia"/>
              </w:rPr>
              <w:t>pi，满足</w:t>
            </w:r>
            <w:r>
              <w:br w:type="textWrapping"/>
            </w:r>
            <w:r>
              <w:rPr>
                <w:rStyle w:val="48"/>
              </w:rPr>
              <w:t xml:space="preserve">pi={e_1, e_2, </w:t>
            </w:r>
            <w:r>
              <w:rPr>
                <w:rStyle w:val="48"/>
                <w:rFonts w:hint="eastAsia"/>
              </w:rPr>
              <w:t>...}，其中</w:t>
            </w:r>
            <w:r>
              <w:rPr>
                <w:rStyle w:val="48"/>
              </w:rPr>
              <w:t xml:space="preserve"> e_i=&lt;tau, m, a&gt; </w:t>
            </w:r>
            <w:r>
              <w:rPr>
                <w:rStyle w:val="48"/>
                <w:rFonts w:hint="eastAsia"/>
              </w:rPr>
              <w:t>为防控条目，</w:t>
            </w:r>
            <w:r>
              <w:br w:type="textWrapping"/>
            </w:r>
            <w:r>
              <w:rPr>
                <w:rStyle w:val="48"/>
                <w:rFonts w:hint="eastAsia"/>
              </w:rPr>
              <w:t>优先给出可部署、可验证、可回滚的措施。</w:t>
            </w:r>
            <w:r>
              <w:br w:type="textWrapping"/>
            </w:r>
            <w:r>
              <w:br w:type="textWrapping"/>
            </w:r>
            <w:r>
              <w:rPr>
                <w:rStyle w:val="48"/>
              </w:rPr>
              <w:t xml:space="preserve">## </w:t>
            </w:r>
            <w:r>
              <w:rPr>
                <w:rStyle w:val="48"/>
                <w:rFonts w:hint="eastAsia"/>
              </w:rPr>
              <w:t>工具</w:t>
            </w:r>
            <w:r>
              <w:br w:type="textWrapping"/>
            </w:r>
            <w:r>
              <w:rPr>
                <w:rStyle w:val="48"/>
                <w:rFonts w:hint="eastAsia"/>
              </w:rPr>
              <w:t>生成代码后须调用相应工具进行校验：</w:t>
            </w:r>
            <w:r>
              <w:br w:type="textWrapping"/>
            </w:r>
            <w:r>
              <w:rPr>
                <w:rStyle w:val="48"/>
              </w:rPr>
              <w:t xml:space="preserve">- YAML/JSON </w:t>
            </w:r>
            <w:r>
              <w:rPr>
                <w:rStyle w:val="48"/>
                <w:rFonts w:hint="eastAsia"/>
              </w:rPr>
              <w:t>格式校验：yamllint、jq</w:t>
            </w:r>
            <w:r>
              <w:rPr>
                <w:rStyle w:val="48"/>
              </w:rPr>
              <w:t xml:space="preserve"> --validate</w:t>
            </w:r>
            <w:r>
              <w:br w:type="textWrapping"/>
            </w:r>
            <w:r>
              <w:rPr>
                <w:rStyle w:val="48"/>
              </w:rPr>
              <w:t xml:space="preserve">- DSL </w:t>
            </w:r>
            <w:r>
              <w:rPr>
                <w:rStyle w:val="48"/>
                <w:rFonts w:hint="eastAsia"/>
              </w:rPr>
              <w:t>编译校验：Falco</w:t>
            </w:r>
            <w:r>
              <w:rPr>
                <w:rStyle w:val="48"/>
              </w:rPr>
              <w:t xml:space="preserve"> </w:t>
            </w:r>
            <w:r>
              <w:rPr>
                <w:rStyle w:val="48"/>
                <w:rFonts w:hint="eastAsia"/>
              </w:rPr>
              <w:t>规则使用</w:t>
            </w:r>
            <w:r>
              <w:rPr>
                <w:rStyle w:val="48"/>
              </w:rPr>
              <w:t xml:space="preserve"> falco -L </w:t>
            </w:r>
            <w:r>
              <w:rPr>
                <w:rStyle w:val="48"/>
                <w:rFonts w:hint="eastAsia"/>
              </w:rPr>
              <w:t>验证语法；</w:t>
            </w:r>
            <w:r>
              <w:br w:type="textWrapping"/>
            </w:r>
            <w:r>
              <w:rPr>
                <w:rStyle w:val="48"/>
              </w:rPr>
              <w:t xml:space="preserve"> Kyverno </w:t>
            </w:r>
            <w:r>
              <w:rPr>
                <w:rStyle w:val="48"/>
                <w:rFonts w:hint="eastAsia"/>
              </w:rPr>
              <w:t>策略使用</w:t>
            </w:r>
            <w:r>
              <w:rPr>
                <w:rStyle w:val="48"/>
              </w:rPr>
              <w:t xml:space="preserve"> kubectl kyverno </w:t>
            </w:r>
            <w:r>
              <w:rPr>
                <w:rStyle w:val="48"/>
                <w:rFonts w:hint="eastAsia"/>
              </w:rPr>
              <w:t>validate；</w:t>
            </w:r>
            <w:r>
              <w:br w:type="textWrapping"/>
            </w:r>
            <w:r>
              <w:rPr>
                <w:rStyle w:val="48"/>
              </w:rPr>
              <w:t xml:space="preserve"> OPA Rego </w:t>
            </w:r>
            <w:r>
              <w:rPr>
                <w:rStyle w:val="48"/>
                <w:rFonts w:hint="eastAsia"/>
              </w:rPr>
              <w:t>使用</w:t>
            </w:r>
            <w:r>
              <w:rPr>
                <w:rStyle w:val="48"/>
              </w:rPr>
              <w:t xml:space="preserve"> opa </w:t>
            </w:r>
            <w:r>
              <w:rPr>
                <w:rStyle w:val="48"/>
                <w:rFonts w:hint="eastAsia"/>
              </w:rPr>
              <w:t>check；</w:t>
            </w:r>
            <w:r>
              <w:br w:type="textWrapping"/>
            </w:r>
            <w:r>
              <w:rPr>
                <w:rStyle w:val="48"/>
              </w:rPr>
              <w:t xml:space="preserve"> K8s </w:t>
            </w:r>
            <w:r>
              <w:rPr>
                <w:rStyle w:val="48"/>
                <w:rFonts w:hint="eastAsia"/>
              </w:rPr>
              <w:t>资源使用</w:t>
            </w:r>
            <w:r>
              <w:rPr>
                <w:rStyle w:val="48"/>
              </w:rPr>
              <w:t xml:space="preserve"> kubectl --dry-run=server </w:t>
            </w:r>
            <w:r>
              <w:rPr>
                <w:rStyle w:val="48"/>
                <w:rFonts w:hint="eastAsia"/>
              </w:rPr>
              <w:t>验证。</w:t>
            </w:r>
            <w:r>
              <w:br w:type="textWrapping"/>
            </w:r>
            <w:r>
              <w:rPr>
                <w:rStyle w:val="48"/>
                <w:rFonts w:hint="eastAsia"/>
              </w:rPr>
              <w:t>校验通过方可输出。</w:t>
            </w:r>
            <w:r>
              <w:br w:type="textWrapping"/>
            </w:r>
            <w:r>
              <w:br w:type="textWrapping"/>
            </w:r>
            <w:r>
              <w:rPr>
                <w:rStyle w:val="48"/>
              </w:rPr>
              <w:t xml:space="preserve">## </w:t>
            </w:r>
            <w:r>
              <w:rPr>
                <w:rStyle w:val="48"/>
                <w:rFonts w:hint="eastAsia"/>
              </w:rPr>
              <w:t>输出</w:t>
            </w:r>
            <w:r>
              <w:br w:type="textWrapping"/>
            </w:r>
            <w:r>
              <w:rPr>
                <w:rStyle w:val="48"/>
                <w:rFonts w:hint="eastAsia"/>
              </w:rPr>
              <w:t>&lt;&lt;候选策略</w:t>
            </w:r>
            <w:r>
              <w:rPr>
                <w:rStyle w:val="48"/>
              </w:rPr>
              <w:t xml:space="preserve"> JSON </w:t>
            </w:r>
            <w:r>
              <w:rPr>
                <w:rStyle w:val="48"/>
                <w:rFonts w:hint="eastAsia"/>
              </w:rPr>
              <w:t>格式&gt;&gt;：输出一个或多个候选</w:t>
            </w:r>
            <w:r>
              <w:rPr>
                <w:rStyle w:val="48"/>
              </w:rPr>
              <w:t xml:space="preserve"> </w:t>
            </w:r>
            <w:r>
              <w:rPr>
                <w:rStyle w:val="48"/>
                <w:rFonts w:hint="eastAsia"/>
              </w:rPr>
              <w:t>pi，</w:t>
            </w:r>
            <w:r>
              <w:br w:type="textWrapping"/>
            </w:r>
            <w:r>
              <w:rPr>
                <w:rStyle w:val="48"/>
                <w:rFonts w:hint="eastAsia"/>
              </w:rPr>
              <w:t>合并后构成当前生成配置下的候选子集；若信息不足，显式说明</w:t>
            </w:r>
            <w:r>
              <w:rPr>
                <w:rStyle w:val="48"/>
              </w:rPr>
              <w:t xml:space="preserve"> assumptions。</w:t>
            </w:r>
          </w:p>
        </w:tc>
        <w:tc>
          <w:p w14:paraId="679550B5">
            <w:pPr>
              <w:jc w:val="center"/>
            </w:pPr>
            <w:bookmarkStart w:id="68" w:name="fig:prompt-strategy-gen"/>
            <w:bookmarkEnd w:id="68"/>
          </w:p>
        </w:tc>
      </w:tr>
      <w:bookmarkEnd w:id="67"/>
    </w:tbl>
    <w:p w14:paraId="610B8ABF">
      <w:pPr>
        <w:pStyle w:val="3"/>
      </w:pPr>
      <w:r>
        <w:rPr>
          <w:rFonts w:hint="eastAsia"/>
        </w:rPr>
        <w:t>由于不同安全工具的策略语言和部署方式存在差异，策略生成阶段还需对输出进行结构化规范。本文将策略代码、部署命令、验证命令和回滚命令均视为执行表达序列</w:t>
      </w:r>
      <w:r>
        <w:t xml:space="preserve"> </w:t>
      </w:r>
      <m:oMath>
        <m:r>
          <m:rPr>
            <m:sty m:val="bi"/>
          </m:rPr>
          <m:t>a</m:t>
        </m:r>
      </m:oMath>
      <w:r>
        <w:t xml:space="preserve"> </w:t>
      </w:r>
      <w:r>
        <w:rPr>
          <w:rFonts w:hint="eastAsia"/>
        </w:rPr>
        <w:t>的组成部分，使</w:t>
      </w:r>
      <w:r>
        <w:t xml:space="preserve"> Falco、Kyverno、OPA Gatekeeper、NetworkPolicy </w:t>
      </w:r>
      <w:r>
        <w:rPr>
          <w:rFonts w:hint="eastAsia"/>
        </w:rPr>
        <w:t>与</w:t>
      </w:r>
      <w:r>
        <w:t xml:space="preserve"> RBAC </w:t>
      </w:r>
      <w:r>
        <w:rPr>
          <w:rFonts w:hint="eastAsia"/>
        </w:rPr>
        <w:t>等工具可以在统一的防控条目结构下表示。该设计一方面保证了不同候选策略均能映射回</w:t>
      </w:r>
      <w:r>
        <w:t xml:space="preserve"> </w:t>
      </w:r>
      <m:oMath>
        <m:r>
          <m:rPr/>
          <m:t>π</m:t>
        </m:r>
        <m:r>
          <m:rPr>
            <m:sty m:val="p"/>
          </m:rPr>
          <m:t>={</m:t>
        </m:r>
        <m:sSub>
          <m:sSubPr/>
          <m:e>
            <m:r>
              <m:rPr/>
              <m:t>e</m:t>
            </m:r>
          </m:e>
          <m:sub>
            <m:r>
              <m:rPr/>
              <m:t>1</m:t>
            </m:r>
          </m:sub>
        </m:sSub>
        <m:r>
          <m:rPr>
            <m:sty m:val="p"/>
          </m:rPr>
          <m:t>,</m:t>
        </m:r>
        <m:sSub>
          <m:sSubPr/>
          <m:e>
            <m:r>
              <m:rPr/>
              <m:t>e</m:t>
            </m:r>
          </m:e>
          <m:sub>
            <m:r>
              <m:rPr/>
              <m:t>2</m:t>
            </m:r>
          </m:sub>
        </m:sSub>
        <m:r>
          <m:rPr>
            <m:sty m:val="p"/>
          </m:rPr>
          <m:t>,…,</m:t>
        </m:r>
        <m:sSub>
          <m:sSubPr/>
          <m:e>
            <m:r>
              <m:rPr/>
              <m:t>e</m:t>
            </m:r>
          </m:e>
          <m:sub>
            <m:r>
              <m:rPr/>
              <m:t>n</m:t>
            </m:r>
          </m:sub>
        </m:sSub>
        <m:r>
          <m:rPr>
            <m:sty m:val="p"/>
          </m:rPr>
          <m:t>}</m:t>
        </m:r>
      </m:oMath>
      <w:r>
        <w:t xml:space="preserve"> </w:t>
      </w:r>
      <w:r>
        <w:rPr>
          <w:rFonts w:hint="eastAsia"/>
        </w:rPr>
        <w:t>的定义形式，另一方面也为后续按照有效性、无干扰性与可部署性进行排序评价提供了稳定输入。候选策略进入评估前须经规范化整理：统一字段格式、补齐必要步骤、清理冗余信息，并在证据不足处显式标记假设条件与前置依赖。</w:t>
      </w:r>
    </w:p>
    <w:bookmarkEnd w:id="64"/>
    <w:p w14:paraId="5F6AEF8F">
      <w:pPr>
        <w:pStyle w:val="6"/>
      </w:pPr>
      <w:bookmarkStart w:id="69" w:name="基于评审反馈的策略优化"/>
      <w:r>
        <w:rPr>
          <w:rFonts w:hint="eastAsia"/>
        </w:rPr>
        <w:t>(3)基于评审反馈的策略优化</w:t>
      </w:r>
    </w:p>
    <w:p w14:paraId="38DCE2CD">
      <w:pPr>
        <w:pStyle w:val="23"/>
      </w:pPr>
      <w:r>
        <w:rPr>
          <w:rFonts w:hint="eastAsia"/>
        </w:rPr>
        <w:t>在候选策略生成之后，流程进入评审与迭代优化环节。该环节的目标不是替代下一节的质量评估，而是在候选进入最终排序前发现明显缺陷并完成可执行性修订。</w:t>
      </w:r>
      <w:r>
        <w:rPr>
          <w:rFonts w:hint="eastAsia"/>
          <w:b/>
          <w:bCs/>
        </w:rPr>
        <w:t>策略评审智能体</w:t>
      </w:r>
      <w:r>
        <w:rPr>
          <w:rFonts w:hint="eastAsia"/>
        </w:rPr>
        <w:t>以漏洞实例</w:t>
      </w:r>
      <w:r>
        <w:t xml:space="preserve"> </w:t>
      </w:r>
      <m:oMath>
        <m:r>
          <m:rPr/>
          <m:t>v</m:t>
        </m:r>
      </m:oMath>
      <w:r>
        <w:rPr>
          <w:rFonts w:hint="eastAsia"/>
        </w:rPr>
        <w:t>、安全上下文</w:t>
      </w:r>
      <w:r>
        <w:t xml:space="preserve"> </w:t>
      </w:r>
      <m:oMath>
        <m:r>
          <m:rPr/>
          <m:t>c</m:t>
        </m:r>
      </m:oMath>
      <w:r>
        <w:t xml:space="preserve"> </w:t>
      </w:r>
      <w:r>
        <w:rPr>
          <w:rFonts w:hint="eastAsia"/>
        </w:rPr>
        <w:t>与候选策略集合</w:t>
      </w:r>
      <w:r>
        <w:t xml:space="preserve"> </w:t>
      </w:r>
      <m:oMath>
        <m:sSub>
          <m:sSubPr/>
          <m:e>
            <m:r>
              <m:rPr>
                <m:sty m:val="p"/>
              </m:rPr>
              <m:t>Π</m:t>
            </m:r>
          </m:e>
          <m:sub>
            <m:r>
              <m:rPr/>
              <m:t>v</m:t>
            </m:r>
          </m:sub>
        </m:sSub>
      </m:oMath>
      <w:r>
        <w:t xml:space="preserve"> </w:t>
      </w:r>
      <w:r>
        <w:rPr>
          <w:rFonts w:hint="eastAsia"/>
        </w:rPr>
        <w:t>为输入，从有效性、无干扰性与可部署性三个维度给出结构化评审，包括每个候选策略的有效点、潜在误报或业务影响、部署风险、验证要点与缺失信息。评审结论需要指出问题所对应的防控条目</w:t>
      </w:r>
      <w:r>
        <w:t xml:space="preserve"> </w:t>
      </w:r>
      <m:oMath>
        <m:sSub>
          <m:sSubPr/>
          <m:e>
            <m:r>
              <m:rPr/>
              <m:t>e</m:t>
            </m:r>
          </m:e>
          <m:sub>
            <m:r>
              <m:rPr/>
              <m:t>i</m:t>
            </m:r>
          </m:sub>
        </m:sSub>
      </m:oMath>
      <w:r>
        <w:rPr>
          <w:rFonts w:hint="eastAsia"/>
        </w:rPr>
        <w:t>，并区分是控制类型</w:t>
      </w:r>
      <w:r>
        <w:t xml:space="preserve"> </w:t>
      </w:r>
      <m:oMath>
        <m:r>
          <m:rPr/>
          <m:t>τ</m:t>
        </m:r>
      </m:oMath>
      <w:r>
        <w:t xml:space="preserve"> </w:t>
      </w:r>
      <w:r>
        <w:rPr>
          <w:rFonts w:hint="eastAsia"/>
        </w:rPr>
        <w:t>选择不当、控制机理</w:t>
      </w:r>
      <w:r>
        <w:t xml:space="preserve"> </w:t>
      </w:r>
      <m:oMath>
        <m:r>
          <m:rPr/>
          <m:t>m</m:t>
        </m:r>
      </m:oMath>
      <w:r>
        <w:t xml:space="preserve"> </w:t>
      </w:r>
      <w:r>
        <w:rPr>
          <w:rFonts w:hint="eastAsia"/>
        </w:rPr>
        <w:t>不适配，还是执行表达</w:t>
      </w:r>
      <w:r>
        <w:t xml:space="preserve"> </w:t>
      </w:r>
      <m:oMath>
        <m:r>
          <m:rPr>
            <m:sty m:val="bi"/>
          </m:rPr>
          <m:t>a</m:t>
        </m:r>
      </m:oMath>
      <w:r>
        <w:t xml:space="preserve"> </w:t>
      </w:r>
      <w:r>
        <w:rPr>
          <w:rFonts w:hint="eastAsia"/>
        </w:rPr>
        <w:t>缺少必要字段或验证步骤。</w:t>
      </w:r>
    </w:p>
    <w:p w14:paraId="01339F8B">
      <w:pPr>
        <w:pStyle w:val="3"/>
      </w:pPr>
      <w:r>
        <w:rPr>
          <w:rFonts w:hint="eastAsia"/>
          <w:b/>
          <w:bCs/>
        </w:rPr>
        <w:t>策略优化智能体</w:t>
      </w:r>
      <w:r>
        <w:rPr>
          <w:rFonts w:hint="eastAsia"/>
        </w:rPr>
        <w:t>据此对候选策略进行有边界的修订：对于能够支撑漏洞防控目标的条目，保留其核心控制逻辑并补齐部署参数；对于证据不足、作用范围过宽或与业务运行冲突的条目，进行收缩、替换或删除；对于缺少验证与回滚信息的策略，补充可执行命令和回退条件。优化后的结果仍表示为安全策略</w:t>
      </w:r>
      <w:r>
        <w:t xml:space="preserve"> </w:t>
      </w:r>
      <m:oMath>
        <m:r>
          <m:rPr/>
          <m:t>π</m:t>
        </m:r>
      </m:oMath>
      <w:r>
        <w:t xml:space="preserve"> </w:t>
      </w:r>
      <w:r>
        <w:rPr>
          <w:rFonts w:hint="eastAsia"/>
        </w:rPr>
        <w:t>或候选策略子集</w:t>
      </w:r>
      <w:r>
        <w:t xml:space="preserve"> </w:t>
      </w:r>
      <m:oMath>
        <m:sSubSup>
          <m:sSubSupPr/>
          <m:e>
            <m:r>
              <m:rPr>
                <m:sty m:val="p"/>
              </m:rPr>
              <m:t>Π</m:t>
            </m:r>
          </m:e>
          <m:sub>
            <m:r>
              <m:rPr/>
              <m:t>v</m:t>
            </m:r>
          </m:sub>
          <m:sup>
            <m:r>
              <m:rPr>
                <m:sty m:val="p"/>
              </m:rPr>
              <m:t>(</m:t>
            </m:r>
            <m:r>
              <m:rPr/>
              <m:t>g</m:t>
            </m:r>
            <m:r>
              <m:rPr>
                <m:sty m:val="p"/>
              </m:rPr>
              <m:t>)</m:t>
            </m:r>
          </m:sup>
        </m:sSubSup>
      </m:oMath>
      <w:r>
        <w:t xml:space="preserve"> </w:t>
      </w:r>
      <w:r>
        <w:rPr>
          <w:rFonts w:hint="eastAsia"/>
        </w:rPr>
        <w:t>中的元素，不能改变定义</w:t>
      </w:r>
      <w:r>
        <w:t> </w:t>
      </w:r>
      <w:r>
        <w:fldChar w:fldCharType="begin"/>
      </w:r>
      <w:r>
        <w:instrText xml:space="preserve"> HYPERLINK \l "def:security-strategy" \h </w:instrText>
      </w:r>
      <w:r>
        <w:fldChar w:fldCharType="separate"/>
      </w:r>
      <w:r>
        <w:rPr>
          <w:rStyle w:val="20"/>
        </w:rPr>
        <w:t>[def:security-strategy]</w:t>
      </w:r>
      <w:r>
        <w:rPr>
          <w:rStyle w:val="20"/>
        </w:rPr>
        <w:fldChar w:fldCharType="end"/>
      </w:r>
      <w:r>
        <w:t xml:space="preserve"> </w:t>
      </w:r>
      <w:r>
        <w:rPr>
          <w:rFonts w:hint="eastAsia"/>
        </w:rPr>
        <w:t>所规定的基本结构。由此，反馈优化在图</w:t>
      </w:r>
      <w:r>
        <w:t> </w:t>
      </w:r>
      <w:r>
        <w:fldChar w:fldCharType="begin"/>
      </w:r>
      <w:r>
        <w:instrText xml:space="preserve"> HYPERLINK \l "fig:method" \h </w:instrText>
      </w:r>
      <w:r>
        <w:fldChar w:fldCharType="separate"/>
      </w:r>
      <w:r>
        <w:rPr>
          <w:rStyle w:val="20"/>
        </w:rPr>
        <w:t>3.4</w:t>
      </w:r>
      <w:r>
        <w:rPr>
          <w:rStyle w:val="20"/>
        </w:rPr>
        <w:fldChar w:fldCharType="end"/>
      </w:r>
      <w:r>
        <w:t xml:space="preserve"> </w:t>
      </w:r>
      <w:r>
        <w:rPr>
          <w:rFonts w:hint="eastAsia"/>
        </w:rPr>
        <w:t>中形成从策略评审到策略生成的闭环，使候选策略在进入质量评估前完成一次基于证据和结构约束的自我修正。具体提示词范例见图</w:t>
      </w:r>
      <w:r>
        <w:t> </w:t>
      </w:r>
      <w:r>
        <w:fldChar w:fldCharType="begin"/>
      </w:r>
      <w:r>
        <w:instrText xml:space="preserve"> HYPERLINK \l "fig:prompt-strategy-review" \h </w:instrText>
      </w:r>
      <w:r>
        <w:fldChar w:fldCharType="separate"/>
      </w:r>
      <w:r>
        <w:rPr>
          <w:rStyle w:val="20"/>
        </w:rPr>
        <w:t>3.8</w:t>
      </w:r>
      <w:r>
        <w:rPr>
          <w:rStyle w:val="20"/>
        </w:rPr>
        <w:fldChar w:fldCharType="end"/>
      </w:r>
      <w:r>
        <w:t xml:space="preserve"> </w:t>
      </w:r>
      <w:r>
        <w:rPr>
          <w:rFonts w:hint="eastAsia"/>
        </w:rPr>
        <w:t>和图</w:t>
      </w:r>
      <w:r>
        <w:t> </w:t>
      </w:r>
      <w:r>
        <w:fldChar w:fldCharType="begin"/>
      </w:r>
      <w:r>
        <w:instrText xml:space="preserve"> HYPERLINK \l "fig:prompt-strategy-optimize" \h </w:instrText>
      </w:r>
      <w:r>
        <w:fldChar w:fldCharType="separate"/>
      </w:r>
      <w:r>
        <w:rPr>
          <w:rStyle w:val="20"/>
        </w:rPr>
        <w:t>3.9</w:t>
      </w:r>
      <w:r>
        <w:rPr>
          <w:rStyle w:val="20"/>
        </w:rPr>
        <w:fldChar w:fldCharType="end"/>
      </w:r>
      <w:r>
        <w:t>。</w:t>
      </w:r>
    </w:p>
    <w:tbl>
      <w:tblPr>
        <w:tblStyle w:val="18"/>
        <w:tblW w:w="0" w:type="auto"/>
        <w:jc w:val="center"/>
        <w:tblLayout w:type="autofit"/>
        <w:tblCellMar>
          <w:top w:w="0" w:type="dxa"/>
          <w:left w:w="10" w:type="dxa"/>
          <w:bottom w:w="0" w:type="dxa"/>
          <w:right w:w="10" w:type="dxa"/>
        </w:tblCellMar>
      </w:tblPr>
      <w:tblGrid>
        <w:gridCol w:w="6993"/>
        <w:gridCol w:w="26"/>
      </w:tblGrid>
      <w:tr w14:paraId="61C52AE6">
        <w:tblPrEx>
          <w:tblCellMar>
            <w:top w:w="0" w:type="dxa"/>
            <w:left w:w="10" w:type="dxa"/>
            <w:bottom w:w="0" w:type="dxa"/>
            <w:right w:w="10" w:type="dxa"/>
          </w:tblCellMar>
        </w:tblPrEx>
        <w:trPr>
          <w:jc w:val="center"/>
        </w:trPr>
        <w:tc>
          <w:p w14:paraId="43ECE420">
            <w:pPr>
              <w:pStyle w:val="49"/>
              <w:jc w:val="center"/>
            </w:pPr>
            <w:bookmarkStart w:id="70" w:name="fig:prompt-strategy-review"/>
            <w:r>
              <w:rPr>
                <w:rStyle w:val="48"/>
                <w:rFonts w:hint="eastAsia"/>
              </w:rPr>
              <w:t>你是云原生安全策略评审助手。</w:t>
            </w:r>
            <w:r>
              <w:br w:type="textWrapping"/>
            </w:r>
            <w:r>
              <w:rPr>
                <w:rStyle w:val="48"/>
              </w:rPr>
              <w:t xml:space="preserve">## </w:t>
            </w:r>
            <w:r>
              <w:rPr>
                <w:rStyle w:val="48"/>
                <w:rFonts w:hint="eastAsia"/>
              </w:rPr>
              <w:t>输入</w:t>
            </w:r>
            <w:r>
              <w:br w:type="textWrapping"/>
            </w:r>
            <w:r>
              <w:rPr>
                <w:rStyle w:val="48"/>
                <w:rFonts w:hint="eastAsia"/>
              </w:rPr>
              <w:t>漏洞实例</w:t>
            </w:r>
            <w:r>
              <w:rPr>
                <w:rStyle w:val="48"/>
              </w:rPr>
              <w:t xml:space="preserve"> </w:t>
            </w:r>
            <w:r>
              <w:rPr>
                <w:rStyle w:val="48"/>
                <w:rFonts w:hint="eastAsia"/>
              </w:rPr>
              <w:t>v、候选策略集合</w:t>
            </w:r>
            <w:r>
              <w:rPr>
                <w:rStyle w:val="48"/>
              </w:rPr>
              <w:t xml:space="preserve"> Pi_v </w:t>
            </w:r>
            <w:r>
              <w:rPr>
                <w:rStyle w:val="48"/>
                <w:rFonts w:hint="eastAsia"/>
              </w:rPr>
              <w:t>及补充约束</w:t>
            </w:r>
            <w:r>
              <w:br w:type="textWrapping"/>
            </w:r>
            <w:r>
              <w:br w:type="textWrapping"/>
            </w:r>
            <w:r>
              <w:rPr>
                <w:rStyle w:val="48"/>
              </w:rPr>
              <w:t xml:space="preserve">## </w:t>
            </w:r>
            <w:r>
              <w:rPr>
                <w:rStyle w:val="48"/>
                <w:rFonts w:hint="eastAsia"/>
              </w:rPr>
              <w:t>任务</w:t>
            </w:r>
            <w:r>
              <w:br w:type="textWrapping"/>
            </w:r>
            <w:r>
              <w:rPr>
                <w:rStyle w:val="48"/>
                <w:rFonts w:hint="eastAsia"/>
              </w:rPr>
              <w:t>从有效性、无干扰性与可部署性三个方面比较候选，</w:t>
            </w:r>
            <w:r>
              <w:br w:type="textWrapping"/>
            </w:r>
            <w:r>
              <w:rPr>
                <w:rStyle w:val="48"/>
                <w:rFonts w:hint="eastAsia"/>
              </w:rPr>
              <w:t>指出优势、风险、验证要点与缺失信息。</w:t>
            </w:r>
            <w:r>
              <w:br w:type="textWrapping"/>
            </w:r>
            <w:r>
              <w:br w:type="textWrapping"/>
            </w:r>
            <w:r>
              <w:rPr>
                <w:rStyle w:val="48"/>
              </w:rPr>
              <w:t xml:space="preserve">## </w:t>
            </w:r>
            <w:r>
              <w:rPr>
                <w:rStyle w:val="48"/>
                <w:rFonts w:hint="eastAsia"/>
              </w:rPr>
              <w:t>输出</w:t>
            </w:r>
            <w:r>
              <w:br w:type="textWrapping"/>
            </w:r>
            <w:r>
              <w:rPr>
                <w:rStyle w:val="48"/>
                <w:rFonts w:hint="eastAsia"/>
              </w:rPr>
              <w:t>&lt;&lt;评审结论</w:t>
            </w:r>
            <w:r>
              <w:rPr>
                <w:rStyle w:val="48"/>
              </w:rPr>
              <w:t xml:space="preserve"> JSON </w:t>
            </w:r>
            <w:r>
              <w:rPr>
                <w:rStyle w:val="48"/>
                <w:rFonts w:hint="eastAsia"/>
              </w:rPr>
              <w:t>格式&gt;&gt;：包含总体结论、逐策略点评与排序建议；</w:t>
            </w:r>
            <w:r>
              <w:br w:type="textWrapping"/>
            </w:r>
            <w:r>
              <w:rPr>
                <w:rStyle w:val="48"/>
                <w:rFonts w:hint="eastAsia"/>
              </w:rPr>
              <w:t>显式标注待补充信息。</w:t>
            </w:r>
          </w:p>
        </w:tc>
        <w:tc>
          <w:p w14:paraId="278879D8">
            <w:pPr>
              <w:jc w:val="center"/>
            </w:pPr>
            <w:bookmarkStart w:id="71" w:name="fig:prompt-strategy-review"/>
            <w:bookmarkEnd w:id="71"/>
          </w:p>
        </w:tc>
      </w:tr>
      <w:bookmarkEnd w:id="70"/>
      <w:tr w14:paraId="428D26B9">
        <w:tblPrEx>
          <w:tblCellMar>
            <w:top w:w="0" w:type="dxa"/>
            <w:left w:w="10" w:type="dxa"/>
            <w:bottom w:w="0" w:type="dxa"/>
            <w:right w:w="10" w:type="dxa"/>
          </w:tblCellMar>
        </w:tblPrEx>
        <w:trPr>
          <w:jc w:val="center"/>
        </w:trPr>
        <w:tc>
          <w:p w14:paraId="7EC87303">
            <w:pPr>
              <w:pStyle w:val="49"/>
              <w:jc w:val="center"/>
            </w:pPr>
            <w:bookmarkStart w:id="72" w:name="fig:prompt-strategy-optimize"/>
            <w:r>
              <w:rPr>
                <w:rStyle w:val="48"/>
                <w:rFonts w:hint="eastAsia"/>
              </w:rPr>
              <w:t>你是云原生安全策略优化助手。</w:t>
            </w:r>
            <w:r>
              <w:br w:type="textWrapping"/>
            </w:r>
            <w:r>
              <w:rPr>
                <w:rStyle w:val="48"/>
              </w:rPr>
              <w:t xml:space="preserve">## </w:t>
            </w:r>
            <w:r>
              <w:rPr>
                <w:rStyle w:val="48"/>
                <w:rFonts w:hint="eastAsia"/>
              </w:rPr>
              <w:t>输入</w:t>
            </w:r>
            <w:r>
              <w:br w:type="textWrapping"/>
            </w:r>
            <w:r>
              <w:rPr>
                <w:rStyle w:val="48"/>
                <w:rFonts w:hint="eastAsia"/>
              </w:rPr>
              <w:t>漏洞实例</w:t>
            </w:r>
            <w:r>
              <w:rPr>
                <w:rStyle w:val="48"/>
              </w:rPr>
              <w:t xml:space="preserve"> </w:t>
            </w:r>
            <w:r>
              <w:rPr>
                <w:rStyle w:val="48"/>
                <w:rFonts w:hint="eastAsia"/>
              </w:rPr>
              <w:t>v、候选策略集合与评审结论</w:t>
            </w:r>
            <w:r>
              <w:br w:type="textWrapping"/>
            </w:r>
            <w:r>
              <w:br w:type="textWrapping"/>
            </w:r>
            <w:r>
              <w:rPr>
                <w:rStyle w:val="48"/>
              </w:rPr>
              <w:t xml:space="preserve">## </w:t>
            </w:r>
            <w:r>
              <w:rPr>
                <w:rStyle w:val="48"/>
                <w:rFonts w:hint="eastAsia"/>
              </w:rPr>
              <w:t>任务</w:t>
            </w:r>
            <w:r>
              <w:br w:type="textWrapping"/>
            </w:r>
            <w:r>
              <w:rPr>
                <w:rStyle w:val="48"/>
                <w:rFonts w:hint="eastAsia"/>
              </w:rPr>
              <w:t>保留有效控制，删除高噪声或不可行措施，</w:t>
            </w:r>
            <w:r>
              <w:br w:type="textWrapping"/>
            </w:r>
            <w:r>
              <w:rPr>
                <w:rStyle w:val="48"/>
                <w:rFonts w:hint="eastAsia"/>
              </w:rPr>
              <w:t>补齐前置条件、验证步骤与回滚边界，形成优化后候选。</w:t>
            </w:r>
            <w:r>
              <w:br w:type="textWrapping"/>
            </w:r>
            <w:r>
              <w:br w:type="textWrapping"/>
            </w:r>
            <w:r>
              <w:rPr>
                <w:rStyle w:val="48"/>
              </w:rPr>
              <w:t xml:space="preserve">## </w:t>
            </w:r>
            <w:r>
              <w:rPr>
                <w:rStyle w:val="48"/>
                <w:rFonts w:hint="eastAsia"/>
              </w:rPr>
              <w:t>输出</w:t>
            </w:r>
            <w:r>
              <w:br w:type="textWrapping"/>
            </w:r>
            <w:r>
              <w:rPr>
                <w:rStyle w:val="48"/>
                <w:rFonts w:hint="eastAsia"/>
              </w:rPr>
              <w:t>&lt;&lt;优化后候选策略</w:t>
            </w:r>
            <w:r>
              <w:rPr>
                <w:rStyle w:val="48"/>
              </w:rPr>
              <w:t xml:space="preserve"> JSON </w:t>
            </w:r>
            <w:r>
              <w:rPr>
                <w:rStyle w:val="48"/>
                <w:rFonts w:hint="eastAsia"/>
              </w:rPr>
              <w:t>格式&gt;&gt;：说明保留、删除与修订原因；</w:t>
            </w:r>
            <w:r>
              <w:br w:type="textWrapping"/>
            </w:r>
            <w:r>
              <w:rPr>
                <w:rStyle w:val="48"/>
                <w:rFonts w:hint="eastAsia"/>
              </w:rPr>
              <w:t>策略为防控条目集合</w:t>
            </w:r>
            <w:r>
              <w:rPr>
                <w:rStyle w:val="48"/>
              </w:rPr>
              <w:t xml:space="preserve"> {e_1, e_2, </w:t>
            </w:r>
            <w:r>
              <w:rPr>
                <w:rStyle w:val="48"/>
                <w:rFonts w:hint="eastAsia"/>
              </w:rPr>
              <w:t>...}，每个</w:t>
            </w:r>
            <w:r>
              <w:rPr>
                <w:rStyle w:val="48"/>
              </w:rPr>
              <w:t xml:space="preserve"> e_i = &lt;tau, m, a&gt;。</w:t>
            </w:r>
          </w:p>
        </w:tc>
        <w:tc>
          <w:p w14:paraId="0160D3EB">
            <w:pPr>
              <w:jc w:val="center"/>
            </w:pPr>
            <w:bookmarkStart w:id="73" w:name="fig:prompt-strategy-optimize"/>
            <w:bookmarkEnd w:id="73"/>
          </w:p>
        </w:tc>
      </w:tr>
      <w:bookmarkEnd w:id="57"/>
      <w:bookmarkEnd w:id="69"/>
      <w:bookmarkEnd w:id="72"/>
    </w:tbl>
    <w:p w14:paraId="71727B3D">
      <w:pPr>
        <w:pStyle w:val="5"/>
      </w:pPr>
      <w:bookmarkStart w:id="74" w:name="subsec:quality"/>
      <w:r>
        <w:rPr>
          <w:rFonts w:hint="eastAsia"/>
        </w:rPr>
        <w:t>策略代码质量评估</w:t>
      </w:r>
    </w:p>
    <w:p w14:paraId="00DC058F">
      <w:pPr>
        <w:pStyle w:val="23"/>
      </w:pPr>
      <w:r>
        <w:rPr>
          <w:rFonts w:hint="eastAsia"/>
        </w:rPr>
        <w:t>策略代码质量评估具有两方面作用：其一，在候选策略集合中识别质量差异并筛选最优策略；其二，作为评估基准，用于比较不同大语言模型和智能体工作流的生成质量。大语言模型在绝对评分任务中难以形成跨样本一致的内部尺度函数，易受文本长度、表达风格与候选顺序等非语义因素影响，产生系统性偏置</w:t>
      </w:r>
      <w:r>
        <w:t> (Wu et al. 2025; Wang et al. 2023; Hwang et al. 2025)</w:t>
      </w:r>
      <w:r>
        <w:rPr>
          <w:rFonts w:hint="eastAsia"/>
        </w:rPr>
        <w:t>；排序任务将评价约化为局部比较，有利于降低尺度漂移与偏置累积，结果与人类评审的一致性通常更高</w:t>
      </w:r>
      <w:r>
        <w:t> (Velez et al. 2025; Liu et al. 2023; Wang et al. 2025)。</w:t>
      </w:r>
    </w:p>
    <w:p w14:paraId="2343BC45">
      <w:pPr>
        <w:pStyle w:val="3"/>
      </w:pPr>
      <w:r>
        <w:rPr>
          <w:rFonts w:hint="eastAsia"/>
        </w:rPr>
        <w:t>基于排名的多源模型三维质量评价方法如图</w:t>
      </w:r>
      <w:r>
        <w:fldChar w:fldCharType="begin"/>
      </w:r>
      <w:r>
        <w:instrText xml:space="preserve"> HYPERLINK \l "fig:quality-eval" \h </w:instrText>
      </w:r>
      <w:r>
        <w:fldChar w:fldCharType="separate"/>
      </w:r>
      <w:r>
        <w:rPr>
          <w:rStyle w:val="20"/>
        </w:rPr>
        <w:t>3.10</w:t>
      </w:r>
      <w:r>
        <w:rPr>
          <w:rStyle w:val="20"/>
        </w:rPr>
        <w:fldChar w:fldCharType="end"/>
      </w:r>
      <w:r>
        <w:rPr>
          <w:rFonts w:hint="eastAsia"/>
        </w:rPr>
        <w:t>所示。该方法基于大模型作为评审员，通过对候选安全策略的排序获得不同安全策略的三维质量向量(定义</w:t>
      </w:r>
      <w:r>
        <w:fldChar w:fldCharType="begin"/>
      </w:r>
      <w:r>
        <w:instrText xml:space="preserve"> HYPERLINK \l "def:quality-vector" \h </w:instrText>
      </w:r>
      <w:r>
        <w:fldChar w:fldCharType="separate"/>
      </w:r>
      <w:r>
        <w:rPr>
          <w:rStyle w:val="20"/>
        </w:rPr>
        <w:t>[def:quality-vector]</w:t>
      </w:r>
      <w:r>
        <w:rPr>
          <w:rStyle w:val="20"/>
        </w:rPr>
        <w:fldChar w:fldCharType="end"/>
      </w:r>
      <w:r>
        <w:rPr>
          <w:rFonts w:hint="eastAsia"/>
        </w:rPr>
        <w:t>)。安全策略代码质量三个维度如下：</w:t>
      </w:r>
    </w:p>
    <w:p w14:paraId="081C8EB3">
      <w:pPr>
        <w:numPr>
          <w:ilvl w:val="0"/>
          <w:numId w:val="6"/>
        </w:numPr>
      </w:pPr>
      <w:r>
        <w:rPr>
          <w:rFonts w:hint="eastAsia"/>
          <w:b/>
          <w:bCs/>
        </w:rPr>
        <w:t>有效性</w:t>
      </w:r>
      <w:r>
        <w:rPr>
          <w:rFonts w:hint="eastAsia"/>
        </w:rPr>
        <w:t>：安全策略应能准确检测并有效防御与漏洞相关的权限提升攻击；</w:t>
      </w:r>
    </w:p>
    <w:p w14:paraId="3480F8A0">
      <w:pPr>
        <w:numPr>
          <w:ilvl w:val="0"/>
          <w:numId w:val="6"/>
        </w:numPr>
      </w:pPr>
      <w:r>
        <w:rPr>
          <w:rFonts w:hint="eastAsia"/>
          <w:b/>
          <w:bCs/>
        </w:rPr>
        <w:t>无干扰性</w:t>
      </w:r>
      <w:r>
        <w:rPr>
          <w:rFonts w:hint="eastAsia"/>
        </w:rPr>
        <w:t>：策略在运行时可能过度限制功能权限，故应最大限度降低对</w:t>
      </w:r>
      <w:r>
        <w:t xml:space="preserve"> K8s </w:t>
      </w:r>
      <w:r>
        <w:rPr>
          <w:rFonts w:hint="eastAsia"/>
        </w:rPr>
        <w:t>集群其他业务正常运行的干扰；</w:t>
      </w:r>
    </w:p>
    <w:p w14:paraId="4CD1F6C4">
      <w:pPr>
        <w:numPr>
          <w:ilvl w:val="0"/>
          <w:numId w:val="6"/>
        </w:numPr>
      </w:pPr>
      <w:r>
        <w:rPr>
          <w:rFonts w:hint="eastAsia"/>
          <w:b/>
          <w:bCs/>
        </w:rPr>
        <w:t>可部署性</w:t>
      </w:r>
      <w:r>
        <w:rPr>
          <w:rFonts w:hint="eastAsia"/>
        </w:rPr>
        <w:t>：策略代码应能够快速部署至K8s</w:t>
      </w:r>
      <w:r>
        <w:t xml:space="preserve"> </w:t>
      </w:r>
      <w:r>
        <w:rPr>
          <w:rFonts w:hint="eastAsia"/>
        </w:rPr>
        <w:t>集群，其中的策略条目</w:t>
      </w:r>
      <m:oMath>
        <m:r>
          <m:rPr/>
          <m:t>e</m:t>
        </m:r>
      </m:oMath>
      <w:r>
        <w:rPr>
          <w:rFonts w:hint="eastAsia"/>
        </w:rPr>
        <w:t>应在保持精简和可行性的前提下确保有效性。</w:t>
      </w:r>
    </w:p>
    <w:p w14:paraId="746087C4">
      <w:pPr>
        <w:pStyle w:val="23"/>
      </w:pPr>
      <w:r>
        <w:rPr>
          <w:rFonts w:hint="eastAsia"/>
          <w:b/>
          <w:bCs/>
        </w:rPr>
        <w:t>定义</w:t>
      </w:r>
      <w:r>
        <w:rPr>
          <w:b/>
          <w:bCs/>
        </w:rPr>
        <w:t xml:space="preserve"> </w:t>
      </w:r>
      <w:r>
        <w:rPr>
          <w:rFonts w:hint="eastAsia"/>
          <w:b/>
          <w:bCs/>
        </w:rPr>
        <w:t>(三维质量向量)：</w:t>
      </w:r>
      <w:r>
        <w:t xml:space="preserve"> </w:t>
      </w:r>
      <w:bookmarkStart w:id="75" w:name="def:quality-vector"/>
      <w:bookmarkEnd w:id="75"/>
      <w:r>
        <w:t xml:space="preserve"> </w:t>
      </w:r>
      <w:r>
        <w:rPr>
          <w:rFonts w:hint="eastAsia"/>
        </w:rPr>
        <w:t>一个安全策略的质量向量量化为一个三维0至1之间的数值向量，数值越高表明质量越好：</w:t>
      </w:r>
    </w:p>
    <w:p w14:paraId="5B2A2F9B">
      <w:pPr>
        <w:pStyle w:val="3"/>
      </w:pPr>
      <m:oMathPara>
        <m:oMathParaPr>
          <m:jc m:val="center"/>
        </m:oMathParaPr>
        <m:oMath>
          <m:r>
            <m:rPr/>
            <m:t>q</m:t>
          </m:r>
          <m:r>
            <m:rPr>
              <m:sty m:val="p"/>
            </m:rPr>
            <m:t>(</m:t>
          </m:r>
          <m:r>
            <m:rPr/>
            <m:t>π</m:t>
          </m:r>
          <m:r>
            <m:rPr>
              <m:sty m:val="p"/>
            </m:rPr>
            <m:t>)=</m:t>
          </m:r>
          <m:d>
            <m:dPr>
              <m:sepChr m:val=""/>
            </m:dPr>
            <m:e>
              <m:r>
                <m:rPr/>
                <m:t>E</m:t>
              </m:r>
              <m:r>
                <m:rPr>
                  <m:sty m:val="p"/>
                </m:rPr>
                <m:t>(</m:t>
              </m:r>
              <m:r>
                <m:rPr/>
                <m:t>π</m:t>
              </m:r>
              <m:r>
                <m:rPr>
                  <m:sty m:val="p"/>
                </m:rPr>
                <m:t>),</m:t>
              </m:r>
              <m:r>
                <m:rPr/>
                <m:t> I</m:t>
              </m:r>
              <m:r>
                <m:rPr>
                  <m:sty m:val="p"/>
                </m:rPr>
                <m:t>(</m:t>
              </m:r>
              <m:r>
                <m:rPr/>
                <m:t>π</m:t>
              </m:r>
              <m:r>
                <m:rPr>
                  <m:sty m:val="p"/>
                </m:rPr>
                <m:t>),</m:t>
              </m:r>
              <m:r>
                <m:rPr/>
                <m:t> D</m:t>
              </m:r>
              <m:r>
                <m:rPr>
                  <m:sty m:val="p"/>
                </m:rPr>
                <m:t>(</m:t>
              </m:r>
              <m:r>
                <m:rPr/>
                <m:t>π</m:t>
              </m:r>
              <m:r>
                <m:rPr>
                  <m:sty m:val="p"/>
                </m:rPr>
                <m:t>)</m:t>
              </m:r>
            </m:e>
          </m:d>
        </m:oMath>
      </m:oMathPara>
    </w:p>
    <w:tbl>
      <w:tblPr>
        <w:tblStyle w:val="18"/>
        <w:tblW w:w="0" w:type="auto"/>
        <w:jc w:val="center"/>
        <w:tblLayout w:type="autofit"/>
        <w:tblCellMar>
          <w:top w:w="0" w:type="dxa"/>
          <w:left w:w="10" w:type="dxa"/>
          <w:bottom w:w="0" w:type="dxa"/>
          <w:right w:w="10" w:type="dxa"/>
        </w:tblCellMar>
      </w:tblPr>
      <w:tblGrid>
        <w:gridCol w:w="8420"/>
      </w:tblGrid>
      <w:tr w14:paraId="00DB4B7D">
        <w:tblPrEx>
          <w:tblCellMar>
            <w:top w:w="0" w:type="dxa"/>
            <w:left w:w="10" w:type="dxa"/>
            <w:bottom w:w="0" w:type="dxa"/>
            <w:right w:w="10" w:type="dxa"/>
          </w:tblCellMar>
        </w:tblPrEx>
        <w:trPr>
          <w:jc w:val="center"/>
        </w:trPr>
        <w:tc>
          <w:p w14:paraId="6B9AEAE2">
            <w:pPr>
              <w:jc w:val="center"/>
            </w:pPr>
            <w:bookmarkStart w:id="76" w:name="fig:quality-eval"/>
            <w:r>
              <w:drawing>
                <wp:inline distT="0" distB="0" distL="114300" distR="114300">
                  <wp:extent cx="5334000" cy="1553845"/>
                  <wp:effectExtent l="0" t="0" r="0" b="0"/>
                  <wp:docPr id="11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image"/>
                          <pic:cNvPicPr>
                            <a:picLocks noChangeAspect="1" noChangeArrowheads="1"/>
                          </pic:cNvPicPr>
                        </pic:nvPicPr>
                        <pic:blipFill>
                          <a:blip r:embed="rId14"/>
                          <a:stretch>
                            <a:fillRect/>
                          </a:stretch>
                        </pic:blipFill>
                        <pic:spPr>
                          <a:xfrm>
                            <a:off x="0" y="0"/>
                            <a:ext cx="5334000" cy="1554032"/>
                          </a:xfrm>
                          <a:prstGeom prst="rect">
                            <a:avLst/>
                          </a:prstGeom>
                          <a:noFill/>
                          <a:ln w="9525">
                            <a:noFill/>
                          </a:ln>
                        </pic:spPr>
                      </pic:pic>
                    </a:graphicData>
                  </a:graphic>
                </wp:inline>
              </w:drawing>
            </w:r>
            <w:r>
              <w:t xml:space="preserve"> </w:t>
            </w:r>
            <w:bookmarkStart w:id="77" w:name="fig:quality-eval"/>
            <w:bookmarkEnd w:id="77"/>
          </w:p>
        </w:tc>
      </w:tr>
      <w:bookmarkEnd w:id="76"/>
    </w:tbl>
    <w:p w14:paraId="5603E8B6">
      <w:pPr>
        <w:pStyle w:val="3"/>
      </w:pPr>
      <w:r>
        <w:rPr>
          <w:rFonts w:hint="eastAsia"/>
        </w:rPr>
        <w:t>针对漏洞</w:t>
      </w:r>
      <w:r>
        <w:t xml:space="preserve"> </w:t>
      </w:r>
      <m:oMath>
        <m:r>
          <m:rPr/>
          <m:t>v</m:t>
        </m:r>
      </m:oMath>
      <w:r>
        <w:t xml:space="preserve"> </w:t>
      </w:r>
      <w:r>
        <w:rPr>
          <w:rFonts w:hint="eastAsia"/>
        </w:rPr>
        <w:t>的候选安全策略集合</w:t>
      </w:r>
      <w:r>
        <w:t xml:space="preserve"> </w:t>
      </w:r>
      <m:oMath>
        <m:sSub>
          <m:sSubPr/>
          <m:e>
            <m:r>
              <m:rPr>
                <m:sty m:val="p"/>
              </m:rPr>
              <m:t>Π</m:t>
            </m:r>
          </m:e>
          <m:sub>
            <m:r>
              <m:rPr/>
              <m:t>v</m:t>
            </m:r>
          </m:sub>
        </m:sSub>
      </m:oMath>
      <w:r>
        <w:rPr>
          <w:rFonts w:hint="eastAsia"/>
        </w:rPr>
        <w:t>，研究先对其中各策略进行匿名化与随机化处理，再将其输入一个或多个大语言模型，由评审模型分别在有效性、无干扰性和可部署性三个维度上给出严格全序。质量评估智能体的提示词简化示例见图</w:t>
      </w:r>
      <w:r>
        <w:t> </w:t>
      </w:r>
      <w:r>
        <w:fldChar w:fldCharType="begin"/>
      </w:r>
      <w:r>
        <w:instrText xml:space="preserve"> HYPERLINK \l "fig:prompt-quality-eval" \h </w:instrText>
      </w:r>
      <w:r>
        <w:fldChar w:fldCharType="separate"/>
      </w:r>
      <w:r>
        <w:rPr>
          <w:rStyle w:val="20"/>
        </w:rPr>
        <w:t>3.11</w:t>
      </w:r>
      <w:r>
        <w:rPr>
          <w:rStyle w:val="20"/>
        </w:rPr>
        <w:fldChar w:fldCharType="end"/>
      </w:r>
      <w:r>
        <w:rPr>
          <w:rFonts w:hint="eastAsia"/>
        </w:rPr>
        <w:t>。在获得各模型的维度排序后，可先将单个评审主体给出的秩次映射为</w:t>
      </w:r>
      <w:r>
        <w:t xml:space="preserve"> </w:t>
      </w:r>
      <m:oMath>
        <m:r>
          <m:rPr>
            <m:sty m:val="p"/>
          </m:rPr>
          <m:t>[</m:t>
        </m:r>
        <m:r>
          <m:rPr/>
          <m:t>0</m:t>
        </m:r>
        <m:r>
          <m:rPr>
            <m:sty m:val="p"/>
          </m:rPr>
          <m:t>,</m:t>
        </m:r>
        <m:r>
          <m:rPr/>
          <m:t>1</m:t>
        </m:r>
        <m:r>
          <m:rPr>
            <m:sty m:val="p"/>
          </m:rPr>
          <m:t>]</m:t>
        </m:r>
      </m:oMath>
      <w:r>
        <w:t xml:space="preserve"> </w:t>
      </w:r>
      <w:r>
        <w:rPr>
          <w:rFonts w:hint="eastAsia"/>
        </w:rPr>
        <w:t>区间上的维度得分，再对所有评审主体取均值，得到策略在三个维度上的共识得分，并据此构成安全策略的三维质量向量</w:t>
      </w:r>
      <w:r>
        <w:t xml:space="preserve"> </w:t>
      </w:r>
      <m:oMath>
        <m:r>
          <m:rPr/>
          <m:t>q</m:t>
        </m:r>
        <m:r>
          <m:rPr>
            <m:sty m:val="p"/>
          </m:rPr>
          <m:t>(</m:t>
        </m:r>
        <m:r>
          <m:rPr/>
          <m:t>π</m:t>
        </m:r>
        <m:r>
          <m:rPr>
            <m:sty m:val="p"/>
          </m:rPr>
          <m:t>)</m:t>
        </m:r>
      </m:oMath>
      <w:r>
        <w:rPr>
          <w:rFonts w:hint="eastAsia"/>
        </w:rPr>
        <w:t>。若需要进一步从候选集合中选出单个总体最优策略，则可在三维共识得分的基础上按权重聚合为总体质量函数</w:t>
      </w:r>
      <w:r>
        <w:t xml:space="preserve"> </w:t>
      </w:r>
      <m:oMath>
        <m:r>
          <m:rPr/>
          <m:t>Q</m:t>
        </m:r>
        <m:r>
          <m:rPr>
            <m:sty m:val="p"/>
          </m:rPr>
          <m:t>(</m:t>
        </m:r>
        <m:r>
          <m:rPr/>
          <m:t>π</m:t>
        </m:r>
        <m:r>
          <m:rPr>
            <m:sty m:val="p"/>
          </m:rPr>
          <m:t>)</m:t>
        </m:r>
      </m:oMath>
      <w:r>
        <w:rPr>
          <w:rFonts w:hint="eastAsia"/>
        </w:rPr>
        <w:t>，从而同时支持分维比较与总排序。</w:t>
      </w:r>
    </w:p>
    <w:tbl>
      <w:tblPr>
        <w:tblStyle w:val="18"/>
        <w:tblW w:w="0" w:type="auto"/>
        <w:jc w:val="center"/>
        <w:tblLayout w:type="autofit"/>
        <w:tblCellMar>
          <w:top w:w="0" w:type="dxa"/>
          <w:left w:w="10" w:type="dxa"/>
          <w:bottom w:w="0" w:type="dxa"/>
          <w:right w:w="10" w:type="dxa"/>
        </w:tblCellMar>
      </w:tblPr>
      <w:tblGrid>
        <w:gridCol w:w="5850"/>
        <w:gridCol w:w="26"/>
      </w:tblGrid>
      <w:tr w14:paraId="1695F8FE">
        <w:tblPrEx>
          <w:tblCellMar>
            <w:top w:w="0" w:type="dxa"/>
            <w:left w:w="10" w:type="dxa"/>
            <w:bottom w:w="0" w:type="dxa"/>
            <w:right w:w="10" w:type="dxa"/>
          </w:tblCellMar>
        </w:tblPrEx>
        <w:trPr>
          <w:jc w:val="center"/>
        </w:trPr>
        <w:tc>
          <w:p w14:paraId="53A119E8">
            <w:pPr>
              <w:pStyle w:val="49"/>
              <w:jc w:val="center"/>
            </w:pPr>
            <w:bookmarkStart w:id="78" w:name="fig:prompt-quality-eval"/>
            <w:r>
              <w:rPr>
                <w:rStyle w:val="48"/>
                <w:rFonts w:hint="eastAsia"/>
              </w:rPr>
              <w:t>你是云原生安全策略质量评估助手。</w:t>
            </w:r>
            <w:r>
              <w:br w:type="textWrapping"/>
            </w:r>
            <w:r>
              <w:rPr>
                <w:rStyle w:val="48"/>
              </w:rPr>
              <w:t xml:space="preserve">## </w:t>
            </w:r>
            <w:r>
              <w:rPr>
                <w:rStyle w:val="48"/>
                <w:rFonts w:hint="eastAsia"/>
              </w:rPr>
              <w:t>输入</w:t>
            </w:r>
            <w:r>
              <w:br w:type="textWrapping"/>
            </w:r>
            <w:r>
              <w:rPr>
                <w:rStyle w:val="48"/>
                <w:rFonts w:hint="eastAsia"/>
              </w:rPr>
              <w:t>漏洞实例</w:t>
            </w:r>
            <w:r>
              <w:rPr>
                <w:rStyle w:val="48"/>
              </w:rPr>
              <w:t xml:space="preserve"> v </w:t>
            </w:r>
            <w:r>
              <w:rPr>
                <w:rStyle w:val="48"/>
                <w:rFonts w:hint="eastAsia"/>
              </w:rPr>
              <w:t>与匿名化、随机排列的候选安全策略集合</w:t>
            </w:r>
            <w:r>
              <w:br w:type="textWrapping"/>
            </w:r>
            <w:r>
              <w:rPr>
                <w:rStyle w:val="48"/>
                <w:rFonts w:hint="eastAsia"/>
              </w:rPr>
              <w:t>&lt;&lt;有效性</w:t>
            </w:r>
            <w:r>
              <w:rPr>
                <w:rStyle w:val="48"/>
              </w:rPr>
              <w:t xml:space="preserve"> \\ </w:t>
            </w:r>
            <w:r>
              <w:rPr>
                <w:rStyle w:val="48"/>
                <w:rFonts w:hint="eastAsia"/>
              </w:rPr>
              <w:t>无干扰性</w:t>
            </w:r>
            <w:r>
              <w:rPr>
                <w:rStyle w:val="48"/>
              </w:rPr>
              <w:t xml:space="preserve"> \\ </w:t>
            </w:r>
            <w:r>
              <w:rPr>
                <w:rStyle w:val="48"/>
                <w:rFonts w:hint="eastAsia"/>
              </w:rPr>
              <w:t>可部署性的具体含义&gt;&gt;</w:t>
            </w:r>
            <w:r>
              <w:br w:type="textWrapping"/>
            </w:r>
            <w:r>
              <w:rPr>
                <w:rStyle w:val="48"/>
              </w:rPr>
              <w:t xml:space="preserve">## </w:t>
            </w:r>
            <w:r>
              <w:rPr>
                <w:rStyle w:val="48"/>
                <w:rFonts w:hint="eastAsia"/>
              </w:rPr>
              <w:t>任务</w:t>
            </w:r>
            <w:r>
              <w:br w:type="textWrapping"/>
            </w:r>
            <w:r>
              <w:rPr>
                <w:rStyle w:val="48"/>
                <w:rFonts w:hint="eastAsia"/>
              </w:rPr>
              <w:t>在三个维度上对输入所有候选策略独立给出严格全序：</w:t>
            </w:r>
            <w:r>
              <w:br w:type="textWrapping"/>
            </w:r>
            <w:r>
              <w:rPr>
                <w:rStyle w:val="48"/>
                <w:rFonts w:hint="eastAsia"/>
              </w:rPr>
              <w:t>评审时仅依据策略内容，不受策略编号或输入顺序影响；</w:t>
            </w:r>
            <w:r>
              <w:br w:type="textWrapping"/>
            </w:r>
            <w:r>
              <w:br w:type="textWrapping"/>
            </w:r>
            <w:r>
              <w:rPr>
                <w:rStyle w:val="48"/>
              </w:rPr>
              <w:t xml:space="preserve">## </w:t>
            </w:r>
            <w:r>
              <w:rPr>
                <w:rStyle w:val="48"/>
                <w:rFonts w:hint="eastAsia"/>
              </w:rPr>
              <w:t>输出</w:t>
            </w:r>
            <w:r>
              <w:br w:type="textWrapping"/>
            </w:r>
            <w:r>
              <w:rPr>
                <w:rStyle w:val="48"/>
                <w:rFonts w:hint="eastAsia"/>
              </w:rPr>
              <w:t>&lt;&lt;排序结果</w:t>
            </w:r>
            <w:r>
              <w:rPr>
                <w:rStyle w:val="48"/>
              </w:rPr>
              <w:t xml:space="preserve"> JSON </w:t>
            </w:r>
            <w:r>
              <w:rPr>
                <w:rStyle w:val="48"/>
                <w:rFonts w:hint="eastAsia"/>
              </w:rPr>
              <w:t>格式&gt;&gt;：分别给出三个维度的严格全序，</w:t>
            </w:r>
          </w:p>
        </w:tc>
        <w:tc>
          <w:p w14:paraId="4B233443">
            <w:pPr>
              <w:jc w:val="center"/>
            </w:pPr>
            <w:bookmarkStart w:id="79" w:name="fig:prompt-quality-eval"/>
            <w:bookmarkEnd w:id="79"/>
          </w:p>
        </w:tc>
      </w:tr>
      <w:bookmarkEnd w:id="78"/>
    </w:tbl>
    <w:p w14:paraId="44FE06CF">
      <w:pPr>
        <w:pStyle w:val="3"/>
      </w:pPr>
      <w:r>
        <w:rPr>
          <w:rFonts w:hint="eastAsia"/>
          <w:b/>
          <w:bCs/>
        </w:rPr>
        <w:t>定义</w:t>
      </w:r>
      <w:r>
        <w:rPr>
          <w:b/>
          <w:bCs/>
        </w:rPr>
        <w:t xml:space="preserve"> </w:t>
      </w:r>
      <w:r>
        <w:rPr>
          <w:rFonts w:hint="eastAsia"/>
          <w:b/>
          <w:bCs/>
        </w:rPr>
        <w:t>(单维归一化秩得分函数)：</w:t>
      </w:r>
      <w:r>
        <w:t xml:space="preserve"> </w:t>
      </w:r>
      <w:bookmarkStart w:id="80" w:name="def:ranking"/>
      <w:bookmarkEnd w:id="80"/>
      <w:r>
        <w:t xml:space="preserve"> </w:t>
      </w:r>
      <w:r>
        <w:rPr>
          <w:rFonts w:hint="eastAsia"/>
        </w:rPr>
        <w:t>设</w:t>
      </w:r>
      <w:r>
        <w:t xml:space="preserve"> </w:t>
      </w:r>
      <m:oMath>
        <m:r>
          <m:rPr>
            <m:sty m:val="p"/>
            <m:scr m:val="script"/>
          </m:rPr>
          <m:t>ℋ</m:t>
        </m:r>
      </m:oMath>
      <w:r>
        <w:t xml:space="preserve"> </w:t>
      </w:r>
      <w:r>
        <w:rPr>
          <w:rFonts w:hint="eastAsia"/>
        </w:rPr>
        <w:t>为评审主体集合，</w:t>
      </w:r>
      <m:oMath>
        <m:r>
          <m:rPr/>
          <m:t>h</m:t>
        </m:r>
        <m:r>
          <m:rPr>
            <m:sty m:val="p"/>
          </m:rPr>
          <m:t>∈</m:t>
        </m:r>
        <m:r>
          <m:rPr>
            <m:sty m:val="p"/>
            <m:scr m:val="script"/>
          </m:rPr>
          <m:t>ℋ</m:t>
        </m:r>
      </m:oMath>
      <w:r>
        <w:t xml:space="preserve"> </w:t>
      </w:r>
      <w:r>
        <w:rPr>
          <w:rFonts w:hint="eastAsia"/>
        </w:rPr>
        <w:t>为参与独立评审的大语言模型配置。在维度</w:t>
      </w:r>
      <w:r>
        <w:t xml:space="preserve"> </w:t>
      </w:r>
      <m:oMath>
        <m:r>
          <m:rPr/>
          <m:t>δ</m:t>
        </m:r>
        <m:r>
          <m:rPr>
            <m:sty m:val="p"/>
          </m:rPr>
          <m:t>∈{</m:t>
        </m:r>
        <m:r>
          <m:rPr/>
          <m:t>E</m:t>
        </m:r>
        <m:r>
          <m:rPr>
            <m:sty m:val="p"/>
          </m:rPr>
          <m:t>,</m:t>
        </m:r>
        <m:r>
          <m:rPr/>
          <m:t>I</m:t>
        </m:r>
        <m:r>
          <m:rPr>
            <m:sty m:val="p"/>
          </m:rPr>
          <m:t>,</m:t>
        </m:r>
        <m:r>
          <m:rPr/>
          <m:t>D</m:t>
        </m:r>
        <m:r>
          <m:rPr>
            <m:sty m:val="p"/>
          </m:rPr>
          <m:t>}</m:t>
        </m:r>
      </m:oMath>
      <w:r>
        <w:t xml:space="preserve"> </w:t>
      </w:r>
      <w:r>
        <w:rPr>
          <w:rFonts w:hint="eastAsia"/>
        </w:rPr>
        <w:t>上，评审主体</w:t>
      </w:r>
      <w:r>
        <w:t xml:space="preserve"> </w:t>
      </w:r>
      <m:oMath>
        <m:r>
          <m:rPr/>
          <m:t>h</m:t>
        </m:r>
      </m:oMath>
      <w:r>
        <w:t xml:space="preserve"> </w:t>
      </w:r>
      <w:r>
        <w:rPr>
          <w:rFonts w:hint="eastAsia"/>
        </w:rPr>
        <w:t>对候选集</w:t>
      </w:r>
      <w:r>
        <w:t xml:space="preserve"> </w:t>
      </w:r>
      <m:oMath>
        <m:sSub>
          <m:sSubPr/>
          <m:e>
            <m:r>
              <m:rPr>
                <m:sty m:val="p"/>
              </m:rPr>
              <m:t>Π</m:t>
            </m:r>
          </m:e>
          <m:sub>
            <m:r>
              <m:rPr/>
              <m:t>v</m:t>
            </m:r>
          </m:sub>
        </m:sSub>
      </m:oMath>
      <w:r>
        <w:t xml:space="preserve"> </w:t>
      </w:r>
      <w:r>
        <w:rPr>
          <w:rFonts w:hint="eastAsia"/>
        </w:rPr>
        <w:t>给出严格全序，记</w:t>
      </w:r>
      <w:r>
        <w:t xml:space="preserve"> </w:t>
      </w:r>
      <m:oMath>
        <m:sSubSup>
          <m:sSubSupPr/>
          <m:e>
            <m:r>
              <m:rPr/>
              <m:t>r</m:t>
            </m:r>
          </m:e>
          <m:sub>
            <m:r>
              <m:rPr/>
              <m:t>δ</m:t>
            </m:r>
          </m:sub>
          <m:sup>
            <m:r>
              <m:rPr>
                <m:sty m:val="p"/>
              </m:rPr>
              <m:t>(</m:t>
            </m:r>
            <m:r>
              <m:rPr/>
              <m:t>h</m:t>
            </m:r>
            <m:r>
              <m:rPr>
                <m:sty m:val="p"/>
              </m:rPr>
              <m:t>)</m:t>
            </m:r>
          </m:sup>
        </m:sSubSup>
        <m:r>
          <m:rPr>
            <m:sty m:val="p"/>
          </m:rPr>
          <m:t>(</m:t>
        </m:r>
        <m:r>
          <m:rPr/>
          <m:t>π</m:t>
        </m:r>
        <m:r>
          <m:rPr>
            <m:sty m:val="p"/>
          </m:rPr>
          <m:t>)</m:t>
        </m:r>
      </m:oMath>
      <w:r>
        <w:t xml:space="preserve"> </w:t>
      </w:r>
      <w:r>
        <w:rPr>
          <w:rFonts w:hint="eastAsia"/>
        </w:rPr>
        <w:t>为</w:t>
      </w:r>
      <w:r>
        <w:t xml:space="preserve"> </w:t>
      </w:r>
      <m:oMath>
        <m:r>
          <m:rPr/>
          <m:t>π</m:t>
        </m:r>
      </m:oMath>
      <w:r>
        <w:t xml:space="preserve"> </w:t>
      </w:r>
      <w:r>
        <w:rPr>
          <w:rFonts w:hint="eastAsia"/>
        </w:rPr>
        <w:t>在该排序中的秩(最优获秩</w:t>
      </w:r>
      <w:r>
        <w:t xml:space="preserve"> </w:t>
      </w:r>
      <m:oMath>
        <m:r>
          <m:rPr/>
          <m:t>1</m:t>
        </m:r>
      </m:oMath>
      <w:r>
        <w:rPr>
          <w:rFonts w:hint="eastAsia"/>
        </w:rPr>
        <w:t>，最劣获秩</w:t>
      </w:r>
      <w:r>
        <w:t xml:space="preserve"> </w:t>
      </w:r>
      <m:oMath>
        <m:sSub>
          <m:sSubPr/>
          <m:e>
            <m:r>
              <m:rPr/>
              <m:t>n</m:t>
            </m:r>
          </m:e>
          <m:sub>
            <m:r>
              <m:rPr/>
              <m:t>v</m:t>
            </m:r>
          </m:sub>
        </m:sSub>
        <m:r>
          <m:rPr>
            <m:sty m:val="p"/>
          </m:rPr>
          <m:t>=|</m:t>
        </m:r>
        <m:sSub>
          <m:sSubPr/>
          <m:e>
            <m:r>
              <m:rPr>
                <m:sty m:val="p"/>
              </m:rPr>
              <m:t>Π</m:t>
            </m:r>
          </m:e>
          <m:sub>
            <m:r>
              <m:rPr/>
              <m:t>v</m:t>
            </m:r>
          </m:sub>
        </m:sSub>
        <m:r>
          <m:rPr>
            <m:sty m:val="p"/>
          </m:rPr>
          <m:t>|</m:t>
        </m:r>
      </m:oMath>
      <w:r>
        <w:rPr>
          <w:rFonts w:hint="eastAsia"/>
        </w:rPr>
        <w:t>)，则该安全策略在评价维度</w:t>
      </w:r>
      <w:r>
        <w:t xml:space="preserve"> </w:t>
      </w:r>
      <m:oMath>
        <m:r>
          <m:rPr/>
          <m:t>δ</m:t>
        </m:r>
      </m:oMath>
      <w:r>
        <w:t xml:space="preserve"> </w:t>
      </w:r>
      <w:r>
        <w:rPr>
          <w:rFonts w:hint="eastAsia"/>
        </w:rPr>
        <w:t>上的质量向量值为：</w:t>
      </w:r>
    </w:p>
    <w:p w14:paraId="2252513D">
      <w:pPr>
        <w:pStyle w:val="3"/>
      </w:pPr>
      <m:oMathPara>
        <m:oMathParaPr>
          <m:jc m:val="center"/>
        </m:oMathParaPr>
        <m:oMath>
          <m:sSubSup>
            <m:sSubSupPr/>
            <m:e>
              <m:r>
                <m:rPr/>
                <m:t>s</m:t>
              </m:r>
            </m:e>
            <m:sub>
              <m:r>
                <m:rPr/>
                <m:t>δ</m:t>
              </m:r>
            </m:sub>
            <m:sup>
              <m:r>
                <m:rPr>
                  <m:sty m:val="p"/>
                </m:rPr>
                <m:t>(</m:t>
              </m:r>
              <m:r>
                <m:rPr/>
                <m:t>h</m:t>
              </m:r>
              <m:r>
                <m:rPr>
                  <m:sty m:val="p"/>
                </m:rPr>
                <m:t>)</m:t>
              </m:r>
            </m:sup>
          </m:sSubSup>
          <m:r>
            <m:rPr>
              <m:sty m:val="p"/>
            </m:rPr>
            <m:t>(</m:t>
          </m:r>
          <m:r>
            <m:rPr/>
            <m:t>π</m:t>
          </m:r>
          <m:r>
            <m:rPr>
              <m:sty m:val="p"/>
            </m:rPr>
            <m:t>)=</m:t>
          </m:r>
          <m:f>
            <m:fPr/>
            <m:num>
              <m:sSub>
                <m:sSubPr/>
                <m:e>
                  <m:r>
                    <m:rPr/>
                    <m:t>n</m:t>
                  </m:r>
                </m:e>
                <m:sub>
                  <m:r>
                    <m:rPr/>
                    <m:t>v</m:t>
                  </m:r>
                </m:sub>
              </m:sSub>
              <m:r>
                <m:rPr>
                  <m:sty m:val="p"/>
                </m:rPr>
                <m:t>−</m:t>
              </m:r>
              <m:sSubSup>
                <m:sSubSupPr/>
                <m:e>
                  <m:r>
                    <m:rPr/>
                    <m:t>r</m:t>
                  </m:r>
                </m:e>
                <m:sub>
                  <m:r>
                    <m:rPr/>
                    <m:t>δ</m:t>
                  </m:r>
                </m:sub>
                <m:sup>
                  <m:r>
                    <m:rPr>
                      <m:sty m:val="p"/>
                    </m:rPr>
                    <m:t>(</m:t>
                  </m:r>
                  <m:r>
                    <m:rPr/>
                    <m:t>h</m:t>
                  </m:r>
                  <m:r>
                    <m:rPr>
                      <m:sty m:val="p"/>
                    </m:rPr>
                    <m:t>)</m:t>
                  </m:r>
                </m:sup>
              </m:sSubSup>
              <m:r>
                <m:rPr>
                  <m:sty m:val="p"/>
                </m:rPr>
                <m:t>(</m:t>
              </m:r>
              <m:r>
                <m:rPr/>
                <m:t>π</m:t>
              </m:r>
              <m:r>
                <m:rPr>
                  <m:sty m:val="p"/>
                </m:rPr>
                <m:t>)</m:t>
              </m:r>
            </m:num>
            <m:den>
              <m:sSub>
                <m:sSubPr/>
                <m:e>
                  <m:r>
                    <m:rPr/>
                    <m:t>n</m:t>
                  </m:r>
                </m:e>
                <m:sub>
                  <m:r>
                    <m:rPr/>
                    <m:t>v</m:t>
                  </m:r>
                </m:sub>
              </m:sSub>
              <m:r>
                <m:rPr>
                  <m:sty m:val="p"/>
                </m:rPr>
                <m:t>−</m:t>
              </m:r>
              <m:r>
                <m:rPr/>
                <m:t>1</m:t>
              </m:r>
            </m:den>
          </m:f>
          <m:r>
            <m:rPr>
              <m:sty m:val="p"/>
            </m:rPr>
            <m:t>∈[</m:t>
          </m:r>
          <m:r>
            <m:rPr/>
            <m:t>0</m:t>
          </m:r>
          <m:r>
            <m:rPr>
              <m:sty m:val="p"/>
            </m:rPr>
            <m:t>,</m:t>
          </m:r>
          <m:r>
            <m:rPr/>
            <m:t>1</m:t>
          </m:r>
          <m:r>
            <m:rPr>
              <m:sty m:val="p"/>
            </m:rPr>
            <m:t>]</m:t>
          </m:r>
        </m:oMath>
      </m:oMathPara>
    </w:p>
    <w:p w14:paraId="70403AD0">
      <w:pPr>
        <w:pStyle w:val="23"/>
      </w:pPr>
      <w:r>
        <w:rPr>
          <w:rFonts w:hint="eastAsia"/>
        </w:rPr>
        <w:t>当</w:t>
      </w:r>
      <w:r>
        <w:t xml:space="preserve"> </w:t>
      </w:r>
      <m:oMath>
        <m:sSub>
          <m:sSubPr/>
          <m:e>
            <m:r>
              <m:rPr/>
              <m:t>n</m:t>
            </m:r>
          </m:e>
          <m:sub>
            <m:r>
              <m:rPr/>
              <m:t>v</m:t>
            </m:r>
          </m:sub>
        </m:sSub>
        <m:r>
          <m:rPr>
            <m:sty m:val="p"/>
          </m:rPr>
          <m:t>=</m:t>
        </m:r>
        <m:r>
          <m:rPr/>
          <m:t>1</m:t>
        </m:r>
      </m:oMath>
      <w:r>
        <w:t xml:space="preserve"> </w:t>
      </w:r>
      <w:r>
        <w:rPr>
          <w:rFonts w:hint="eastAsia"/>
        </w:rPr>
        <w:t>时，该维度不存在排序比较，本文将唯一候选策略的该维度得分记为</w:t>
      </w:r>
      <w:r>
        <w:t xml:space="preserve"> 1。 </w:t>
      </w:r>
      <w:r>
        <w:rPr>
          <w:rFonts w:hint="eastAsia"/>
        </w:rPr>
        <w:t>对所有评审主体取均值，得维度</w:t>
      </w:r>
      <w:r>
        <w:t xml:space="preserve"> </w:t>
      </w:r>
      <m:oMath>
        <m:r>
          <m:rPr/>
          <m:t>δ</m:t>
        </m:r>
      </m:oMath>
      <w:r>
        <w:t xml:space="preserve"> </w:t>
      </w:r>
      <w:r>
        <w:rPr>
          <w:rFonts w:hint="eastAsia"/>
        </w:rPr>
        <w:t>的共识得分</w:t>
      </w:r>
    </w:p>
    <w:p w14:paraId="5A06D556">
      <w:pPr>
        <w:pStyle w:val="3"/>
      </w:pPr>
      <m:oMathPara>
        <m:oMathParaPr>
          <m:jc m:val="center"/>
        </m:oMathParaPr>
        <m:oMath>
          <m:sSub>
            <m:sSubPr/>
            <m:e>
              <m:acc>
                <m:accPr/>
                <m:e>
                  <m:r>
                    <m:rPr/>
                    <m:t>S</m:t>
                  </m:r>
                </m:e>
              </m:acc>
            </m:e>
            <m:sub>
              <m:r>
                <m:rPr/>
                <m:t>δ</m:t>
              </m:r>
            </m:sub>
          </m:sSub>
          <m:r>
            <m:rPr>
              <m:sty m:val="p"/>
            </m:rPr>
            <m:t>(</m:t>
          </m:r>
          <m:r>
            <m:rPr/>
            <m:t>π</m:t>
          </m:r>
          <m:r>
            <m:rPr>
              <m:sty m:val="p"/>
            </m:rPr>
            <m:t>)=</m:t>
          </m:r>
          <m:f>
            <m:fPr/>
            <m:num>
              <m:r>
                <m:rPr/>
                <m:t>1</m:t>
              </m:r>
            </m:num>
            <m:den>
              <m:r>
                <m:rPr>
                  <m:sty m:val="p"/>
                </m:rPr>
                <m:t>|</m:t>
              </m:r>
              <m:r>
                <m:rPr>
                  <m:sty m:val="p"/>
                  <m:scr m:val="script"/>
                </m:rPr>
                <m:t>ℋ</m:t>
              </m:r>
              <m:r>
                <m:rPr>
                  <m:sty m:val="p"/>
                </m:rPr>
                <m:t>|</m:t>
              </m:r>
            </m:den>
          </m:f>
          <m:nary>
            <m:naryPr>
              <m:chr m:val="∑"/>
              <m:limLoc m:val="undOvr"/>
              <m:supHide m:val="1"/>
            </m:naryPr>
            <m:sub>
              <m:r>
                <m:rPr/>
                <m:t>h</m:t>
              </m:r>
              <m:r>
                <m:rPr>
                  <m:sty m:val="p"/>
                </m:rPr>
                <m:t>∈</m:t>
              </m:r>
              <m:r>
                <m:rPr>
                  <m:sty m:val="p"/>
                  <m:scr m:val="script"/>
                </m:rPr>
                <m:t>ℋ</m:t>
              </m:r>
            </m:sub>
            <m:sup>
              <m:r>
                <m:rPr/>
                <m:t>​</m:t>
              </m:r>
            </m:sup>
            <m:e>
              <m:sSubSup>
                <m:sSubSupPr/>
                <m:e>
                  <m:r>
                    <m:rPr/>
                    <m:t>s</m:t>
                  </m:r>
                </m:e>
                <m:sub>
                  <m:r>
                    <m:rPr/>
                    <m:t>δ</m:t>
                  </m:r>
                </m:sub>
                <m:sup>
                  <m:r>
                    <m:rPr>
                      <m:sty m:val="p"/>
                    </m:rPr>
                    <m:t>(</m:t>
                  </m:r>
                  <m:r>
                    <m:rPr/>
                    <m:t>h</m:t>
                  </m:r>
                  <m:r>
                    <m:rPr>
                      <m:sty m:val="p"/>
                    </m:rPr>
                    <m:t>)</m:t>
                  </m:r>
                </m:sup>
              </m:sSubSup>
            </m:e>
          </m:nary>
          <m:r>
            <m:rPr>
              <m:sty m:val="p"/>
            </m:rPr>
            <m:t>(</m:t>
          </m:r>
          <m:r>
            <m:rPr/>
            <m:t>π</m:t>
          </m:r>
          <m:r>
            <m:rPr>
              <m:sty m:val="p"/>
            </m:rPr>
            <m:t>)</m:t>
          </m:r>
        </m:oMath>
      </m:oMathPara>
    </w:p>
    <w:p w14:paraId="1B9C5FF1">
      <w:pPr>
        <w:pStyle w:val="23"/>
      </w:pPr>
      <w:r>
        <w:rPr>
          <w:rFonts w:hint="eastAsia"/>
        </w:rPr>
        <w:t>三维质量向量各分量由对应维度的共识得分给出，即</w:t>
      </w:r>
      <w:r>
        <w:t xml:space="preserve"> </w:t>
      </w:r>
      <m:oMath>
        <m:r>
          <m:rPr/>
          <m:t>E</m:t>
        </m:r>
        <m:r>
          <m:rPr>
            <m:sty m:val="p"/>
          </m:rPr>
          <m:t>(</m:t>
        </m:r>
        <m:r>
          <m:rPr/>
          <m:t>π</m:t>
        </m:r>
        <m:r>
          <m:rPr>
            <m:sty m:val="p"/>
          </m:rPr>
          <m:t>)=</m:t>
        </m:r>
        <m:sSub>
          <m:sSubPr/>
          <m:e>
            <m:acc>
              <m:accPr/>
              <m:e>
                <m:r>
                  <m:rPr/>
                  <m:t>S</m:t>
                </m:r>
              </m:e>
            </m:acc>
          </m:e>
          <m:sub>
            <m:r>
              <m:rPr/>
              <m:t>E</m:t>
            </m:r>
          </m:sub>
        </m:sSub>
        <m:r>
          <m:rPr>
            <m:sty m:val="p"/>
          </m:rPr>
          <m:t>(</m:t>
        </m:r>
        <m:r>
          <m:rPr/>
          <m:t>π</m:t>
        </m:r>
        <m:r>
          <m:rPr>
            <m:sty m:val="p"/>
          </m:rPr>
          <m:t>)</m:t>
        </m:r>
      </m:oMath>
      <w:r>
        <w:rPr>
          <w:rFonts w:hint="eastAsia"/>
        </w:rPr>
        <w:t>，</w:t>
      </w:r>
      <m:oMath>
        <m:r>
          <m:rPr/>
          <m:t>I</m:t>
        </m:r>
        <m:r>
          <m:rPr>
            <m:sty m:val="p"/>
          </m:rPr>
          <m:t>(</m:t>
        </m:r>
        <m:r>
          <m:rPr/>
          <m:t>π</m:t>
        </m:r>
        <m:r>
          <m:rPr>
            <m:sty m:val="p"/>
          </m:rPr>
          <m:t>)=</m:t>
        </m:r>
        <m:sSub>
          <m:sSubPr/>
          <m:e>
            <m:acc>
              <m:accPr/>
              <m:e>
                <m:r>
                  <m:rPr/>
                  <m:t>S</m:t>
                </m:r>
              </m:e>
            </m:acc>
          </m:e>
          <m:sub>
            <m:r>
              <m:rPr/>
              <m:t>I</m:t>
            </m:r>
          </m:sub>
        </m:sSub>
        <m:r>
          <m:rPr>
            <m:sty m:val="p"/>
          </m:rPr>
          <m:t>(</m:t>
        </m:r>
        <m:r>
          <m:rPr/>
          <m:t>π</m:t>
        </m:r>
        <m:r>
          <m:rPr>
            <m:sty m:val="p"/>
          </m:rPr>
          <m:t>)</m:t>
        </m:r>
      </m:oMath>
      <w:r>
        <w:rPr>
          <w:rFonts w:hint="eastAsia"/>
        </w:rPr>
        <w:t>，</w:t>
      </w:r>
      <m:oMath>
        <m:r>
          <m:rPr/>
          <m:t>D</m:t>
        </m:r>
        <m:r>
          <m:rPr>
            <m:sty m:val="p"/>
          </m:rPr>
          <m:t>(</m:t>
        </m:r>
        <m:r>
          <m:rPr/>
          <m:t>π</m:t>
        </m:r>
        <m:r>
          <m:rPr>
            <m:sty m:val="p"/>
          </m:rPr>
          <m:t>)=</m:t>
        </m:r>
        <m:sSub>
          <m:sSubPr/>
          <m:e>
            <m:acc>
              <m:accPr/>
              <m:e>
                <m:r>
                  <m:rPr/>
                  <m:t>S</m:t>
                </m:r>
              </m:e>
            </m:acc>
          </m:e>
          <m:sub>
            <m:r>
              <m:rPr/>
              <m:t>D</m:t>
            </m:r>
          </m:sub>
        </m:sSub>
        <m:r>
          <m:rPr>
            <m:sty m:val="p"/>
          </m:rPr>
          <m:t>(</m:t>
        </m:r>
        <m:r>
          <m:rPr/>
          <m:t>π</m:t>
        </m:r>
        <m:r>
          <m:rPr>
            <m:sty m:val="p"/>
          </m:rPr>
          <m:t>)</m:t>
        </m:r>
      </m:oMath>
      <w:r>
        <w:rPr>
          <w:rFonts w:hint="eastAsia"/>
        </w:rPr>
        <w:t>。按</w:t>
      </w:r>
      <w:r>
        <w:t xml:space="preserve"> </w:t>
      </w:r>
      <m:oMath>
        <m:sSub>
          <m:sSubPr/>
          <m:e>
            <m:acc>
              <m:accPr/>
              <m:e>
                <m:r>
                  <m:rPr/>
                  <m:t>S</m:t>
                </m:r>
              </m:e>
            </m:acc>
          </m:e>
          <m:sub>
            <m:r>
              <m:rPr/>
              <m:t>δ</m:t>
            </m:r>
          </m:sub>
        </m:sSub>
      </m:oMath>
      <w:r>
        <w:t xml:space="preserve"> </w:t>
      </w:r>
      <w:r>
        <w:rPr>
          <w:rFonts w:hint="eastAsia"/>
        </w:rPr>
        <w:t>降序排列即得维度</w:t>
      </w:r>
      <w:r>
        <w:t xml:space="preserve"> </w:t>
      </w:r>
      <m:oMath>
        <m:r>
          <m:rPr/>
          <m:t>δ</m:t>
        </m:r>
      </m:oMath>
      <w:r>
        <w:t xml:space="preserve"> </w:t>
      </w:r>
      <w:r>
        <w:rPr>
          <w:rFonts w:hint="eastAsia"/>
        </w:rPr>
        <w:t>的共识排序</w:t>
      </w:r>
      <w:r>
        <w:t xml:space="preserve"> </w:t>
      </w:r>
      <m:oMath>
        <m:sSub>
          <m:sSubPr/>
          <m:e>
            <m:acc>
              <m:accPr>
                <m:chr m:val="‾"/>
              </m:accPr>
              <m:e>
                <m:r>
                  <m:rPr/>
                  <m:t>R</m:t>
                </m:r>
              </m:e>
            </m:acc>
          </m:e>
          <m:sub>
            <m:r>
              <m:rPr/>
              <m:t>δ</m:t>
            </m:r>
          </m:sub>
        </m:sSub>
      </m:oMath>
      <w:r>
        <w:t>。</w:t>
      </w:r>
    </w:p>
    <w:p w14:paraId="09C6C5B9">
      <w:pPr>
        <w:pStyle w:val="3"/>
      </w:pPr>
      <w:r>
        <w:rPr>
          <w:rFonts w:hint="eastAsia"/>
          <w:b/>
          <w:bCs/>
        </w:rPr>
        <w:t>定义</w:t>
      </w:r>
      <w:r>
        <w:rPr>
          <w:b/>
          <w:bCs/>
        </w:rPr>
        <w:t xml:space="preserve"> </w:t>
      </w:r>
      <w:r>
        <w:rPr>
          <w:rFonts w:hint="eastAsia"/>
          <w:b/>
          <w:bCs/>
        </w:rPr>
        <w:t>(总体质量函数)：</w:t>
      </w:r>
    </w:p>
    <w:p w14:paraId="2CA71DEF">
      <w:pPr>
        <w:pStyle w:val="3"/>
      </w:pPr>
      <w:bookmarkStart w:id="81" w:name="def:overall-quality"/>
      <w:bookmarkEnd w:id="81"/>
      <w:r>
        <w:t xml:space="preserve"> </w:t>
      </w:r>
      <w:r>
        <w:rPr>
          <w:rFonts w:hint="eastAsia"/>
        </w:rPr>
        <w:t>将三维共识得分加权聚合，得总体质量函数</w:t>
      </w:r>
      <w:r>
        <w:t xml:space="preserve"> </w:t>
      </w:r>
      <m:oMath>
        <m:r>
          <m:rPr/>
          <m:t>Q</m:t>
        </m:r>
        <m:r>
          <m:rPr>
            <m:sty m:val="p"/>
          </m:rPr>
          <m:t>:</m:t>
        </m:r>
        <m:sSub>
          <m:sSubPr/>
          <m:e>
            <m:r>
              <m:rPr>
                <m:sty m:val="p"/>
              </m:rPr>
              <m:t>Π</m:t>
            </m:r>
          </m:e>
          <m:sub>
            <m:r>
              <m:rPr/>
              <m:t>v</m:t>
            </m:r>
          </m:sub>
        </m:sSub>
        <m:r>
          <m:rPr>
            <m:sty m:val="p"/>
          </m:rPr>
          <m:t>→[</m:t>
        </m:r>
        <m:r>
          <m:rPr/>
          <m:t>0</m:t>
        </m:r>
        <m:r>
          <m:rPr>
            <m:sty m:val="p"/>
          </m:rPr>
          <m:t>,</m:t>
        </m:r>
        <m:r>
          <m:rPr/>
          <m:t>1</m:t>
        </m:r>
        <m:r>
          <m:rPr>
            <m:sty m:val="p"/>
          </m:rPr>
          <m:t>]</m:t>
        </m:r>
      </m:oMath>
      <w:r>
        <w:rPr>
          <w:rFonts w:hint="eastAsia"/>
        </w:rPr>
        <w:t>：</w:t>
      </w:r>
    </w:p>
    <w:p w14:paraId="35568696">
      <w:pPr>
        <w:pStyle w:val="3"/>
      </w:pPr>
      <m:oMathPara>
        <m:oMathParaPr>
          <m:jc m:val="center"/>
        </m:oMathParaPr>
        <m:oMath>
          <m:r>
            <m:rPr/>
            <m:t>Q</m:t>
          </m:r>
          <m:r>
            <m:rPr>
              <m:sty m:val="p"/>
            </m:rPr>
            <m:t>(</m:t>
          </m:r>
          <m:r>
            <m:rPr/>
            <m:t>π</m:t>
          </m:r>
          <m:r>
            <m:rPr>
              <m:sty m:val="p"/>
            </m:rPr>
            <m:t>)=</m:t>
          </m:r>
          <m:sSub>
            <m:sSubPr/>
            <m:e>
              <m:r>
                <m:rPr/>
                <m:t>α</m:t>
              </m:r>
            </m:e>
            <m:sub>
              <m:r>
                <m:rPr/>
                <m:t>E</m:t>
              </m:r>
            </m:sub>
          </m:sSub>
          <m:sSub>
            <m:sSubPr/>
            <m:e>
              <m:acc>
                <m:accPr/>
                <m:e>
                  <m:r>
                    <m:rPr/>
                    <m:t>S</m:t>
                  </m:r>
                </m:e>
              </m:acc>
            </m:e>
            <m:sub>
              <m:r>
                <m:rPr/>
                <m:t>E</m:t>
              </m:r>
            </m:sub>
          </m:sSub>
          <m:r>
            <m:rPr>
              <m:sty m:val="p"/>
            </m:rPr>
            <m:t>(</m:t>
          </m:r>
          <m:r>
            <m:rPr/>
            <m:t>π</m:t>
          </m:r>
          <m:r>
            <m:rPr>
              <m:sty m:val="p"/>
            </m:rPr>
            <m:t>)+</m:t>
          </m:r>
          <m:sSub>
            <m:sSubPr/>
            <m:e>
              <m:r>
                <m:rPr/>
                <m:t>α</m:t>
              </m:r>
            </m:e>
            <m:sub>
              <m:r>
                <m:rPr/>
                <m:t>I</m:t>
              </m:r>
            </m:sub>
          </m:sSub>
          <m:sSub>
            <m:sSubPr/>
            <m:e>
              <m:acc>
                <m:accPr/>
                <m:e>
                  <m:r>
                    <m:rPr/>
                    <m:t>S</m:t>
                  </m:r>
                </m:e>
              </m:acc>
            </m:e>
            <m:sub>
              <m:r>
                <m:rPr/>
                <m:t>I</m:t>
              </m:r>
            </m:sub>
          </m:sSub>
          <m:r>
            <m:rPr>
              <m:sty m:val="p"/>
            </m:rPr>
            <m:t>(</m:t>
          </m:r>
          <m:r>
            <m:rPr/>
            <m:t>π</m:t>
          </m:r>
          <m:r>
            <m:rPr>
              <m:sty m:val="p"/>
            </m:rPr>
            <m:t>)+</m:t>
          </m:r>
          <m:sSub>
            <m:sSubPr/>
            <m:e>
              <m:r>
                <m:rPr/>
                <m:t>α</m:t>
              </m:r>
            </m:e>
            <m:sub>
              <m:r>
                <m:rPr/>
                <m:t>D</m:t>
              </m:r>
            </m:sub>
          </m:sSub>
          <m:sSub>
            <m:sSubPr/>
            <m:e>
              <m:acc>
                <m:accPr/>
                <m:e>
                  <m:r>
                    <m:rPr/>
                    <m:t>S</m:t>
                  </m:r>
                </m:e>
              </m:acc>
            </m:e>
            <m:sub>
              <m:r>
                <m:rPr/>
                <m:t>D</m:t>
              </m:r>
            </m:sub>
          </m:sSub>
          <m:r>
            <m:rPr>
              <m:sty m:val="p"/>
            </m:rPr>
            <m:t>(</m:t>
          </m:r>
          <m:r>
            <m:rPr/>
            <m:t>π</m:t>
          </m:r>
          <m:r>
            <m:rPr>
              <m:sty m:val="p"/>
            </m:rPr>
            <m:t>)</m:t>
          </m:r>
        </m:oMath>
      </m:oMathPara>
    </w:p>
    <w:p w14:paraId="72A4FD13">
      <w:pPr>
        <w:pStyle w:val="23"/>
      </w:pPr>
      <w:r>
        <w:rPr>
          <w:rFonts w:hint="eastAsia"/>
        </w:rPr>
        <w:t>其中</w:t>
      </w:r>
      <w:r>
        <w:t xml:space="preserve"> </w:t>
      </w:r>
      <m:oMath>
        <m:sSub>
          <m:sSubPr/>
          <m:e>
            <m:r>
              <m:rPr/>
              <m:t>α</m:t>
            </m:r>
          </m:e>
          <m:sub>
            <m:r>
              <m:rPr/>
              <m:t>E</m:t>
            </m:r>
          </m:sub>
        </m:sSub>
        <m:r>
          <m:rPr>
            <m:sty m:val="p"/>
          </m:rPr>
          <m:t>,</m:t>
        </m:r>
        <m:sSub>
          <m:sSubPr/>
          <m:e>
            <m:r>
              <m:rPr/>
              <m:t>α</m:t>
            </m:r>
          </m:e>
          <m:sub>
            <m:r>
              <m:rPr/>
              <m:t>I</m:t>
            </m:r>
          </m:sub>
        </m:sSub>
        <m:r>
          <m:rPr>
            <m:sty m:val="p"/>
          </m:rPr>
          <m:t>,</m:t>
        </m:r>
        <m:sSub>
          <m:sSubPr/>
          <m:e>
            <m:r>
              <m:rPr/>
              <m:t>α</m:t>
            </m:r>
          </m:e>
          <m:sub>
            <m:r>
              <m:rPr/>
              <m:t>D</m:t>
            </m:r>
          </m:sub>
        </m:sSub>
      </m:oMath>
      <w:r>
        <w:t xml:space="preserve"> </w:t>
      </w:r>
      <w:r>
        <w:rPr>
          <w:rFonts w:hint="eastAsia"/>
        </w:rPr>
        <w:t>为维度权重，且</w:t>
      </w:r>
      <m:oMath>
        <m:sSub>
          <m:sSubPr/>
          <m:e>
            <m:r>
              <m:rPr/>
              <m:t>α</m:t>
            </m:r>
          </m:e>
          <m:sub>
            <m:r>
              <m:rPr/>
              <m:t>E</m:t>
            </m:r>
          </m:sub>
        </m:sSub>
        <m:r>
          <m:rPr>
            <m:sty m:val="p"/>
          </m:rPr>
          <m:t>+</m:t>
        </m:r>
        <m:sSub>
          <m:sSubPr/>
          <m:e>
            <m:r>
              <m:rPr/>
              <m:t>α</m:t>
            </m:r>
          </m:e>
          <m:sub>
            <m:r>
              <m:rPr/>
              <m:t>I</m:t>
            </m:r>
          </m:sub>
        </m:sSub>
        <m:r>
          <m:rPr>
            <m:sty m:val="p"/>
          </m:rPr>
          <m:t>+</m:t>
        </m:r>
        <m:sSub>
          <m:sSubPr/>
          <m:e>
            <m:r>
              <m:rPr/>
              <m:t>α</m:t>
            </m:r>
          </m:e>
          <m:sub>
            <m:r>
              <m:rPr/>
              <m:t>D</m:t>
            </m:r>
          </m:sub>
        </m:sSub>
        <m:r>
          <m:rPr>
            <m:sty m:val="p"/>
          </m:rPr>
          <m:t>=</m:t>
        </m:r>
        <m:r>
          <m:rPr/>
          <m:t>1</m:t>
        </m:r>
      </m:oMath>
      <w:r>
        <w:rPr>
          <w:rFonts w:hint="eastAsia"/>
        </w:rPr>
        <w:t>，可按业务场景配置：应急响应场景可提高</w:t>
      </w:r>
      <w:r>
        <w:t xml:space="preserve"> </w:t>
      </w:r>
      <m:oMath>
        <m:sSub>
          <m:sSubPr/>
          <m:e>
            <m:r>
              <m:rPr/>
              <m:t>α</m:t>
            </m:r>
          </m:e>
          <m:sub>
            <m:r>
              <m:rPr/>
              <m:t>E</m:t>
            </m:r>
          </m:sub>
        </m:sSub>
      </m:oMath>
      <w:r>
        <w:rPr>
          <w:rFonts w:hint="eastAsia"/>
        </w:rPr>
        <w:t>，生产稳定性优先场景可提高</w:t>
      </w:r>
      <w:r>
        <w:t xml:space="preserve"> </w:t>
      </w:r>
      <m:oMath>
        <m:sSub>
          <m:sSubPr/>
          <m:e>
            <m:r>
              <m:rPr/>
              <m:t>α</m:t>
            </m:r>
          </m:e>
          <m:sub>
            <m:r>
              <m:rPr/>
              <m:t>I</m:t>
            </m:r>
          </m:sub>
        </m:sSub>
      </m:oMath>
      <w:r>
        <w:rPr>
          <w:rFonts w:hint="eastAsia"/>
        </w:rPr>
        <w:t>，默认取</w:t>
      </w:r>
      <w:r>
        <w:t xml:space="preserve"> </w:t>
      </w:r>
      <m:oMath>
        <m:sSub>
          <m:sSubPr/>
          <m:e>
            <m:r>
              <m:rPr/>
              <m:t>α</m:t>
            </m:r>
          </m:e>
          <m:sub>
            <m:r>
              <m:rPr/>
              <m:t>E</m:t>
            </m:r>
          </m:sub>
        </m:sSub>
        <m:r>
          <m:rPr>
            <m:sty m:val="p"/>
          </m:rPr>
          <m:t>=</m:t>
        </m:r>
        <m:r>
          <m:rPr/>
          <m:t>0.5</m:t>
        </m:r>
        <m:r>
          <m:rPr>
            <m:sty m:val="p"/>
          </m:rPr>
          <m:t>,</m:t>
        </m:r>
        <m:sSub>
          <m:sSubPr/>
          <m:e>
            <m:r>
              <m:rPr/>
              <m:t>α</m:t>
            </m:r>
          </m:e>
          <m:sub>
            <m:r>
              <m:rPr/>
              <m:t>I</m:t>
            </m:r>
          </m:sub>
        </m:sSub>
        <m:r>
          <m:rPr>
            <m:sty m:val="p"/>
          </m:rPr>
          <m:t>=</m:t>
        </m:r>
        <m:r>
          <m:rPr/>
          <m:t>0.3</m:t>
        </m:r>
        <m:r>
          <m:rPr>
            <m:sty m:val="p"/>
          </m:rPr>
          <m:t>,</m:t>
        </m:r>
        <m:sSub>
          <m:sSubPr/>
          <m:e>
            <m:r>
              <m:rPr/>
              <m:t>α</m:t>
            </m:r>
          </m:e>
          <m:sub>
            <m:r>
              <m:rPr/>
              <m:t>D</m:t>
            </m:r>
          </m:sub>
        </m:sSub>
        <m:r>
          <m:rPr>
            <m:sty m:val="p"/>
          </m:rPr>
          <m:t>=</m:t>
        </m:r>
        <m:r>
          <m:rPr/>
          <m:t>0.2</m:t>
        </m:r>
      </m:oMath>
      <w:r>
        <w:rPr>
          <w:rFonts w:hint="eastAsia"/>
        </w:rPr>
        <w:t>。按</w:t>
      </w:r>
      <w:r>
        <w:t xml:space="preserve"> </w:t>
      </w:r>
      <m:oMath>
        <m:r>
          <m:rPr/>
          <m:t>Q</m:t>
        </m:r>
        <m:r>
          <m:rPr>
            <m:sty m:val="p"/>
          </m:rPr>
          <m:t>(</m:t>
        </m:r>
        <m:r>
          <m:rPr/>
          <m:t>π</m:t>
        </m:r>
        <m:r>
          <m:rPr>
            <m:sty m:val="p"/>
          </m:rPr>
          <m:t>)</m:t>
        </m:r>
      </m:oMath>
      <w:r>
        <w:t xml:space="preserve"> </w:t>
      </w:r>
      <w:r>
        <w:rPr>
          <w:rFonts w:hint="eastAsia"/>
        </w:rPr>
        <w:t>降序排列得总排名</w:t>
      </w:r>
      <w:r>
        <w:t xml:space="preserve"> </w:t>
      </w:r>
      <m:oMath>
        <m:acc>
          <m:accPr>
            <m:chr m:val="‾"/>
          </m:accPr>
          <m:e>
            <m:r>
              <m:rPr/>
              <m:t>R</m:t>
            </m:r>
          </m:e>
        </m:acc>
      </m:oMath>
      <w:r>
        <w:rPr>
          <w:rFonts w:hint="eastAsia"/>
        </w:rPr>
        <w:t>。本文默认在</w:t>
      </w:r>
      <w:r>
        <w:t xml:space="preserve"> </w:t>
      </w:r>
      <m:oMath>
        <m:sSub>
          <m:sSubPr/>
          <m:e>
            <m:r>
              <m:rPr>
                <m:sty m:val="p"/>
              </m:rPr>
              <m:t>Π</m:t>
            </m:r>
          </m:e>
          <m:sub>
            <m:r>
              <m:rPr/>
              <m:t>v</m:t>
            </m:r>
          </m:sub>
        </m:sSub>
      </m:oMath>
      <w:r>
        <w:t xml:space="preserve"> </w:t>
      </w:r>
      <w:r>
        <w:rPr>
          <w:rFonts w:hint="eastAsia"/>
        </w:rPr>
        <w:t>上计算总体排名；若按类型筛选，则在</w:t>
      </w:r>
      <w:r>
        <w:t xml:space="preserve"> </w:t>
      </w:r>
      <m:oMath>
        <m:sSubSup>
          <m:sSubSupPr/>
          <m:e>
            <m:r>
              <m:rPr>
                <m:sty m:val="p"/>
              </m:rPr>
              <m:t>Π</m:t>
            </m:r>
          </m:e>
          <m:sub>
            <m:r>
              <m:rPr/>
              <m:t>v</m:t>
            </m:r>
          </m:sub>
          <m:sup>
            <m:r>
              <m:rPr/>
              <m:t>τ</m:t>
            </m:r>
          </m:sup>
        </m:sSubSup>
      </m:oMath>
      <w:r>
        <w:t xml:space="preserve"> </w:t>
      </w:r>
      <w:r>
        <w:rPr>
          <w:rFonts w:hint="eastAsia"/>
        </w:rPr>
        <w:t>上计算。</w:t>
      </w:r>
    </w:p>
    <w:p w14:paraId="268688DE">
      <w:pPr>
        <w:pStyle w:val="3"/>
      </w:pPr>
      <w:r>
        <w:rPr>
          <w:rFonts w:hint="eastAsia"/>
        </w:rPr>
        <w:t>在实际应用中，策略筛选并非仅根据单一维度做局部判断，而是以总体质量函数</w:t>
      </w:r>
      <w:r>
        <w:t xml:space="preserve"> </w:t>
      </w:r>
      <m:oMath>
        <m:r>
          <m:rPr/>
          <m:t>Q</m:t>
        </m:r>
        <m:r>
          <m:rPr>
            <m:sty m:val="p"/>
          </m:rPr>
          <m:t>(</m:t>
        </m:r>
        <m:r>
          <m:rPr/>
          <m:t>π</m:t>
        </m:r>
        <m:r>
          <m:rPr>
            <m:sty m:val="p"/>
          </m:rPr>
          <m:t>)</m:t>
        </m:r>
      </m:oMath>
      <w:r>
        <w:t xml:space="preserve"> </w:t>
      </w:r>
      <w:r>
        <w:rPr>
          <w:rFonts w:hint="eastAsia"/>
        </w:rPr>
        <w:t>为核心排序依据。对于漏洞实例</w:t>
      </w:r>
      <w:r>
        <w:t xml:space="preserve"> </w:t>
      </w:r>
      <m:oMath>
        <m:r>
          <m:rPr/>
          <m:t>v</m:t>
        </m:r>
      </m:oMath>
      <w:r>
        <w:t xml:space="preserve"> </w:t>
      </w:r>
      <w:r>
        <w:rPr>
          <w:rFonts w:hint="eastAsia"/>
        </w:rPr>
        <w:t>的候选策略集合</w:t>
      </w:r>
      <w:r>
        <w:t xml:space="preserve"> </w:t>
      </w:r>
      <m:oMath>
        <m:sSub>
          <m:sSubPr/>
          <m:e>
            <m:r>
              <m:rPr>
                <m:sty m:val="p"/>
              </m:rPr>
              <m:t>Π</m:t>
            </m:r>
          </m:e>
          <m:sub>
            <m:r>
              <m:rPr/>
              <m:t>v</m:t>
            </m:r>
          </m:sub>
        </m:sSub>
      </m:oMath>
      <w:r>
        <w:rPr>
          <w:rFonts w:hint="eastAsia"/>
        </w:rPr>
        <w:t>，系统首先剔除无法通过格式校验、缺少关键部署字段或与目标集群约束明显冲突的候选策略，得到可参与筛选的策略集合</w:t>
      </w:r>
      <w:r>
        <w:t xml:space="preserve"> </w:t>
      </w:r>
      <m:oMath>
        <m:sSubSup>
          <m:sSubSupPr/>
          <m:e>
            <m:r>
              <m:rPr>
                <m:sty m:val="p"/>
              </m:rPr>
              <m:t>Π</m:t>
            </m:r>
          </m:e>
          <m:sub>
            <m:r>
              <m:rPr/>
              <m:t>v</m:t>
            </m:r>
          </m:sub>
          <m:sup>
            <m:r>
              <m:rPr>
                <m:sty m:val="p"/>
              </m:rPr>
              <m:t>valid</m:t>
            </m:r>
          </m:sup>
        </m:sSubSup>
      </m:oMath>
      <w:r>
        <w:rPr>
          <w:rFonts w:hint="eastAsia"/>
        </w:rPr>
        <w:t>。随后对每个</w:t>
      </w:r>
      <w:r>
        <w:t xml:space="preserve"> </w:t>
      </w:r>
      <m:oMath>
        <m:r>
          <m:rPr/>
          <m:t>π</m:t>
        </m:r>
        <m:r>
          <m:rPr>
            <m:sty m:val="p"/>
          </m:rPr>
          <m:t>∈</m:t>
        </m:r>
        <m:sSubSup>
          <m:sSubSupPr/>
          <m:e>
            <m:r>
              <m:rPr>
                <m:sty m:val="p"/>
              </m:rPr>
              <m:t>Π</m:t>
            </m:r>
          </m:e>
          <m:sub>
            <m:r>
              <m:rPr/>
              <m:t>v</m:t>
            </m:r>
          </m:sub>
          <m:sup>
            <m:r>
              <m:rPr>
                <m:sty m:val="p"/>
              </m:rPr>
              <m:t>valid</m:t>
            </m:r>
          </m:sup>
        </m:sSubSup>
      </m:oMath>
      <w:r>
        <w:t xml:space="preserve"> </w:t>
      </w:r>
      <w:r>
        <w:rPr>
          <w:rFonts w:hint="eastAsia"/>
        </w:rPr>
        <w:t>计算三维共识得分</w:t>
      </w:r>
      <w:r>
        <w:t xml:space="preserve"> </w:t>
      </w:r>
      <m:oMath>
        <m:sSub>
          <m:sSubPr/>
          <m:e>
            <m:acc>
              <m:accPr/>
              <m:e>
                <m:r>
                  <m:rPr/>
                  <m:t>S</m:t>
                </m:r>
              </m:e>
            </m:acc>
          </m:e>
          <m:sub>
            <m:r>
              <m:rPr/>
              <m:t>E</m:t>
            </m:r>
          </m:sub>
        </m:sSub>
        <m:r>
          <m:rPr>
            <m:sty m:val="p"/>
          </m:rPr>
          <m:t>(</m:t>
        </m:r>
        <m:r>
          <m:rPr/>
          <m:t>π</m:t>
        </m:r>
        <m:r>
          <m:rPr>
            <m:sty m:val="p"/>
          </m:rPr>
          <m:t>)</m:t>
        </m:r>
      </m:oMath>
      <w:r>
        <w:t>、</w:t>
      </w:r>
      <m:oMath>
        <m:sSub>
          <m:sSubPr/>
          <m:e>
            <m:acc>
              <m:accPr/>
              <m:e>
                <m:r>
                  <m:rPr/>
                  <m:t>S</m:t>
                </m:r>
              </m:e>
            </m:acc>
          </m:e>
          <m:sub>
            <m:r>
              <m:rPr/>
              <m:t>I</m:t>
            </m:r>
          </m:sub>
        </m:sSub>
        <m:r>
          <m:rPr>
            <m:sty m:val="p"/>
          </m:rPr>
          <m:t>(</m:t>
        </m:r>
        <m:r>
          <m:rPr/>
          <m:t>π</m:t>
        </m:r>
        <m:r>
          <m:rPr>
            <m:sty m:val="p"/>
          </m:rPr>
          <m:t>)</m:t>
        </m:r>
      </m:oMath>
      <w:r>
        <w:t xml:space="preserve"> </w:t>
      </w:r>
      <w:r>
        <w:rPr>
          <w:rFonts w:hint="eastAsia"/>
        </w:rPr>
        <w:t>与</w:t>
      </w:r>
      <w:r>
        <w:t xml:space="preserve"> </w:t>
      </w:r>
      <m:oMath>
        <m:sSub>
          <m:sSubPr/>
          <m:e>
            <m:acc>
              <m:accPr/>
              <m:e>
                <m:r>
                  <m:rPr/>
                  <m:t>S</m:t>
                </m:r>
              </m:e>
            </m:acc>
          </m:e>
          <m:sub>
            <m:r>
              <m:rPr/>
              <m:t>D</m:t>
            </m:r>
          </m:sub>
        </m:sSub>
        <m:r>
          <m:rPr>
            <m:sty m:val="p"/>
          </m:rPr>
          <m:t>(</m:t>
        </m:r>
        <m:r>
          <m:rPr/>
          <m:t>π</m:t>
        </m:r>
        <m:r>
          <m:rPr>
            <m:sty m:val="p"/>
          </m:rPr>
          <m:t>)</m:t>
        </m:r>
      </m:oMath>
      <w:r>
        <w:rPr>
          <w:rFonts w:hint="eastAsia"/>
        </w:rPr>
        <w:t>，并依据式</w:t>
      </w:r>
      <w:r>
        <w:t> </w:t>
      </w:r>
      <w:r>
        <w:fldChar w:fldCharType="begin"/>
      </w:r>
      <w:r>
        <w:instrText xml:space="preserve"> HYPERLINK \l "eq:quality-func" \h </w:instrText>
      </w:r>
      <w:r>
        <w:fldChar w:fldCharType="separate"/>
      </w:r>
      <w:r>
        <w:rPr>
          <w:rStyle w:val="20"/>
        </w:rPr>
        <w:t>[eq:quality-func]</w:t>
      </w:r>
      <w:r>
        <w:rPr>
          <w:rStyle w:val="20"/>
        </w:rPr>
        <w:fldChar w:fldCharType="end"/>
      </w:r>
      <w:r>
        <w:t xml:space="preserve"> </w:t>
      </w:r>
      <w:r>
        <w:rPr>
          <w:rFonts w:hint="eastAsia"/>
        </w:rPr>
        <w:t>得到总体质量</w:t>
      </w:r>
      <w:r>
        <w:t xml:space="preserve"> </w:t>
      </w:r>
      <m:oMath>
        <m:r>
          <m:rPr/>
          <m:t>Q</m:t>
        </m:r>
        <m:r>
          <m:rPr>
            <m:sty m:val="p"/>
          </m:rPr>
          <m:t>(</m:t>
        </m:r>
        <m:r>
          <m:rPr/>
          <m:t>π</m:t>
        </m:r>
        <m:r>
          <m:rPr>
            <m:sty m:val="p"/>
          </m:rPr>
          <m:t>)</m:t>
        </m:r>
      </m:oMath>
      <w:r>
        <w:rPr>
          <w:rFonts w:hint="eastAsia"/>
        </w:rPr>
        <w:t>。最终交付策略可表示为</w:t>
      </w:r>
    </w:p>
    <w:p w14:paraId="3ADAD774">
      <w:pPr>
        <w:pStyle w:val="3"/>
      </w:pPr>
      <m:oMathPara>
        <m:oMathParaPr>
          <m:jc m:val="center"/>
        </m:oMathParaPr>
        <m:oMath>
          <m:sSup>
            <m:sSupPr/>
            <m:e>
              <m:r>
                <m:rPr/>
                <m:t>π</m:t>
              </m:r>
            </m:e>
            <m:sup>
              <m:r>
                <m:rPr>
                  <m:sty m:val="p"/>
                </m:rPr>
                <m:t>⋆</m:t>
              </m:r>
            </m:sup>
          </m:sSup>
          <m:r>
            <m:rPr>
              <m:sty m:val="p"/>
            </m:rPr>
            <m:t>=arg</m:t>
          </m:r>
          <m:limLow>
            <m:limLowPr/>
            <m:e>
              <m:r>
                <m:rPr>
                  <m:sty m:val="p"/>
                </m:rPr>
                <m:t>max</m:t>
              </m:r>
            </m:e>
            <m:lim>
              <m:r>
                <m:rPr/>
                <m:t>π</m:t>
              </m:r>
              <m:r>
                <m:rPr>
                  <m:sty m:val="p"/>
                </m:rPr>
                <m:t>∈</m:t>
              </m:r>
              <m:sSubSup>
                <m:sSubSupPr/>
                <m:e>
                  <m:r>
                    <m:rPr>
                      <m:sty m:val="p"/>
                    </m:rPr>
                    <m:t>Π</m:t>
                  </m:r>
                </m:e>
                <m:sub>
                  <m:r>
                    <m:rPr/>
                    <m:t>v</m:t>
                  </m:r>
                </m:sub>
                <m:sup>
                  <m:r>
                    <m:rPr>
                      <m:sty m:val="p"/>
                    </m:rPr>
                    <m:t>valid</m:t>
                  </m:r>
                </m:sup>
              </m:sSubSup>
            </m:lim>
          </m:limLow>
          <m:r>
            <m:rPr/>
            <m:t>Q</m:t>
          </m:r>
          <m:r>
            <m:rPr>
              <m:sty m:val="p"/>
            </m:rPr>
            <m:t>(</m:t>
          </m:r>
          <m:r>
            <m:rPr/>
            <m:t>π</m:t>
          </m:r>
          <m:r>
            <m:rPr>
              <m:sty m:val="p"/>
            </m:rPr>
            <m:t>)</m:t>
          </m:r>
        </m:oMath>
      </m:oMathPara>
    </w:p>
    <w:p w14:paraId="5C682E51">
      <w:pPr>
        <w:pStyle w:val="23"/>
      </w:pPr>
      <w:r>
        <w:rPr>
          <w:rFonts w:hint="eastAsia"/>
        </w:rPr>
        <w:t>其中</w:t>
      </w:r>
      <w:r>
        <w:t xml:space="preserve"> </w:t>
      </w:r>
      <m:oMath>
        <m:sSup>
          <m:sSupPr/>
          <m:e>
            <m:r>
              <m:rPr/>
              <m:t>π</m:t>
            </m:r>
          </m:e>
          <m:sup>
            <m:r>
              <m:rPr>
                <m:sty m:val="p"/>
              </m:rPr>
              <m:t>⋆</m:t>
            </m:r>
          </m:sup>
        </m:sSup>
      </m:oMath>
      <w:r>
        <w:t xml:space="preserve"> </w:t>
      </w:r>
      <w:r>
        <w:rPr>
          <w:rFonts w:hint="eastAsia"/>
        </w:rPr>
        <w:t>为当前权重配置下的最优安全策略。若实际场景对有效性、业务连续性或部署复杂度存在明确底线要求，还可在求解前引入维度阈值，例如要求</w:t>
      </w:r>
      <w:r>
        <w:t xml:space="preserve"> </w:t>
      </w:r>
      <m:oMath>
        <m:r>
          <m:rPr/>
          <m:t>E</m:t>
        </m:r>
        <m:r>
          <m:rPr>
            <m:sty m:val="p"/>
          </m:rPr>
          <m:t>(</m:t>
        </m:r>
        <m:r>
          <m:rPr/>
          <m:t>π</m:t>
        </m:r>
        <m:r>
          <m:rPr>
            <m:sty m:val="p"/>
          </m:rPr>
          <m:t>)≥</m:t>
        </m:r>
        <m:sSub>
          <m:sSubPr/>
          <m:e>
            <m:r>
              <m:rPr/>
              <m:t>θ</m:t>
            </m:r>
          </m:e>
          <m:sub>
            <m:r>
              <m:rPr/>
              <m:t>E</m:t>
            </m:r>
          </m:sub>
        </m:sSub>
      </m:oMath>
      <w:r>
        <w:t xml:space="preserve"> </w:t>
      </w:r>
      <w:r>
        <w:rPr>
          <w:rFonts w:hint="eastAsia"/>
        </w:rPr>
        <w:t>或</w:t>
      </w:r>
      <w:r>
        <w:t xml:space="preserve"> </w:t>
      </w:r>
      <m:oMath>
        <m:r>
          <m:rPr/>
          <m:t>D</m:t>
        </m:r>
        <m:r>
          <m:rPr>
            <m:sty m:val="p"/>
          </m:rPr>
          <m:t>(</m:t>
        </m:r>
        <m:r>
          <m:rPr/>
          <m:t>π</m:t>
        </m:r>
        <m:r>
          <m:rPr>
            <m:sty m:val="p"/>
          </m:rPr>
          <m:t>)≥</m:t>
        </m:r>
        <m:sSub>
          <m:sSubPr/>
          <m:e>
            <m:r>
              <m:rPr/>
              <m:t>θ</m:t>
            </m:r>
          </m:e>
          <m:sub>
            <m:r>
              <m:rPr/>
              <m:t>D</m:t>
            </m:r>
          </m:sub>
        </m:sSub>
      </m:oMath>
      <w:r>
        <w:rPr>
          <w:rFonts w:hint="eastAsia"/>
        </w:rPr>
        <w:t>，从而避免总体得分较高但关键维度不可接受的策略被选中。当多个候选策略的</w:t>
      </w:r>
      <w:r>
        <w:t xml:space="preserve"> </w:t>
      </w:r>
      <m:oMath>
        <m:r>
          <m:rPr/>
          <m:t>Q</m:t>
        </m:r>
        <m:r>
          <m:rPr>
            <m:sty m:val="p"/>
          </m:rPr>
          <m:t>(</m:t>
        </m:r>
        <m:r>
          <m:rPr/>
          <m:t>π</m:t>
        </m:r>
        <m:r>
          <m:rPr>
            <m:sty m:val="p"/>
          </m:rPr>
          <m:t>)</m:t>
        </m:r>
      </m:oMath>
      <w:r>
        <w:t xml:space="preserve"> </w:t>
      </w:r>
      <w:r>
        <w:rPr>
          <w:rFonts w:hint="eastAsia"/>
        </w:rPr>
        <w:t>差异较小时，系统保留排名靠前的若干策略供安全工程师复核，并优先选择具有更清晰证据来源、更小业务影响和更完整回滚方案的策略。通过上述过程，三维质量评价结果被转化为面向部署决策的筛选规则，使</w:t>
      </w:r>
      <w:r>
        <w:t xml:space="preserve"> KPEDefense </w:t>
      </w:r>
      <w:r>
        <w:rPr>
          <w:rFonts w:hint="eastAsia"/>
        </w:rPr>
        <w:t>能够在候选策略集合中选择最符合当前防控目标的安全策略。</w:t>
      </w:r>
    </w:p>
    <w:bookmarkEnd w:id="36"/>
    <w:bookmarkEnd w:id="74"/>
    <w:p w14:paraId="03979A15">
      <w:pPr>
        <w:pStyle w:val="4"/>
      </w:pPr>
      <w:bookmarkStart w:id="82" w:name="方法示例"/>
      <w:r>
        <w:rPr>
          <w:rFonts w:hint="eastAsia"/>
        </w:rPr>
        <w:t>方法示例</w:t>
      </w:r>
    </w:p>
    <w:p w14:paraId="5E064219">
      <w:pPr>
        <w:pStyle w:val="23"/>
      </w:pPr>
      <w:r>
        <w:t xml:space="preserve">Calico </w:t>
      </w:r>
      <w:r>
        <w:rPr>
          <w:rFonts w:hint="eastAsia"/>
        </w:rPr>
        <w:t>是一套开源的网络和网络安全方案，用于容器、虚拟机、宿主机之间的网络连接。以</w:t>
      </w:r>
      <w:r>
        <w:t xml:space="preserve"> Calico CNI </w:t>
      </w:r>
      <w:r>
        <w:rPr>
          <w:rFonts w:hint="eastAsia"/>
        </w:rPr>
        <w:t>应用中的</w:t>
      </w:r>
      <w:r>
        <w:t xml:space="preserve"> CVE-2024-33522 </w:t>
      </w:r>
      <w:r>
        <w:rPr>
          <w:rFonts w:hint="eastAsia"/>
        </w:rPr>
        <w:t>漏洞为例，进行</w:t>
      </w:r>
      <w:r>
        <w:t xml:space="preserve"> KPEDefense </w:t>
      </w:r>
      <w:r>
        <w:rPr>
          <w:rFonts w:hint="eastAsia"/>
        </w:rPr>
        <w:t>方法示例，分为安全知识库构建、安全策略生成、安全策略评审三个步骤。</w:t>
      </w:r>
    </w:p>
    <w:p w14:paraId="67C5C4CC">
      <w:pPr>
        <w:pStyle w:val="3"/>
      </w:pPr>
      <w:r>
        <w:rPr>
          <w:rFonts w:hint="eastAsia"/>
          <w:b/>
          <w:bCs/>
        </w:rPr>
        <w:t>(1)安全知识库构建</w:t>
      </w:r>
    </w:p>
    <w:p w14:paraId="4982D9ED">
      <w:pPr>
        <w:pStyle w:val="3"/>
      </w:pPr>
      <w:r>
        <w:rPr>
          <w:rFonts w:hint="eastAsia"/>
        </w:rPr>
        <w:t>在安全知识库构建阶段，首先以</w:t>
      </w:r>
      <w:r>
        <w:t xml:space="preserve"> calico </w:t>
      </w:r>
      <w:r>
        <w:rPr>
          <w:rFonts w:hint="eastAsia"/>
        </w:rPr>
        <w:t>开源仓库中通过爬虫技术抓取代码文件、文档以及Issue，Pull</w:t>
      </w:r>
      <w:r>
        <w:t xml:space="preserve"> </w:t>
      </w:r>
      <w:r>
        <w:rPr>
          <w:rFonts w:hint="eastAsia"/>
        </w:rPr>
        <w:t>Request等多源信息，入库时保留路径、提交哈希与时间戳等元数据。共计42篇md格式文档和</w:t>
      </w:r>
      <w:r>
        <w:t xml:space="preserve"> 3476 </w:t>
      </w:r>
      <w:r>
        <w:rPr>
          <w:rFonts w:hint="eastAsia"/>
        </w:rPr>
        <w:t>条</w:t>
      </w:r>
      <w:r>
        <w:t xml:space="preserve"> Issue </w:t>
      </w:r>
      <w:r>
        <w:rPr>
          <w:rFonts w:hint="eastAsia"/>
        </w:rPr>
        <w:t>与</w:t>
      </w:r>
      <w:r>
        <w:t xml:space="preserve"> 8826 </w:t>
      </w:r>
      <w:r>
        <w:rPr>
          <w:rFonts w:hint="eastAsia"/>
        </w:rPr>
        <w:t>条</w:t>
      </w:r>
      <w:r>
        <w:t xml:space="preserve"> Pull Request </w:t>
      </w:r>
      <w:r>
        <w:rPr>
          <w:rFonts w:hint="eastAsia"/>
        </w:rPr>
        <w:t>讨论记录。</w:t>
      </w:r>
    </w:p>
    <w:p w14:paraId="7DC01A67">
      <w:pPr>
        <w:pStyle w:val="3"/>
      </w:pPr>
      <w:r>
        <w:rPr>
          <w:rFonts w:hint="eastAsia"/>
          <w:b/>
          <w:bCs/>
        </w:rPr>
        <w:t>(2)安全策略生成与优化</w:t>
      </w:r>
    </w:p>
    <w:p w14:paraId="732B24A1">
      <w:pPr>
        <w:pStyle w:val="3"/>
      </w:pPr>
      <w:r>
        <w:rPr>
          <w:rFonts w:hint="eastAsia"/>
        </w:rPr>
        <w:t>依据</w:t>
      </w:r>
      <w:r>
        <w:t xml:space="preserve"> KPEDefense </w:t>
      </w:r>
      <w:r>
        <w:rPr>
          <w:rFonts w:hint="eastAsia"/>
        </w:rPr>
        <w:t>和</w:t>
      </w:r>
      <w:r>
        <w:t xml:space="preserve"> DeepSeek-V3.2 </w:t>
      </w:r>
      <w:r>
        <w:rPr>
          <w:rFonts w:hint="eastAsia"/>
        </w:rPr>
        <w:t>模型进行单次候选安全策略的生成与优化。首先安全知识智能体基于步骤1构建的安全知识库检索到的信息构建出一个安全上下文</w:t>
      </w:r>
      <w:r>
        <w:t xml:space="preserve"> </w:t>
      </w:r>
      <m:oMath>
        <m:r>
          <m:rPr/>
          <m:t>c</m:t>
        </m:r>
      </m:oMath>
      <w:r>
        <w:rPr>
          <w:rFonts w:hint="eastAsia"/>
        </w:rPr>
        <w:t>，如图</w:t>
      </w:r>
      <w:r>
        <w:fldChar w:fldCharType="begin"/>
      </w:r>
      <w:r>
        <w:instrText xml:space="preserve"> HYPERLINK \l "fig:chap3-v-context" \h </w:instrText>
      </w:r>
      <w:r>
        <w:fldChar w:fldCharType="separate"/>
      </w:r>
      <w:r>
        <w:rPr>
          <w:rStyle w:val="20"/>
        </w:rPr>
        <w:t>3.12</w:t>
      </w:r>
      <w:r>
        <w:rPr>
          <w:rStyle w:val="20"/>
        </w:rPr>
        <w:fldChar w:fldCharType="end"/>
      </w:r>
      <w:r>
        <w:rPr>
          <w:rFonts w:hint="eastAsia"/>
        </w:rPr>
        <w:t>所示。</w:t>
      </w:r>
    </w:p>
    <w:tbl>
      <w:tblPr>
        <w:tblStyle w:val="18"/>
        <w:tblW w:w="0" w:type="auto"/>
        <w:jc w:val="center"/>
        <w:tblLayout w:type="autofit"/>
        <w:tblCellMar>
          <w:top w:w="0" w:type="dxa"/>
          <w:left w:w="10" w:type="dxa"/>
          <w:bottom w:w="0" w:type="dxa"/>
          <w:right w:w="10" w:type="dxa"/>
        </w:tblCellMar>
      </w:tblPr>
      <w:tblGrid>
        <w:gridCol w:w="8004"/>
      </w:tblGrid>
      <w:tr w14:paraId="57F74541">
        <w:tblPrEx>
          <w:tblCellMar>
            <w:top w:w="0" w:type="dxa"/>
            <w:left w:w="10" w:type="dxa"/>
            <w:bottom w:w="0" w:type="dxa"/>
            <w:right w:w="10" w:type="dxa"/>
          </w:tblCellMar>
        </w:tblPrEx>
        <w:trPr>
          <w:jc w:val="center"/>
        </w:trPr>
        <w:tc>
          <w:p w14:paraId="0B534D3F">
            <w:pPr>
              <w:pStyle w:val="49"/>
              <w:jc w:val="center"/>
            </w:pPr>
            <w:bookmarkStart w:id="83" w:name="fig:chap3-v-context"/>
            <w:r>
              <w:rPr>
                <w:rStyle w:val="48"/>
              </w:rPr>
              <w:t xml:space="preserve"># </w:t>
            </w:r>
            <w:r>
              <w:rPr>
                <w:rStyle w:val="48"/>
                <w:rFonts w:hint="eastAsia"/>
              </w:rPr>
              <w:t>漏洞实例</w:t>
            </w:r>
            <w:r>
              <w:rPr>
                <w:rStyle w:val="48"/>
              </w:rPr>
              <w:t xml:space="preserve"> v</w:t>
            </w:r>
            <w:r>
              <w:br w:type="textWrapping"/>
            </w:r>
            <w:r>
              <w:rPr>
                <w:rStyle w:val="48"/>
              </w:rPr>
              <w:t>id:      CVE-2024-33522</w:t>
            </w:r>
            <w:r>
              <w:br w:type="textWrapping"/>
            </w:r>
            <w:r>
              <w:rPr>
                <w:rStyle w:val="48"/>
              </w:rPr>
              <w:t xml:space="preserve">d:       Calico CNI </w:t>
            </w:r>
            <w:r>
              <w:rPr>
                <w:rStyle w:val="48"/>
                <w:rFonts w:hint="eastAsia"/>
              </w:rPr>
              <w:t>安装路径存在</w:t>
            </w:r>
            <w:r>
              <w:rPr>
                <w:rStyle w:val="48"/>
              </w:rPr>
              <w:t xml:space="preserve"> SUID </w:t>
            </w:r>
            <w:r>
              <w:rPr>
                <w:rStyle w:val="48"/>
                <w:rFonts w:hint="eastAsia"/>
              </w:rPr>
              <w:t>位，允许本地权限提升……</w:t>
            </w:r>
            <w:r>
              <w:br w:type="textWrapping"/>
            </w:r>
            <w:r>
              <w:rPr>
                <w:rStyle w:val="48"/>
              </w:rPr>
              <w:t>m:</w:t>
            </w:r>
            <w:r>
              <w:br w:type="textWrapping"/>
            </w:r>
            <w:r>
              <w:rPr>
                <w:rStyle w:val="48"/>
              </w:rPr>
              <w:t xml:space="preserve">  component: calico/cni &lt;= v3.27.2  fixed_in: v3.27.3</w:t>
            </w:r>
            <w:r>
              <w:br w:type="textWrapping"/>
            </w:r>
            <w:r>
              <w:rPr>
                <w:rStyle w:val="48"/>
              </w:rPr>
              <w:t xml:space="preserve">  cvss:      7.8 (High)</w:t>
            </w:r>
            <w:r>
              <w:br w:type="textWrapping"/>
            </w:r>
            <w:r>
              <w:rPr>
                <w:rStyle w:val="48"/>
              </w:rPr>
              <w:t xml:space="preserve">  refs:      GitHub Security Advisory, fix commit</w:t>
            </w:r>
            <w:r>
              <w:br w:type="textWrapping"/>
            </w:r>
            <w:r>
              <w:br w:type="textWrapping"/>
            </w:r>
            <w:r>
              <w:rPr>
                <w:rStyle w:val="48"/>
              </w:rPr>
              <w:t xml:space="preserve"># </w:t>
            </w:r>
            <w:r>
              <w:rPr>
                <w:rStyle w:val="48"/>
                <w:rFonts w:hint="eastAsia"/>
              </w:rPr>
              <w:t>安全上下文</w:t>
            </w:r>
            <w:r>
              <w:rPr>
                <w:rStyle w:val="48"/>
              </w:rPr>
              <w:t xml:space="preserve"> </w:t>
            </w:r>
            <w:r>
              <w:rPr>
                <w:rStyle w:val="48"/>
                <w:rFonts w:hint="eastAsia"/>
              </w:rPr>
              <w:t>c(代表性片段)</w:t>
            </w:r>
            <w:r>
              <w:br w:type="textWrapping"/>
            </w:r>
            <w:r>
              <w:rPr>
                <w:rStyle w:val="48"/>
              </w:rPr>
              <w:t xml:space="preserve">t1: "install-cni </w:t>
            </w:r>
            <w:r>
              <w:rPr>
                <w:rStyle w:val="48"/>
                <w:rFonts w:hint="eastAsia"/>
              </w:rPr>
              <w:t>脚本安装时保留</w:t>
            </w:r>
            <w:r>
              <w:rPr>
                <w:rStyle w:val="48"/>
              </w:rPr>
              <w:t xml:space="preserve"> /opt/cni/bin/calico </w:t>
            </w:r>
            <w:r>
              <w:rPr>
                <w:rStyle w:val="48"/>
                <w:rFonts w:hint="eastAsia"/>
              </w:rPr>
              <w:t>的</w:t>
            </w:r>
            <w:r>
              <w:rPr>
                <w:rStyle w:val="48"/>
              </w:rPr>
              <w:t xml:space="preserve"> SUID </w:t>
            </w:r>
            <w:r>
              <w:rPr>
                <w:rStyle w:val="48"/>
                <w:rFonts w:hint="eastAsia"/>
              </w:rPr>
              <w:t>位..."</w:t>
            </w:r>
            <w:r>
              <w:br w:type="textWrapping"/>
            </w:r>
            <w:r>
              <w:rPr>
                <w:rStyle w:val="48"/>
              </w:rPr>
              <w:t xml:space="preserve">    src: github.com/projectcalico/calico/issues/8299</w:t>
            </w:r>
            <w:r>
              <w:br w:type="textWrapping"/>
            </w:r>
            <w:r>
              <w:rPr>
                <w:rStyle w:val="48"/>
              </w:rPr>
              <w:t>t2: "CVE-2024-33522 patch: remove chmod +s from install script..."</w:t>
            </w:r>
            <w:r>
              <w:br w:type="textWrapping"/>
            </w:r>
            <w:r>
              <w:rPr>
                <w:rStyle w:val="48"/>
              </w:rPr>
              <w:t xml:space="preserve">    src: github.com/projectcalico/calico/commit/a3f1c2d</w:t>
            </w:r>
            <w:r>
              <w:br w:type="textWrapping"/>
            </w:r>
            <w:r>
              <w:rPr>
                <w:rStyle w:val="48"/>
              </w:rPr>
              <w:t xml:space="preserve">t3: </w:t>
            </w:r>
            <w:r>
              <w:rPr>
                <w:rStyle w:val="48"/>
                <w:rFonts w:hint="eastAsia"/>
              </w:rPr>
              <w:t>"节点加固：find</w:t>
            </w:r>
            <w:r>
              <w:rPr>
                <w:rStyle w:val="48"/>
              </w:rPr>
              <w:t xml:space="preserve"> /opt/cni/bin -perm -4000 </w:t>
            </w:r>
            <w:r>
              <w:rPr>
                <w:rStyle w:val="48"/>
                <w:rFonts w:hint="eastAsia"/>
              </w:rPr>
              <w:t>定期检查</w:t>
            </w:r>
            <w:r>
              <w:rPr>
                <w:rStyle w:val="48"/>
              </w:rPr>
              <w:t xml:space="preserve"> SUID </w:t>
            </w:r>
            <w:r>
              <w:rPr>
                <w:rStyle w:val="48"/>
                <w:rFonts w:hint="eastAsia"/>
              </w:rPr>
              <w:t>文件..."</w:t>
            </w:r>
            <w:r>
              <w:br w:type="textWrapping"/>
            </w:r>
            <w:r>
              <w:rPr>
                <w:rStyle w:val="48"/>
              </w:rPr>
              <w:t xml:space="preserve">    src: Calico_Security_Guide.md</w:t>
            </w:r>
          </w:p>
        </w:tc>
      </w:tr>
      <w:bookmarkEnd w:id="83"/>
    </w:tbl>
    <w:p w14:paraId="184FA7A9">
      <w:pPr>
        <w:pStyle w:val="23"/>
      </w:pPr>
      <w:r>
        <w:rPr>
          <w:rFonts w:hint="eastAsia"/>
        </w:rPr>
        <w:t>漏洞分析智能体结合</w:t>
      </w:r>
      <w:r>
        <w:t xml:space="preserve"> </w:t>
      </w:r>
      <m:oMath>
        <m:r>
          <m:rPr/>
          <m:t>c</m:t>
        </m:r>
      </m:oMath>
      <w:r>
        <w:t xml:space="preserve"> </w:t>
      </w:r>
      <w:r>
        <w:rPr>
          <w:rFonts w:hint="eastAsia"/>
        </w:rPr>
        <w:t>识别出三条主要威胁成因或攻击路径，其中直接根因是</w:t>
      </w:r>
      <w:r>
        <w:t xml:space="preserve"> SUID </w:t>
      </w:r>
      <w:r>
        <w:rPr>
          <w:rFonts w:hint="eastAsia"/>
        </w:rPr>
        <w:t>位权限滥用，针对</w:t>
      </w:r>
      <w:r>
        <w:t xml:space="preserve"> CNI </w:t>
      </w:r>
      <w:r>
        <w:rPr>
          <w:rFonts w:hint="eastAsia"/>
        </w:rPr>
        <w:t>目录可疑写入是潜在的横向攻击，而宿主机路径暴露则是可能转为持久化高风险。策略代码生成智能体针对各路径生成一个安全策略</w:t>
      </w:r>
      <w:r>
        <w:t xml:space="preserve"> </w:t>
      </w:r>
      <m:oMath>
        <m:sSub>
          <m:sSubPr/>
          <m:e>
            <m:r>
              <m:rPr/>
              <m:t>π</m:t>
            </m:r>
          </m:e>
          <m:sub>
            <m:r>
              <m:rPr/>
              <m:t>1</m:t>
            </m:r>
          </m:sub>
        </m:sSub>
      </m:oMath>
      <w:r>
        <w:rPr>
          <w:rFonts w:hint="eastAsia"/>
        </w:rPr>
        <w:t>，其中防护条目</w:t>
      </w:r>
      <w:r>
        <w:t xml:space="preserve"> </w:t>
      </w:r>
      <m:oMath>
        <m:sSub>
          <m:sSubPr/>
          <m:e>
            <m:r>
              <m:rPr/>
              <m:t>e</m:t>
            </m:r>
          </m:e>
          <m:sub>
            <m:r>
              <m:rPr/>
              <m:t>1</m:t>
            </m:r>
          </m:sub>
        </m:sSub>
      </m:oMath>
      <w:r>
        <w:t xml:space="preserve"> </w:t>
      </w:r>
      <w:r>
        <w:rPr>
          <w:rFonts w:hint="eastAsia"/>
        </w:rPr>
        <w:t>通过</w:t>
      </w:r>
      <w:r>
        <w:t xml:space="preserve"> DaemonSet </w:t>
      </w:r>
      <w:r>
        <w:rPr>
          <w:rFonts w:hint="eastAsia"/>
        </w:rPr>
        <w:t>批量移除</w:t>
      </w:r>
      <w:r>
        <w:t xml:space="preserve"> SUID </w:t>
      </w:r>
      <w:r>
        <w:rPr>
          <w:rFonts w:hint="eastAsia"/>
        </w:rPr>
        <w:t>位的配置，监控条目</w:t>
      </w:r>
      <w:r>
        <w:t xml:space="preserve"> </w:t>
      </w:r>
      <m:oMath>
        <m:sSub>
          <m:sSubPr/>
          <m:e>
            <m:r>
              <m:rPr/>
              <m:t>e</m:t>
            </m:r>
          </m:e>
          <m:sub>
            <m:r>
              <m:rPr/>
              <m:t>2</m:t>
            </m:r>
          </m:sub>
        </m:sSub>
      </m:oMath>
      <w:r>
        <w:t xml:space="preserve"> </w:t>
      </w:r>
      <w:r>
        <w:rPr>
          <w:rFonts w:hint="eastAsia"/>
        </w:rPr>
        <w:t>覆盖指定目录异常写入与可疑执行，防护条目</w:t>
      </w:r>
      <w:r>
        <w:t xml:space="preserve"> </w:t>
      </w:r>
      <m:oMath>
        <m:sSub>
          <m:sSubPr/>
          <m:e>
            <m:r>
              <m:rPr/>
              <m:t>e</m:t>
            </m:r>
          </m:e>
          <m:sub>
            <m:r>
              <m:rPr/>
              <m:t>3</m:t>
            </m:r>
          </m:sub>
        </m:sSub>
      </m:oMath>
      <w:r>
        <w:t xml:space="preserve"> </w:t>
      </w:r>
      <w:r>
        <w:rPr>
          <w:rFonts w:hint="eastAsia"/>
        </w:rPr>
        <w:t>限制普通工作负载挂载高风险宿主机目录。</w:t>
      </w:r>
    </w:p>
    <w:p w14:paraId="3CC5E569">
      <w:pPr>
        <w:pStyle w:val="3"/>
      </w:pPr>
      <w:r>
        <w:rPr>
          <w:rFonts w:hint="eastAsia"/>
        </w:rPr>
        <w:t>策略评审智能体从三个维度考察</w:t>
      </w:r>
      <w:r>
        <w:t xml:space="preserve"> </w:t>
      </w:r>
      <m:oMath>
        <m:sSub>
          <m:sSubPr/>
          <m:e>
            <m:r>
              <m:rPr/>
              <m:t>π</m:t>
            </m:r>
          </m:e>
          <m:sub>
            <m:r>
              <m:rPr/>
              <m:t>1</m:t>
            </m:r>
          </m:sub>
        </m:sSub>
      </m:oMath>
      <w:r>
        <w:rPr>
          <w:rFonts w:hint="eastAsia"/>
        </w:rPr>
        <w:t>，并输出一个简单的评审报告，报告指出</w:t>
      </w:r>
      <w:r>
        <w:t xml:space="preserve"> </w:t>
      </w:r>
      <m:oMath>
        <m:sSub>
          <m:sSubPr/>
          <m:e>
            <m:r>
              <m:rPr/>
              <m:t>e</m:t>
            </m:r>
          </m:e>
          <m:sub>
            <m:r>
              <m:rPr/>
              <m:t>1</m:t>
            </m:r>
          </m:sub>
        </m:sSub>
      </m:oMath>
      <w:r>
        <w:t xml:space="preserve"> </w:t>
      </w:r>
      <w:r>
        <w:rPr>
          <w:rFonts w:hint="eastAsia"/>
        </w:rPr>
        <w:t>的阻断作用直接但缺乏持续观测，</w:t>
      </w:r>
      <m:oMath>
        <m:sSub>
          <m:sSubPr/>
          <m:e>
            <m:r>
              <m:rPr/>
              <m:t>e</m:t>
            </m:r>
          </m:e>
          <m:sub>
            <m:r>
              <m:rPr/>
              <m:t>2</m:t>
            </m:r>
          </m:sub>
        </m:sSub>
      </m:oMath>
      <w:r>
        <w:t xml:space="preserve"> </w:t>
      </w:r>
      <w:r>
        <w:rPr>
          <w:rFonts w:hint="eastAsia"/>
        </w:rPr>
        <w:t>可补充运行时告警但不直接阻断攻击，</w:t>
      </w:r>
      <m:oMath>
        <m:sSub>
          <m:sSubPr/>
          <m:e>
            <m:r>
              <m:rPr/>
              <m:t>e</m:t>
            </m:r>
          </m:e>
          <m:sub>
            <m:r>
              <m:rPr/>
              <m:t>3</m:t>
            </m:r>
          </m:sub>
        </m:sSub>
      </m:oMath>
      <w:r>
        <w:t xml:space="preserve"> </w:t>
      </w:r>
      <w:r>
        <w:rPr>
          <w:rFonts w:hint="eastAsia"/>
        </w:rPr>
        <w:t>可收缩宿主机路径暴露面但需与前两项配合。策略优化智能体据此对其进行了进一步优化，最终的安全策略代码展示如图</w:t>
      </w:r>
      <w:r>
        <w:t> </w:t>
      </w:r>
      <w:r>
        <w:fldChar w:fldCharType="begin"/>
      </w:r>
      <w:r>
        <w:instrText xml:space="preserve"> HYPERLINK \l "fig:chap3-falco-kyverno" \h </w:instrText>
      </w:r>
      <w:r>
        <w:fldChar w:fldCharType="separate"/>
      </w:r>
      <w:r>
        <w:rPr>
          <w:rStyle w:val="20"/>
        </w:rPr>
        <w:t>3.13</w:t>
      </w:r>
      <w:r>
        <w:rPr>
          <w:rStyle w:val="20"/>
        </w:rPr>
        <w:fldChar w:fldCharType="end"/>
      </w:r>
      <w:r>
        <w:t>。</w:t>
      </w:r>
    </w:p>
    <w:tbl>
      <w:tblPr>
        <w:tblStyle w:val="18"/>
        <w:tblW w:w="0" w:type="auto"/>
        <w:jc w:val="center"/>
        <w:tblLayout w:type="autofit"/>
        <w:tblCellMar>
          <w:top w:w="0" w:type="dxa"/>
          <w:left w:w="10" w:type="dxa"/>
          <w:bottom w:w="0" w:type="dxa"/>
          <w:right w:w="10" w:type="dxa"/>
        </w:tblCellMar>
      </w:tblPr>
      <w:tblGrid>
        <w:gridCol w:w="8634"/>
        <w:gridCol w:w="26"/>
      </w:tblGrid>
      <w:tr w14:paraId="40110FC2">
        <w:tblPrEx>
          <w:tblCellMar>
            <w:top w:w="0" w:type="dxa"/>
            <w:left w:w="10" w:type="dxa"/>
            <w:bottom w:w="0" w:type="dxa"/>
            <w:right w:w="10" w:type="dxa"/>
          </w:tblCellMar>
        </w:tblPrEx>
        <w:trPr>
          <w:jc w:val="center"/>
        </w:trPr>
        <w:tc>
          <w:p w14:paraId="46F66D7D">
            <w:pPr>
              <w:pStyle w:val="49"/>
              <w:jc w:val="center"/>
            </w:pPr>
            <w:bookmarkStart w:id="84" w:name="fig:chap3-falco-kyverno"/>
            <w:r>
              <w:rPr>
                <w:rStyle w:val="48"/>
              </w:rPr>
              <w:t xml:space="preserve"># [e1 </w:t>
            </w:r>
            <w:r>
              <w:rPr>
                <w:rStyle w:val="48"/>
                <w:rFonts w:hint="eastAsia"/>
              </w:rPr>
              <w:t>防护]</w:t>
            </w:r>
            <w:r>
              <w:rPr>
                <w:rStyle w:val="48"/>
              </w:rPr>
              <w:t xml:space="preserve"> DaemonSet: </w:t>
            </w:r>
            <w:r>
              <w:rPr>
                <w:rStyle w:val="48"/>
                <w:rFonts w:hint="eastAsia"/>
              </w:rPr>
              <w:t>在全部节点批量移除</w:t>
            </w:r>
            <w:r>
              <w:rPr>
                <w:rStyle w:val="48"/>
              </w:rPr>
              <w:t xml:space="preserve"> /opt/cni/bin </w:t>
            </w:r>
            <w:r>
              <w:rPr>
                <w:rStyle w:val="48"/>
                <w:rFonts w:hint="eastAsia"/>
              </w:rPr>
              <w:t>下的</w:t>
            </w:r>
            <w:r>
              <w:rPr>
                <w:rStyle w:val="48"/>
              </w:rPr>
              <w:t xml:space="preserve"> SUID </w:t>
            </w:r>
            <w:r>
              <w:rPr>
                <w:rStyle w:val="48"/>
                <w:rFonts w:hint="eastAsia"/>
              </w:rPr>
              <w:t>位</w:t>
            </w:r>
            <w:r>
              <w:br w:type="textWrapping"/>
            </w:r>
            <w:r>
              <w:rPr>
                <w:rStyle w:val="48"/>
              </w:rPr>
              <w:t>apiVersion: apps/v1</w:t>
            </w:r>
            <w:r>
              <w:br w:type="textWrapping"/>
            </w:r>
            <w:r>
              <w:rPr>
                <w:rStyle w:val="48"/>
              </w:rPr>
              <w:t>kind: DaemonSet</w:t>
            </w:r>
            <w:r>
              <w:br w:type="textWrapping"/>
            </w:r>
            <w:r>
              <w:rPr>
                <w:rStyle w:val="48"/>
              </w:rPr>
              <w:t>metadata: {name: calico-cni-suid-remediate, namespace: kube-system}</w:t>
            </w:r>
            <w:r>
              <w:br w:type="textWrapping"/>
            </w:r>
            <w:r>
              <w:rPr>
                <w:rStyle w:val="48"/>
              </w:rPr>
              <w:t>spec:</w:t>
            </w:r>
            <w:r>
              <w:br w:type="textWrapping"/>
            </w:r>
            <w:r>
              <w:rPr>
                <w:rStyle w:val="48"/>
              </w:rPr>
              <w:t xml:space="preserve">  template:</w:t>
            </w:r>
            <w:r>
              <w:br w:type="textWrapping"/>
            </w:r>
            <w:r>
              <w:rPr>
                <w:rStyle w:val="48"/>
              </w:rPr>
              <w:t xml:space="preserve">    spec:</w:t>
            </w:r>
            <w:r>
              <w:br w:type="textWrapping"/>
            </w:r>
            <w:r>
              <w:rPr>
                <w:rStyle w:val="48"/>
              </w:rPr>
              <w:t xml:space="preserve">      hostPID: true</w:t>
            </w:r>
            <w:r>
              <w:br w:type="textWrapping"/>
            </w:r>
            <w:r>
              <w:rPr>
                <w:rStyle w:val="48"/>
              </w:rPr>
              <w:t xml:space="preserve">      tolerations: [{operator: Exists}]</w:t>
            </w:r>
            <w:r>
              <w:br w:type="textWrapping"/>
            </w:r>
            <w:r>
              <w:rPr>
                <w:rStyle w:val="48"/>
              </w:rPr>
              <w:t xml:space="preserve">      containers:</w:t>
            </w:r>
            <w:r>
              <w:br w:type="textWrapping"/>
            </w:r>
            <w:r>
              <w:rPr>
                <w:rStyle w:val="48"/>
              </w:rPr>
              <w:t xml:space="preserve">      - name: fixer</w:t>
            </w:r>
            <w:r>
              <w:br w:type="textWrapping"/>
            </w:r>
            <w:r>
              <w:rPr>
                <w:rStyle w:val="48"/>
              </w:rPr>
              <w:t xml:space="preserve">        image: busybox:1.36</w:t>
            </w:r>
            <w:r>
              <w:br w:type="textWrapping"/>
            </w:r>
            <w:r>
              <w:rPr>
                <w:rStyle w:val="48"/>
              </w:rPr>
              <w:t xml:space="preserve">        securityContext: {privileged: true}</w:t>
            </w:r>
            <w:r>
              <w:br w:type="textWrapping"/>
            </w:r>
            <w:r>
              <w:rPr>
                <w:rStyle w:val="48"/>
              </w:rPr>
              <w:t xml:space="preserve">        command: ["/bin/sh","-c"]</w:t>
            </w:r>
            <w:r>
              <w:br w:type="textWrapping"/>
            </w:r>
            <w:r>
              <w:rPr>
                <w:rStyle w:val="48"/>
              </w:rPr>
              <w:t xml:space="preserve">        args: ["find /host/opt/cni/bin -maxdepth 1 -perm -4000 -exec chmod u-s {} \\;"]</w:t>
            </w:r>
            <w:r>
              <w:br w:type="textWrapping"/>
            </w:r>
            <w:r>
              <w:rPr>
                <w:rStyle w:val="48"/>
              </w:rPr>
              <w:t xml:space="preserve">        volumeMounts: [{name: host-cni, mountPath: /host/opt/cni/bin}]</w:t>
            </w:r>
            <w:r>
              <w:br w:type="textWrapping"/>
            </w:r>
            <w:r>
              <w:rPr>
                <w:rStyle w:val="48"/>
              </w:rPr>
              <w:t xml:space="preserve">      volumes: [{name: host-cni, hostPath: {path: /opt/cni/bin}}]</w:t>
            </w:r>
            <w:r>
              <w:br w:type="textWrapping"/>
            </w:r>
            <w:r>
              <w:br w:type="textWrapping"/>
            </w:r>
            <w:r>
              <w:rPr>
                <w:rStyle w:val="48"/>
              </w:rPr>
              <w:t xml:space="preserve"># [e2 </w:t>
            </w:r>
            <w:r>
              <w:rPr>
                <w:rStyle w:val="48"/>
                <w:rFonts w:hint="eastAsia"/>
              </w:rPr>
              <w:t>监控]</w:t>
            </w:r>
            <w:r>
              <w:rPr>
                <w:rStyle w:val="48"/>
              </w:rPr>
              <w:t xml:space="preserve"> Falco </w:t>
            </w:r>
            <w:r>
              <w:rPr>
                <w:rStyle w:val="48"/>
                <w:rFonts w:hint="eastAsia"/>
              </w:rPr>
              <w:t>规则:</w:t>
            </w:r>
            <w:r>
              <w:rPr>
                <w:rStyle w:val="48"/>
              </w:rPr>
              <w:t xml:space="preserve"> </w:t>
            </w:r>
            <w:r>
              <w:rPr>
                <w:rStyle w:val="48"/>
                <w:rFonts w:hint="eastAsia"/>
              </w:rPr>
              <w:t>检测对</w:t>
            </w:r>
            <w:r>
              <w:rPr>
                <w:rStyle w:val="48"/>
              </w:rPr>
              <w:t xml:space="preserve"> /opt/cni/bin </w:t>
            </w:r>
            <w:r>
              <w:rPr>
                <w:rStyle w:val="48"/>
                <w:rFonts w:hint="eastAsia"/>
              </w:rPr>
              <w:t>的异常写入</w:t>
            </w:r>
            <w:r>
              <w:br w:type="textWrapping"/>
            </w:r>
            <w:r>
              <w:rPr>
                <w:rStyle w:val="48"/>
              </w:rPr>
              <w:t>- rule: Write under CNI bin directory</w:t>
            </w:r>
            <w:r>
              <w:br w:type="textWrapping"/>
            </w:r>
            <w:r>
              <w:rPr>
                <w:rStyle w:val="48"/>
              </w:rPr>
              <w:t xml:space="preserve">  condition: open_write and fd.name startswith /opt/cni/bin</w:t>
            </w:r>
            <w:r>
              <w:br w:type="textWrapping"/>
            </w:r>
            <w:r>
              <w:rPr>
                <w:rStyle w:val="48"/>
              </w:rPr>
              <w:t xml:space="preserve">  output: "CNI binary write (user=%user.name file=%fd.name proc=%proc.cmdline)"</w:t>
            </w:r>
            <w:r>
              <w:br w:type="textWrapping"/>
            </w:r>
            <w:r>
              <w:rPr>
                <w:rStyle w:val="48"/>
              </w:rPr>
              <w:t xml:space="preserve">  priority: WARNING</w:t>
            </w:r>
            <w:r>
              <w:br w:type="textWrapping"/>
            </w:r>
            <w:r>
              <w:br w:type="textWrapping"/>
            </w:r>
            <w:r>
              <w:rPr>
                <w:rStyle w:val="48"/>
              </w:rPr>
              <w:t xml:space="preserve"># [e3 </w:t>
            </w:r>
            <w:r>
              <w:rPr>
                <w:rStyle w:val="48"/>
                <w:rFonts w:hint="eastAsia"/>
              </w:rPr>
              <w:t>防护]</w:t>
            </w:r>
            <w:r>
              <w:rPr>
                <w:rStyle w:val="48"/>
              </w:rPr>
              <w:t xml:space="preserve"> Kyverno: </w:t>
            </w:r>
            <w:r>
              <w:rPr>
                <w:rStyle w:val="48"/>
                <w:rFonts w:hint="eastAsia"/>
              </w:rPr>
              <w:t>限制普通工作负载挂载</w:t>
            </w:r>
            <w:r>
              <w:rPr>
                <w:rStyle w:val="48"/>
              </w:rPr>
              <w:t xml:space="preserve"> CNI </w:t>
            </w:r>
            <w:r>
              <w:rPr>
                <w:rStyle w:val="48"/>
                <w:rFonts w:hint="eastAsia"/>
              </w:rPr>
              <w:t>宿主机路径</w:t>
            </w:r>
            <w:r>
              <w:br w:type="textWrapping"/>
            </w:r>
            <w:r>
              <w:rPr>
                <w:rStyle w:val="48"/>
              </w:rPr>
              <w:t>apiVersion: kyverno.io/v1</w:t>
            </w:r>
            <w:r>
              <w:br w:type="textWrapping"/>
            </w:r>
            <w:r>
              <w:rPr>
                <w:rStyle w:val="48"/>
              </w:rPr>
              <w:t>kind: ClusterPolicy</w:t>
            </w:r>
            <w:r>
              <w:br w:type="textWrapping"/>
            </w:r>
            <w:r>
              <w:rPr>
                <w:rStyle w:val="48"/>
              </w:rPr>
              <w:t>metadata: {name: restrict-cni-bin-hostpath}</w:t>
            </w:r>
            <w:r>
              <w:br w:type="textWrapping"/>
            </w:r>
            <w:r>
              <w:rPr>
                <w:rStyle w:val="48"/>
              </w:rPr>
              <w:t>spec:</w:t>
            </w:r>
            <w:r>
              <w:br w:type="textWrapping"/>
            </w:r>
            <w:r>
              <w:rPr>
                <w:rStyle w:val="48"/>
              </w:rPr>
              <w:t xml:space="preserve">  validationFailureAction: Audit</w:t>
            </w:r>
            <w:r>
              <w:br w:type="textWrapping"/>
            </w:r>
            <w:r>
              <w:rPr>
                <w:rStyle w:val="48"/>
              </w:rPr>
              <w:t xml:space="preserve">  rules:</w:t>
            </w:r>
            <w:r>
              <w:br w:type="textWrapping"/>
            </w:r>
            <w:r>
              <w:rPr>
                <w:rStyle w:val="48"/>
              </w:rPr>
              <w:t xml:space="preserve">  - name: forbid-cni-bin-mount</w:t>
            </w:r>
            <w:r>
              <w:br w:type="textWrapping"/>
            </w:r>
            <w:r>
              <w:rPr>
                <w:rStyle w:val="48"/>
              </w:rPr>
              <w:t xml:space="preserve">    match: {any: [{resources: {kinds: ["Pod"]}}]}</w:t>
            </w:r>
            <w:r>
              <w:br w:type="textWrapping"/>
            </w:r>
            <w:r>
              <w:rPr>
                <w:rStyle w:val="48"/>
              </w:rPr>
              <w:t xml:space="preserve">    exclude: {any: [{resources: {namespaces: ["kube-system","calico-system"]}}]}</w:t>
            </w:r>
          </w:p>
        </w:tc>
        <w:tc>
          <w:p w14:paraId="1D2A61ED">
            <w:pPr>
              <w:jc w:val="center"/>
            </w:pPr>
            <w:bookmarkStart w:id="85" w:name="fig:chap3-falco-kyverno"/>
            <w:bookmarkEnd w:id="85"/>
          </w:p>
        </w:tc>
      </w:tr>
      <w:bookmarkEnd w:id="84"/>
    </w:tbl>
    <w:p w14:paraId="7E5D24DA">
      <w:pPr>
        <w:pStyle w:val="3"/>
      </w:pPr>
      <w:r>
        <w:rPr>
          <w:rFonts w:hint="eastAsia"/>
          <w:b/>
          <w:bCs/>
        </w:rPr>
        <w:t>(3)安全策略评审</w:t>
      </w:r>
    </w:p>
    <w:p w14:paraId="2C08824F">
      <w:pPr>
        <w:pStyle w:val="3"/>
      </w:pPr>
      <w:r>
        <w:rPr>
          <w:rFonts w:hint="eastAsia"/>
        </w:rPr>
        <w:t>多个评审模型在有效性</w:t>
      </w:r>
      <w:r>
        <w:t xml:space="preserve"> </w:t>
      </w:r>
      <m:oMath>
        <m:r>
          <m:rPr/>
          <m:t>E</m:t>
        </m:r>
      </m:oMath>
      <w:r>
        <w:rPr>
          <w:rFonts w:hint="eastAsia"/>
        </w:rPr>
        <w:t>、无干扰性</w:t>
      </w:r>
      <w:r>
        <w:t xml:space="preserve"> </w:t>
      </w:r>
      <m:oMath>
        <m:r>
          <m:rPr/>
          <m:t>I</m:t>
        </m:r>
      </m:oMath>
      <w:r>
        <w:rPr>
          <w:rFonts w:hint="eastAsia"/>
        </w:rPr>
        <w:t>、可部署性</w:t>
      </w:r>
      <w:r>
        <w:t xml:space="preserve"> </w:t>
      </w:r>
      <m:oMath>
        <m:r>
          <m:rPr/>
          <m:t>D</m:t>
        </m:r>
      </m:oMath>
      <w:r>
        <w:t xml:space="preserve"> </w:t>
      </w:r>
      <w:r>
        <w:rPr>
          <w:rFonts w:hint="eastAsia"/>
        </w:rPr>
        <w:t>三维上对</w:t>
      </w:r>
      <w:r>
        <w:t xml:space="preserve"> </w:t>
      </w:r>
      <m:oMath>
        <m:sSub>
          <m:sSubPr/>
          <m:e>
            <m:r>
              <m:rPr>
                <m:sty m:val="p"/>
              </m:rPr>
              <m:t>Π</m:t>
            </m:r>
          </m:e>
          <m:sub>
            <m:r>
              <m:rPr/>
              <m:t>v</m:t>
            </m:r>
          </m:sub>
        </m:sSub>
      </m:oMath>
      <w:r>
        <w:t xml:space="preserve"> </w:t>
      </w:r>
      <w:r>
        <w:rPr>
          <w:rFonts w:hint="eastAsia"/>
        </w:rPr>
        <w:t>独立排序，按式</w:t>
      </w:r>
      <w:r>
        <w:t> </w:t>
      </w:r>
      <w:r>
        <w:fldChar w:fldCharType="begin"/>
      </w:r>
      <w:r>
        <w:instrText xml:space="preserve"> HYPERLINK \l "eq:consensus-score" \h </w:instrText>
      </w:r>
      <w:r>
        <w:fldChar w:fldCharType="separate"/>
      </w:r>
      <w:r>
        <w:rPr>
          <w:rStyle w:val="20"/>
        </w:rPr>
        <w:t>[eq:consensus-score]</w:t>
      </w:r>
      <w:r>
        <w:rPr>
          <w:rStyle w:val="20"/>
        </w:rPr>
        <w:fldChar w:fldCharType="end"/>
      </w:r>
      <w:r>
        <w:t xml:space="preserve"> </w:t>
      </w:r>
      <w:r>
        <w:rPr>
          <w:rFonts w:hint="eastAsia"/>
        </w:rPr>
        <w:t>聚合得各策略的三维质量向量</w:t>
      </w:r>
      <w:r>
        <w:t xml:space="preserve"> </w:t>
      </w:r>
      <m:oMath>
        <m:r>
          <m:rPr/>
          <m:t>q</m:t>
        </m:r>
        <m:r>
          <m:rPr>
            <m:sty m:val="p"/>
          </m:rPr>
          <m:t>(</m:t>
        </m:r>
        <m:r>
          <m:rPr/>
          <m:t>π</m:t>
        </m:r>
        <m:r>
          <m:rPr>
            <m:sty m:val="p"/>
          </m:rPr>
          <m:t>)</m:t>
        </m:r>
      </m:oMath>
      <w:r>
        <w:rPr>
          <w:rFonts w:hint="eastAsia"/>
        </w:rPr>
        <w:t>，再按式</w:t>
      </w:r>
      <w:r>
        <w:t> </w:t>
      </w:r>
      <w:r>
        <w:fldChar w:fldCharType="begin"/>
      </w:r>
      <w:r>
        <w:instrText xml:space="preserve"> HYPERLINK \l "eq:quality-func" \h </w:instrText>
      </w:r>
      <w:r>
        <w:fldChar w:fldCharType="separate"/>
      </w:r>
      <w:r>
        <w:rPr>
          <w:rStyle w:val="20"/>
        </w:rPr>
        <w:t>[eq:quality-func]</w:t>
      </w:r>
      <w:r>
        <w:rPr>
          <w:rStyle w:val="20"/>
        </w:rPr>
        <w:fldChar w:fldCharType="end"/>
      </w:r>
      <w:r>
        <w:t xml:space="preserve"> </w:t>
      </w:r>
      <w:r>
        <w:rPr>
          <w:rFonts w:hint="eastAsia"/>
        </w:rPr>
        <w:t>以默认权重(</w:t>
      </w:r>
      <m:oMath>
        <m:sSub>
          <m:sSubPr/>
          <m:e>
            <m:r>
              <m:rPr/>
              <m:t>α</m:t>
            </m:r>
          </m:e>
          <m:sub>
            <m:r>
              <m:rPr/>
              <m:t>E</m:t>
            </m:r>
          </m:sub>
        </m:sSub>
        <m:r>
          <m:rPr>
            <m:sty m:val="p"/>
          </m:rPr>
          <m:t>=</m:t>
        </m:r>
        <m:r>
          <m:rPr/>
          <m:t>0.5</m:t>
        </m:r>
        <m:r>
          <m:rPr>
            <m:sty m:val="p"/>
          </m:rPr>
          <m:t>,</m:t>
        </m:r>
        <m:sSub>
          <m:sSubPr/>
          <m:e>
            <m:r>
              <m:rPr/>
              <m:t>α</m:t>
            </m:r>
          </m:e>
          <m:sub>
            <m:r>
              <m:rPr/>
              <m:t>I</m:t>
            </m:r>
          </m:sub>
        </m:sSub>
        <m:r>
          <m:rPr>
            <m:sty m:val="p"/>
          </m:rPr>
          <m:t>=</m:t>
        </m:r>
        <m:r>
          <m:rPr/>
          <m:t>0.3</m:t>
        </m:r>
        <m:r>
          <m:rPr>
            <m:sty m:val="p"/>
          </m:rPr>
          <m:t>,</m:t>
        </m:r>
        <m:sSub>
          <m:sSubPr/>
          <m:e>
            <m:r>
              <m:rPr/>
              <m:t>α</m:t>
            </m:r>
          </m:e>
          <m:sub>
            <m:r>
              <m:rPr/>
              <m:t>D</m:t>
            </m:r>
          </m:sub>
        </m:sSub>
        <m:r>
          <m:rPr>
            <m:sty m:val="p"/>
          </m:rPr>
          <m:t>=</m:t>
        </m:r>
        <m:r>
          <m:rPr/>
          <m:t>0.2</m:t>
        </m:r>
      </m:oMath>
      <w:r>
        <w:rPr>
          <w:rFonts w:hint="eastAsia"/>
        </w:rPr>
        <w:t>)计算</w:t>
      </w:r>
      <w:r>
        <w:t xml:space="preserve"> </w:t>
      </w:r>
      <m:oMath>
        <m:r>
          <m:rPr/>
          <m:t>Q</m:t>
        </m:r>
        <m:r>
          <m:rPr>
            <m:sty m:val="p"/>
          </m:rPr>
          <m:t>(</m:t>
        </m:r>
        <m:r>
          <m:rPr/>
          <m:t>π</m:t>
        </m:r>
        <m:r>
          <m:rPr>
            <m:sty m:val="p"/>
          </m:rPr>
          <m:t>)</m:t>
        </m:r>
      </m:oMath>
      <w:r>
        <w:rPr>
          <w:rFonts w:hint="eastAsia"/>
        </w:rPr>
        <w:t>。综合排名较优的</w:t>
      </w:r>
      <w:r>
        <w:t xml:space="preserve"> </w:t>
      </w:r>
      <m:oMath>
        <m:sSub>
          <m:sSubPr/>
          <m:e>
            <m:r>
              <m:rPr/>
              <m:t>π</m:t>
            </m:r>
          </m:e>
          <m:sub>
            <m:r>
              <m:rPr/>
              <m:t>1</m:t>
            </m:r>
          </m:sub>
        </m:sSub>
      </m:oMath>
      <w:r>
        <w:rPr>
          <w:rFonts w:hint="eastAsia"/>
        </w:rPr>
        <w:t>，被选为最终交付策略</w:t>
      </w:r>
      <w:r>
        <w:t xml:space="preserve"> </w:t>
      </w:r>
      <m:oMath>
        <m:sSup>
          <m:sSupPr/>
          <m:e>
            <m:r>
              <m:rPr/>
              <m:t>π</m:t>
            </m:r>
          </m:e>
          <m:sup>
            <m:r>
              <m:rPr>
                <m:sty m:val="p"/>
              </m:rPr>
              <m:t>⋆</m:t>
            </m:r>
          </m:sup>
        </m:sSup>
      </m:oMath>
      <w:r>
        <w:t>。</w:t>
      </w:r>
    </w:p>
    <w:bookmarkEnd w:id="82"/>
    <w:p w14:paraId="0E3D1563">
      <w:pPr>
        <w:pStyle w:val="4"/>
      </w:pPr>
      <w:bookmarkStart w:id="86" w:name="小结-1"/>
      <w:r>
        <w:rPr>
          <w:rFonts w:hint="eastAsia"/>
        </w:rPr>
        <w:t>小结</w:t>
      </w:r>
    </w:p>
    <w:p w14:paraId="38A1FEE9">
      <w:pPr>
        <w:pStyle w:val="23"/>
      </w:pPr>
      <w:r>
        <w:rPr>
          <w:rFonts w:hint="eastAsia"/>
        </w:rPr>
        <w:t>本章提出了一种面向云原生权限提升漏洞的智能化防控方法。通过构建多源证据驱动的安全知识库，然后基于多智能体协同机制，将分散信息组织为可检索的安全上下文，并实现从漏洞语义到防控策略的自动化生成与优化；通过基于排序的质量评价方法，对候选策略进行有效筛选和评估。</w:t>
      </w:r>
    </w:p>
    <w:bookmarkEnd w:id="34"/>
    <w:bookmarkEnd w:id="86"/>
    <w:p w14:paraId="612F61ED">
      <w:pPr>
        <w:pStyle w:val="2"/>
      </w:pPr>
      <w:bookmarkStart w:id="87" w:name="chap:system"/>
      <w:r>
        <w:rPr>
          <w:rFonts w:hint="eastAsia"/>
        </w:rPr>
        <w:t>KPEDefense支持工具</w:t>
      </w:r>
    </w:p>
    <w:p w14:paraId="69548D1E">
      <w:pPr>
        <w:pStyle w:val="23"/>
      </w:pPr>
      <w:r>
        <w:rPr>
          <w:rFonts w:hint="eastAsia"/>
        </w:rPr>
        <w:t>本章讨论</w:t>
      </w:r>
      <w:r>
        <w:t xml:space="preserve"> </w:t>
      </w:r>
      <w:r>
        <w:rPr>
          <w:rFonts w:hint="eastAsia"/>
        </w:rPr>
        <w:t>KPEDefense方法支持工具的设计与实现，从需求分析、总体设计和详细设计三个层面展开说明。</w:t>
      </w:r>
    </w:p>
    <w:p w14:paraId="32FD2CE3">
      <w:pPr>
        <w:pStyle w:val="4"/>
      </w:pPr>
      <w:bookmarkStart w:id="88" w:name="需求分析"/>
      <w:r>
        <w:rPr>
          <w:rFonts w:hint="eastAsia"/>
        </w:rPr>
        <w:t>需求分析</w:t>
      </w:r>
    </w:p>
    <w:p w14:paraId="178D795C">
      <w:pPr>
        <w:pStyle w:val="23"/>
      </w:pPr>
      <w:r>
        <w:t xml:space="preserve">KPEDefense </w:t>
      </w:r>
      <w:r>
        <w:rPr>
          <w:rFonts w:hint="eastAsia"/>
        </w:rPr>
        <w:t>系统围绕</w:t>
      </w:r>
      <w:r>
        <w:rPr>
          <w:rFonts w:hint="eastAsia"/>
          <w:b/>
          <w:bCs/>
        </w:rPr>
        <w:t>安全工程师</w:t>
      </w:r>
      <w:r>
        <w:rPr>
          <w:rFonts w:hint="eastAsia"/>
        </w:rPr>
        <w:t>与</w:t>
      </w:r>
      <w:r>
        <w:rPr>
          <w:rFonts w:hint="eastAsia"/>
          <w:b/>
          <w:bCs/>
        </w:rPr>
        <w:t>专家评审员</w:t>
      </w:r>
      <w:r>
        <w:rPr>
          <w:rFonts w:hint="eastAsia"/>
        </w:rPr>
        <w:t>两类角色组织核心用例，见图</w:t>
      </w:r>
      <w:r>
        <w:t> </w:t>
      </w:r>
      <w:r>
        <w:fldChar w:fldCharType="begin"/>
      </w:r>
      <w:r>
        <w:instrText xml:space="preserve"> HYPERLINK \l "fig:role_use_case" \h </w:instrText>
      </w:r>
      <w:r>
        <w:fldChar w:fldCharType="separate"/>
      </w:r>
      <w:r>
        <w:rPr>
          <w:rStyle w:val="20"/>
        </w:rPr>
        <w:t>4.1</w:t>
      </w:r>
      <w:r>
        <w:rPr>
          <w:rStyle w:val="20"/>
        </w:rPr>
        <w:fldChar w:fldCharType="end"/>
      </w:r>
      <w:r>
        <w:rPr>
          <w:rFonts w:hint="eastAsia"/>
        </w:rPr>
        <w:t>。安全工程师负责选择安全策略生成与部署；专家评审员负责对同类型候选策略进行三维质量评审与修订。</w:t>
      </w:r>
    </w:p>
    <w:tbl>
      <w:tblPr>
        <w:tblStyle w:val="18"/>
        <w:tblW w:w="0" w:type="auto"/>
        <w:jc w:val="center"/>
        <w:tblLayout w:type="autofit"/>
        <w:tblCellMar>
          <w:top w:w="0" w:type="dxa"/>
          <w:left w:w="10" w:type="dxa"/>
          <w:bottom w:w="0" w:type="dxa"/>
          <w:right w:w="10" w:type="dxa"/>
        </w:tblCellMar>
      </w:tblPr>
      <w:tblGrid>
        <w:gridCol w:w="6740"/>
      </w:tblGrid>
      <w:tr w14:paraId="60E5E37D">
        <w:tblPrEx>
          <w:tblCellMar>
            <w:top w:w="0" w:type="dxa"/>
            <w:left w:w="10" w:type="dxa"/>
            <w:bottom w:w="0" w:type="dxa"/>
            <w:right w:w="10" w:type="dxa"/>
          </w:tblCellMar>
        </w:tblPrEx>
        <w:trPr>
          <w:jc w:val="center"/>
        </w:trPr>
        <w:tc>
          <w:p w14:paraId="09D9FEE2">
            <w:pPr>
              <w:jc w:val="center"/>
            </w:pPr>
            <w:bookmarkStart w:id="89" w:name="fig:role_use_case"/>
            <w:r>
              <w:drawing>
                <wp:inline distT="0" distB="0" distL="114300" distR="114300">
                  <wp:extent cx="4267200" cy="2834005"/>
                  <wp:effectExtent l="0" t="0" r="0" b="0"/>
                  <wp:docPr id="13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image"/>
                          <pic:cNvPicPr>
                            <a:picLocks noChangeAspect="1" noChangeArrowheads="1"/>
                          </pic:cNvPicPr>
                        </pic:nvPicPr>
                        <pic:blipFill>
                          <a:blip r:embed="rId15"/>
                          <a:stretch>
                            <a:fillRect/>
                          </a:stretch>
                        </pic:blipFill>
                        <pic:spPr>
                          <a:xfrm>
                            <a:off x="0" y="0"/>
                            <a:ext cx="4267200" cy="2834321"/>
                          </a:xfrm>
                          <a:prstGeom prst="rect">
                            <a:avLst/>
                          </a:prstGeom>
                          <a:noFill/>
                          <a:ln w="9525">
                            <a:noFill/>
                          </a:ln>
                        </pic:spPr>
                      </pic:pic>
                    </a:graphicData>
                  </a:graphic>
                </wp:inline>
              </w:drawing>
            </w:r>
            <w:r>
              <w:t xml:space="preserve"> </w:t>
            </w:r>
            <w:bookmarkStart w:id="90" w:name="fig:role_use_case"/>
            <w:bookmarkEnd w:id="90"/>
          </w:p>
        </w:tc>
      </w:tr>
      <w:bookmarkEnd w:id="89"/>
    </w:tbl>
    <w:p w14:paraId="2BD04168">
      <w:pPr>
        <w:pStyle w:val="3"/>
      </w:pPr>
      <w:r>
        <w:t xml:space="preserve">(1) </w:t>
      </w:r>
      <w:r>
        <w:rPr>
          <w:rFonts w:hint="eastAsia"/>
          <w:b/>
          <w:bCs/>
        </w:rPr>
        <w:t>知识库管理</w:t>
      </w:r>
      <w:r>
        <w:rPr>
          <w:rFonts w:hint="eastAsia"/>
        </w:rPr>
        <w:t>：支持自动化构建向量化数据库，为后续构建安全上下文提供可追溯数据。知识库管理两个子用例具体描述如下：</w:t>
      </w:r>
    </w:p>
    <w:p w14:paraId="3A1E76BC">
      <w:pPr>
        <w:pStyle w:val="3"/>
      </w:pPr>
      <w:r>
        <w:rPr>
          <w:rFonts w:hint="eastAsia"/>
        </w:rPr>
        <w:t>1)开源信息抓取：从开源代码仓库自动抓取漏洞关联的代码变更、提交记录与问题讨论，支持CVE条目与证据片段的手动或批量导入。</w:t>
      </w:r>
    </w:p>
    <w:p w14:paraId="671357E2">
      <w:pPr>
        <w:pStyle w:val="3"/>
      </w:pPr>
      <w:r>
        <w:rPr>
          <w:rFonts w:hint="eastAsia"/>
        </w:rPr>
        <w:t>2)向量数据构建：提供基于关键词与语义的CVE及证据检索功能，并支持向量化知识库的增量更新与管理。</w:t>
      </w:r>
    </w:p>
    <w:p w14:paraId="67FA8410">
      <w:pPr>
        <w:pStyle w:val="3"/>
      </w:pPr>
      <w:r>
        <w:t xml:space="preserve">(2) </w:t>
      </w:r>
      <w:r>
        <w:rPr>
          <w:rFonts w:hint="eastAsia"/>
          <w:b/>
          <w:bCs/>
        </w:rPr>
        <w:t>智能体调度</w:t>
      </w:r>
      <w:r>
        <w:rPr>
          <w:rFonts w:hint="eastAsia"/>
        </w:rPr>
        <w:t>：围绕漏洞实例调度多智能体完成安全上下文构建、漏洞分析与候选安全策略生成，并将结果交由后续评估与部署模块处理。该能力包括两个子用例：</w:t>
      </w:r>
    </w:p>
    <w:p w14:paraId="16BCE710">
      <w:pPr>
        <w:pStyle w:val="3"/>
      </w:pPr>
      <w:r>
        <w:rPr>
          <w:rFonts w:hint="eastAsia"/>
        </w:rPr>
        <w:t>1)候选安全策略生成：按工作流依次调用安全知识、漏洞分析、策略生成与策略优化智能体，输出候选安全策略集合。</w:t>
      </w:r>
    </w:p>
    <w:p w14:paraId="554659C2">
      <w:pPr>
        <w:pStyle w:val="3"/>
      </w:pPr>
      <w:r>
        <w:rPr>
          <w:rFonts w:hint="eastAsia"/>
        </w:rPr>
        <w:t>2)智能体会话管理：为每次任务建立独立会话，维护模型配置、中间结果与任务状态。</w:t>
      </w:r>
    </w:p>
    <w:p w14:paraId="3D7B07C7">
      <w:pPr>
        <w:pStyle w:val="3"/>
      </w:pPr>
      <w:r>
        <w:t xml:space="preserve">(3) </w:t>
      </w:r>
      <w:r>
        <w:rPr>
          <w:rFonts w:hint="eastAsia"/>
          <w:b/>
          <w:bCs/>
        </w:rPr>
        <w:t>质量评审</w:t>
      </w:r>
      <w:r>
        <w:rPr>
          <w:rFonts w:hint="eastAsia"/>
        </w:rPr>
        <w:t>：对专家人工评审意见进行统计，对同类型候选进行排序比较，并形成可审计的确认结果；同时支持多源大模型的排名式静态评估方案。具体用例如下：</w:t>
      </w:r>
    </w:p>
    <w:p w14:paraId="45EE0336">
      <w:pPr>
        <w:pStyle w:val="3"/>
      </w:pPr>
      <w:r>
        <w:rPr>
          <w:rFonts w:hint="eastAsia"/>
        </w:rPr>
        <w:t>1)人工评审：由专家评审员针对候选策略在有效性、无干扰性和可部署性三个维度进行排序评分与意见提交。</w:t>
      </w:r>
    </w:p>
    <w:p w14:paraId="0352BB55">
      <w:pPr>
        <w:pStyle w:val="3"/>
      </w:pPr>
      <w:r>
        <w:rPr>
          <w:rFonts w:hint="eastAsia"/>
        </w:rPr>
        <w:t>2)智能评审：调用多源大模型对候选策略执行排名式静态评估，生成可审计的质量排序结果，辅助策略筛选。</w:t>
      </w:r>
    </w:p>
    <w:p w14:paraId="622191A7">
      <w:pPr>
        <w:pStyle w:val="3"/>
      </w:pPr>
      <w:r>
        <w:t xml:space="preserve">(4) </w:t>
      </w:r>
      <w:r>
        <w:rPr>
          <w:rFonts w:hint="eastAsia"/>
          <w:b/>
          <w:bCs/>
        </w:rPr>
        <w:t>策略管理</w:t>
      </w:r>
      <w:r>
        <w:rPr>
          <w:rFonts w:hint="eastAsia"/>
        </w:rPr>
        <w:t>：保存所有生成的候选安全策略信息，并将通过评估检查的安全策略下发至目标环境进行部署验证，并记录执行状态、验证结果与审计信息。</w:t>
      </w:r>
    </w:p>
    <w:bookmarkEnd w:id="88"/>
    <w:p w14:paraId="0D303E43">
      <w:pPr>
        <w:pStyle w:val="4"/>
      </w:pPr>
      <w:bookmarkStart w:id="91" w:name="总体设计"/>
      <w:r>
        <w:rPr>
          <w:rFonts w:hint="eastAsia"/>
        </w:rPr>
        <w:t>总体设计</w:t>
      </w:r>
    </w:p>
    <w:p w14:paraId="6C891035">
      <w:pPr>
        <w:pStyle w:val="23"/>
      </w:pPr>
      <w:r>
        <w:t xml:space="preserve">KPEDefense </w:t>
      </w:r>
      <w:r>
        <w:rPr>
          <w:rFonts w:hint="eastAsia"/>
        </w:rPr>
        <w:t>系统采用分层架构，前端服务为界面层，后端服务包括服务层、智能引擎层和数据层，见图</w:t>
      </w:r>
      <w:r>
        <w:t> </w:t>
      </w:r>
      <w:r>
        <w:fldChar w:fldCharType="begin"/>
      </w:r>
      <w:r>
        <w:instrText xml:space="preserve"> HYPERLINK \l "fig:system_architecture" \h </w:instrText>
      </w:r>
      <w:r>
        <w:fldChar w:fldCharType="separate"/>
      </w:r>
      <w:r>
        <w:rPr>
          <w:rStyle w:val="20"/>
        </w:rPr>
        <w:t>4.2</w:t>
      </w:r>
      <w:r>
        <w:rPr>
          <w:rStyle w:val="20"/>
        </w:rPr>
        <w:fldChar w:fldCharType="end"/>
      </w:r>
      <w:r>
        <w:rPr>
          <w:rFonts w:hint="eastAsia"/>
        </w:rPr>
        <w:t>。本系统通过</w:t>
      </w:r>
      <w:r>
        <w:t xml:space="preserve"> K8s </w:t>
      </w:r>
      <w:r>
        <w:rPr>
          <w:rFonts w:hint="eastAsia"/>
        </w:rPr>
        <w:t>的</w:t>
      </w:r>
      <w:r>
        <w:t xml:space="preserve"> Deployment </w:t>
      </w:r>
      <w:r>
        <w:rPr>
          <w:rFonts w:hint="eastAsia"/>
        </w:rPr>
        <w:t>资源实现前端服务与后端服务的容器化部署，并由服务层通过</w:t>
      </w:r>
      <w:r>
        <w:t xml:space="preserve"> K8s </w:t>
      </w:r>
      <w:r>
        <w:rPr>
          <w:rFonts w:hint="eastAsia"/>
        </w:rPr>
        <w:t>API与集群进行交互。</w:t>
      </w:r>
    </w:p>
    <w:tbl>
      <w:tblPr>
        <w:tblStyle w:val="18"/>
        <w:tblW w:w="0" w:type="auto"/>
        <w:jc w:val="center"/>
        <w:tblLayout w:type="autofit"/>
        <w:tblCellMar>
          <w:top w:w="0" w:type="dxa"/>
          <w:left w:w="10" w:type="dxa"/>
          <w:bottom w:w="0" w:type="dxa"/>
          <w:right w:w="10" w:type="dxa"/>
        </w:tblCellMar>
      </w:tblPr>
      <w:tblGrid>
        <w:gridCol w:w="8420"/>
      </w:tblGrid>
      <w:tr w14:paraId="36B3B97F">
        <w:tblPrEx>
          <w:tblCellMar>
            <w:top w:w="0" w:type="dxa"/>
            <w:left w:w="10" w:type="dxa"/>
            <w:bottom w:w="0" w:type="dxa"/>
            <w:right w:w="10" w:type="dxa"/>
          </w:tblCellMar>
        </w:tblPrEx>
        <w:trPr>
          <w:jc w:val="center"/>
        </w:trPr>
        <w:tc>
          <w:p w14:paraId="462AC94A">
            <w:pPr>
              <w:jc w:val="center"/>
            </w:pPr>
            <w:bookmarkStart w:id="92" w:name="fig:system_architecture"/>
            <w:r>
              <w:drawing>
                <wp:inline distT="0" distB="0" distL="114300" distR="114300">
                  <wp:extent cx="5334000" cy="2531745"/>
                  <wp:effectExtent l="0" t="0" r="0" b="0"/>
                  <wp:docPr id="14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descr="image"/>
                          <pic:cNvPicPr>
                            <a:picLocks noChangeAspect="1" noChangeArrowheads="1"/>
                          </pic:cNvPicPr>
                        </pic:nvPicPr>
                        <pic:blipFill>
                          <a:blip r:embed="rId16"/>
                          <a:stretch>
                            <a:fillRect/>
                          </a:stretch>
                        </pic:blipFill>
                        <pic:spPr>
                          <a:xfrm>
                            <a:off x="0" y="0"/>
                            <a:ext cx="5334000" cy="2532236"/>
                          </a:xfrm>
                          <a:prstGeom prst="rect">
                            <a:avLst/>
                          </a:prstGeom>
                          <a:noFill/>
                          <a:ln w="9525">
                            <a:noFill/>
                          </a:ln>
                        </pic:spPr>
                      </pic:pic>
                    </a:graphicData>
                  </a:graphic>
                </wp:inline>
              </w:drawing>
            </w:r>
            <w:r>
              <w:t xml:space="preserve"> </w:t>
            </w:r>
            <w:bookmarkStart w:id="93" w:name="fig:system_architecture"/>
            <w:bookmarkEnd w:id="93"/>
          </w:p>
        </w:tc>
      </w:tr>
      <w:bookmarkEnd w:id="92"/>
    </w:tbl>
    <w:p w14:paraId="0FF8517D">
      <w:pPr>
        <w:pStyle w:val="3"/>
      </w:pPr>
      <w:r>
        <w:t xml:space="preserve">(1) </w:t>
      </w:r>
      <w:r>
        <w:rPr>
          <w:rFonts w:hint="eastAsia"/>
          <w:b/>
          <w:bCs/>
        </w:rPr>
        <w:t>界面层</w:t>
      </w:r>
      <w:r>
        <w:rPr>
          <w:rFonts w:hint="eastAsia"/>
        </w:rPr>
        <w:t>：基于</w:t>
      </w:r>
      <w:r>
        <w:t xml:space="preserve"> Vue3 </w:t>
      </w:r>
      <w:r>
        <w:rPr>
          <w:rFonts w:hint="eastAsia"/>
        </w:rPr>
        <w:t>构建单页应用，采用</w:t>
      </w:r>
      <w:r>
        <w:t xml:space="preserve"> Pinia </w:t>
      </w:r>
      <w:r>
        <w:rPr>
          <w:rFonts w:hint="eastAsia"/>
        </w:rPr>
        <w:t>管理应用级状态，并集成</w:t>
      </w:r>
      <w:r>
        <w:t xml:space="preserve"> ECharts </w:t>
      </w:r>
      <w:r>
        <w:rPr>
          <w:rFonts w:hint="eastAsia"/>
        </w:rPr>
        <w:t>可视化组件，负责</w:t>
      </w:r>
      <w:r>
        <w:t xml:space="preserve"> CVE </w:t>
      </w:r>
      <w:r>
        <w:rPr>
          <w:rFonts w:hint="eastAsia"/>
        </w:rPr>
        <w:t>详情展示、策略交互与评审结果呈现。</w:t>
      </w:r>
    </w:p>
    <w:p w14:paraId="0A99498A">
      <w:pPr>
        <w:pStyle w:val="3"/>
      </w:pPr>
      <w:r>
        <w:t xml:space="preserve">(2) </w:t>
      </w:r>
      <w:r>
        <w:rPr>
          <w:rFonts w:hint="eastAsia"/>
          <w:b/>
          <w:bCs/>
        </w:rPr>
        <w:t>服务层</w:t>
      </w:r>
      <w:r>
        <w:rPr>
          <w:rFonts w:hint="eastAsia"/>
        </w:rPr>
        <w:t>：采用</w:t>
      </w:r>
      <w:r>
        <w:t xml:space="preserve"> Flask </w:t>
      </w:r>
      <w:r>
        <w:rPr>
          <w:rFonts w:hint="eastAsia"/>
        </w:rPr>
        <w:t>实现</w:t>
      </w:r>
      <w:r>
        <w:t xml:space="preserve"> REST API </w:t>
      </w:r>
      <w:r>
        <w:rPr>
          <w:rFonts w:hint="eastAsia"/>
        </w:rPr>
        <w:t>网关，同时通过任务调度器管理耗时较长的会话任务，并协调知识检索、候选策略生成、评审提交与部署验证等流程。</w:t>
      </w:r>
    </w:p>
    <w:p w14:paraId="2190E0D3">
      <w:pPr>
        <w:pStyle w:val="3"/>
      </w:pPr>
      <w:r>
        <w:t xml:space="preserve">(3) </w:t>
      </w:r>
      <w:r>
        <w:rPr>
          <w:rFonts w:hint="eastAsia"/>
          <w:b/>
          <w:bCs/>
        </w:rPr>
        <w:t>智能引擎层</w:t>
      </w:r>
      <w:r>
        <w:rPr>
          <w:rFonts w:hint="eastAsia"/>
        </w:rPr>
        <w:t>：封装系统核心分析能力，统一调度安全知识整理、漏洞分析、候选策略生成、评审反馈吸收与策略优化等智能体。</w:t>
      </w:r>
    </w:p>
    <w:p w14:paraId="753112A2">
      <w:pPr>
        <w:pStyle w:val="3"/>
      </w:pPr>
      <w:r>
        <w:t xml:space="preserve">(4) </w:t>
      </w:r>
      <w:r>
        <w:rPr>
          <w:rFonts w:hint="eastAsia"/>
          <w:b/>
          <w:bCs/>
        </w:rPr>
        <w:t>数据层</w:t>
      </w:r>
      <w:r>
        <w:rPr>
          <w:rFonts w:hint="eastAsia"/>
        </w:rPr>
        <w:t>：负责数据持久化与检索支撑，包括存放</w:t>
      </w:r>
      <w:r>
        <w:t xml:space="preserve"> CVE </w:t>
      </w:r>
      <w:r>
        <w:rPr>
          <w:rFonts w:hint="eastAsia"/>
        </w:rPr>
        <w:t>元数据、安全策略信息的文件存储，以及支持安全上下文构建的向量索引库。</w:t>
      </w:r>
    </w:p>
    <w:bookmarkEnd w:id="91"/>
    <w:p w14:paraId="5BD1C8F0">
      <w:pPr>
        <w:pStyle w:val="4"/>
      </w:pPr>
      <w:bookmarkStart w:id="94" w:name="详细设计"/>
      <w:r>
        <w:rPr>
          <w:rFonts w:hint="eastAsia"/>
        </w:rPr>
        <w:t>详细设计</w:t>
      </w:r>
    </w:p>
    <w:p w14:paraId="54C43C73">
      <w:pPr>
        <w:pStyle w:val="23"/>
      </w:pPr>
      <w:r>
        <w:rPr>
          <w:rFonts w:hint="eastAsia"/>
        </w:rPr>
        <w:t>本小节介绍</w:t>
      </w:r>
      <w:r>
        <w:t xml:space="preserve"> KPEDefense </w:t>
      </w:r>
      <w:r>
        <w:rPr>
          <w:rFonts w:hint="eastAsia"/>
        </w:rPr>
        <w:t>系统详细设计，包括实体类设计、详细流程设计、交互时序设计。</w:t>
      </w:r>
    </w:p>
    <w:p w14:paraId="24D26A0E">
      <w:pPr>
        <w:pStyle w:val="5"/>
      </w:pPr>
      <w:bookmarkStart w:id="95" w:name="实体类设计"/>
      <w:r>
        <w:rPr>
          <w:rFonts w:hint="eastAsia"/>
        </w:rPr>
        <w:t>实体类设计</w:t>
      </w:r>
    </w:p>
    <w:p w14:paraId="7CFDC126">
      <w:pPr>
        <w:pStyle w:val="23"/>
      </w:pPr>
      <w:r>
        <w:rPr>
          <w:rFonts w:hint="eastAsia"/>
        </w:rPr>
        <w:t>实体类设计围绕四类核心实体展开，如图</w:t>
      </w:r>
      <w:r>
        <w:t> </w:t>
      </w:r>
      <w:r>
        <w:fldChar w:fldCharType="begin"/>
      </w:r>
      <w:r>
        <w:instrText xml:space="preserve"> HYPERLINK \l "fig:storage_schema" \h </w:instrText>
      </w:r>
      <w:r>
        <w:fldChar w:fldCharType="separate"/>
      </w:r>
      <w:r>
        <w:rPr>
          <w:rStyle w:val="20"/>
        </w:rPr>
        <w:t>4.3</w:t>
      </w:r>
      <w:r>
        <w:rPr>
          <w:rStyle w:val="20"/>
        </w:rPr>
        <w:fldChar w:fldCharType="end"/>
      </w:r>
      <w:r>
        <w:rPr>
          <w:rFonts w:hint="eastAsia"/>
        </w:rPr>
        <w:t>所示。</w:t>
      </w:r>
      <w:r>
        <w:rPr>
          <w:rFonts w:hint="eastAsia"/>
          <w:b/>
          <w:bCs/>
        </w:rPr>
        <w:t>漏洞实体</w:t>
      </w:r>
      <w:r>
        <w:rPr>
          <w:rFonts w:hint="eastAsia"/>
        </w:rPr>
        <w:t>(CVE)以</w:t>
      </w:r>
      <w:r>
        <w:t xml:space="preserve"> </w:t>
      </w:r>
      <w:r>
        <w:rPr>
          <w:rStyle w:val="48"/>
        </w:rPr>
        <w:t>status</w:t>
      </w:r>
      <w:r>
        <w:t xml:space="preserve"> </w:t>
      </w:r>
      <w:r>
        <w:rPr>
          <w:rFonts w:hint="eastAsia"/>
        </w:rPr>
        <w:t>枚举字段驱动处置状态机，与会话呈一对多关系；</w:t>
      </w:r>
      <w:r>
        <w:rPr>
          <w:rFonts w:hint="eastAsia"/>
          <w:b/>
          <w:bCs/>
        </w:rPr>
        <w:t>会话实体</w:t>
      </w:r>
      <w:r>
        <w:rPr>
          <w:rFonts w:hint="eastAsia"/>
        </w:rPr>
        <w:t>(Session)记录模型配置与提示词模板，承载从证据检索到策略生成的完整上下文；</w:t>
      </w:r>
      <w:r>
        <w:rPr>
          <w:rFonts w:hint="eastAsia"/>
          <w:b/>
          <w:bCs/>
        </w:rPr>
        <w:t>策略实体</w:t>
      </w:r>
      <w:r>
        <w:rPr>
          <w:rFonts w:hint="eastAsia"/>
        </w:rPr>
        <w:t>(Strategy)保存生成内容、推理链快照与</w:t>
      </w:r>
      <w:r>
        <w:t xml:space="preserve"> RAG </w:t>
      </w:r>
      <w:r>
        <w:rPr>
          <w:rFonts w:hint="eastAsia"/>
        </w:rPr>
        <w:t>召回片段，支持来源追溯与版本对比；</w:t>
      </w:r>
      <w:r>
        <w:rPr>
          <w:rFonts w:hint="eastAsia"/>
          <w:b/>
          <w:bCs/>
        </w:rPr>
        <w:t>排序实体</w:t>
      </w:r>
      <w:r>
        <w:rPr>
          <w:rFonts w:hint="eastAsia"/>
        </w:rPr>
        <w:t>(Ranking)存储评审员标识、时间戳与多维评分，同时关联会话与策略，记录专家决策的即时快照。</w:t>
      </w:r>
    </w:p>
    <w:tbl>
      <w:tblPr>
        <w:tblStyle w:val="18"/>
        <w:tblW w:w="0" w:type="auto"/>
        <w:jc w:val="center"/>
        <w:tblLayout w:type="autofit"/>
        <w:tblCellMar>
          <w:top w:w="0" w:type="dxa"/>
          <w:left w:w="10" w:type="dxa"/>
          <w:bottom w:w="0" w:type="dxa"/>
          <w:right w:w="10" w:type="dxa"/>
        </w:tblCellMar>
      </w:tblPr>
      <w:tblGrid>
        <w:gridCol w:w="4640"/>
      </w:tblGrid>
      <w:tr w14:paraId="3A592ED6">
        <w:tblPrEx>
          <w:tblCellMar>
            <w:top w:w="0" w:type="dxa"/>
            <w:left w:w="10" w:type="dxa"/>
            <w:bottom w:w="0" w:type="dxa"/>
            <w:right w:w="10" w:type="dxa"/>
          </w:tblCellMar>
        </w:tblPrEx>
        <w:trPr>
          <w:jc w:val="center"/>
        </w:trPr>
        <w:tc>
          <w:p w14:paraId="210183BE">
            <w:pPr>
              <w:jc w:val="center"/>
            </w:pPr>
            <w:bookmarkStart w:id="96" w:name="fig:storage_schema"/>
            <w:r>
              <w:drawing>
                <wp:inline distT="0" distB="0" distL="114300" distR="114300">
                  <wp:extent cx="2933700" cy="2821940"/>
                  <wp:effectExtent l="0" t="0" r="0" b="0"/>
                  <wp:docPr id="14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image"/>
                          <pic:cNvPicPr>
                            <a:picLocks noChangeAspect="1" noChangeArrowheads="1"/>
                          </pic:cNvPicPr>
                        </pic:nvPicPr>
                        <pic:blipFill>
                          <a:blip r:embed="rId17"/>
                          <a:stretch>
                            <a:fillRect/>
                          </a:stretch>
                        </pic:blipFill>
                        <pic:spPr>
                          <a:xfrm>
                            <a:off x="0" y="0"/>
                            <a:ext cx="2933700" cy="2822564"/>
                          </a:xfrm>
                          <a:prstGeom prst="rect">
                            <a:avLst/>
                          </a:prstGeom>
                          <a:noFill/>
                          <a:ln w="9525">
                            <a:noFill/>
                          </a:ln>
                        </pic:spPr>
                      </pic:pic>
                    </a:graphicData>
                  </a:graphic>
                </wp:inline>
              </w:drawing>
            </w:r>
            <w:r>
              <w:t xml:space="preserve"> </w:t>
            </w:r>
            <w:bookmarkStart w:id="97" w:name="fig:storage_schema"/>
            <w:bookmarkEnd w:id="97"/>
          </w:p>
        </w:tc>
      </w:tr>
      <w:bookmarkEnd w:id="95"/>
      <w:bookmarkEnd w:id="96"/>
    </w:tbl>
    <w:p w14:paraId="1E036C29">
      <w:pPr>
        <w:pStyle w:val="5"/>
      </w:pPr>
      <w:bookmarkStart w:id="98" w:name="详细流程设计"/>
      <w:r>
        <w:rPr>
          <w:rFonts w:hint="eastAsia"/>
        </w:rPr>
        <w:t>详细流程设计</w:t>
      </w:r>
    </w:p>
    <w:p w14:paraId="0FAF0F86">
      <w:pPr>
        <w:pStyle w:val="23"/>
      </w:pPr>
      <w:r>
        <w:rPr>
          <w:rFonts w:hint="eastAsia"/>
        </w:rPr>
        <w:t>图</w:t>
      </w:r>
      <w:r>
        <w:t> </w:t>
      </w:r>
      <w:r>
        <w:fldChar w:fldCharType="begin"/>
      </w:r>
      <w:r>
        <w:instrText xml:space="preserve"> HYPERLINK \l "fig:cve_lifecycle" \h </w:instrText>
      </w:r>
      <w:r>
        <w:fldChar w:fldCharType="separate"/>
      </w:r>
      <w:r>
        <w:rPr>
          <w:rStyle w:val="20"/>
        </w:rPr>
        <w:t>4.4</w:t>
      </w:r>
      <w:r>
        <w:rPr>
          <w:rStyle w:val="20"/>
        </w:rPr>
        <w:fldChar w:fldCharType="end"/>
      </w:r>
      <w:r>
        <w:t xml:space="preserve"> </w:t>
      </w:r>
      <w:r>
        <w:rPr>
          <w:rFonts w:hint="eastAsia"/>
        </w:rPr>
        <w:t>以程序流程图描述</w:t>
      </w:r>
      <w:r>
        <w:t xml:space="preserve"> CVE </w:t>
      </w:r>
      <w:r>
        <w:rPr>
          <w:rFonts w:hint="eastAsia"/>
        </w:rPr>
        <w:t>处置总体流程。漏洞条目导入后安全工程师确认范围并启动漏洞分析与安全策略生成会话。系统会搜索已创建的安全知识库并构建对应该漏洞的安全上下文。基于安全上下文和漏洞信息，系统内通过调用不同智能体完成初步的候选安全策略集，包括多个监控策略和防护策略。针对若干不同配置生成的候选安全策略集，采用多源大模型进行排序化评审，也可增加专家评审环节。之后由相关责任人决策是否需要重新优化。若审核通过，则交由后续的策略管理进行策略部署验证。</w:t>
      </w:r>
    </w:p>
    <w:tbl>
      <w:tblPr>
        <w:tblStyle w:val="18"/>
        <w:tblW w:w="0" w:type="auto"/>
        <w:jc w:val="center"/>
        <w:tblLayout w:type="autofit"/>
        <w:tblCellMar>
          <w:top w:w="0" w:type="dxa"/>
          <w:left w:w="10" w:type="dxa"/>
          <w:bottom w:w="0" w:type="dxa"/>
          <w:right w:w="10" w:type="dxa"/>
        </w:tblCellMar>
      </w:tblPr>
      <w:tblGrid>
        <w:gridCol w:w="6320"/>
      </w:tblGrid>
      <w:tr w14:paraId="6A52CA75">
        <w:tblPrEx>
          <w:tblCellMar>
            <w:top w:w="0" w:type="dxa"/>
            <w:left w:w="10" w:type="dxa"/>
            <w:bottom w:w="0" w:type="dxa"/>
            <w:right w:w="10" w:type="dxa"/>
          </w:tblCellMar>
        </w:tblPrEx>
        <w:trPr>
          <w:jc w:val="center"/>
        </w:trPr>
        <w:tc>
          <w:p w14:paraId="65716EDC">
            <w:pPr>
              <w:jc w:val="center"/>
            </w:pPr>
            <w:bookmarkStart w:id="99" w:name="fig:cve_lifecycle"/>
            <w:r>
              <w:drawing>
                <wp:inline distT="0" distB="0" distL="114300" distR="114300">
                  <wp:extent cx="4000500" cy="4150360"/>
                  <wp:effectExtent l="0" t="0" r="0" b="0"/>
                  <wp:docPr id="15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descr="image"/>
                          <pic:cNvPicPr>
                            <a:picLocks noChangeAspect="1" noChangeArrowheads="1"/>
                          </pic:cNvPicPr>
                        </pic:nvPicPr>
                        <pic:blipFill>
                          <a:blip r:embed="rId18"/>
                          <a:stretch>
                            <a:fillRect/>
                          </a:stretch>
                        </pic:blipFill>
                        <pic:spPr>
                          <a:xfrm>
                            <a:off x="0" y="0"/>
                            <a:ext cx="4000500" cy="4150668"/>
                          </a:xfrm>
                          <a:prstGeom prst="rect">
                            <a:avLst/>
                          </a:prstGeom>
                          <a:noFill/>
                          <a:ln w="9525">
                            <a:noFill/>
                          </a:ln>
                        </pic:spPr>
                      </pic:pic>
                    </a:graphicData>
                  </a:graphic>
                </wp:inline>
              </w:drawing>
            </w:r>
            <w:r>
              <w:t xml:space="preserve"> </w:t>
            </w:r>
            <w:bookmarkStart w:id="100" w:name="fig:cve_lifecycle"/>
            <w:bookmarkEnd w:id="100"/>
          </w:p>
        </w:tc>
      </w:tr>
      <w:bookmarkEnd w:id="98"/>
      <w:bookmarkEnd w:id="99"/>
    </w:tbl>
    <w:p w14:paraId="64A178C4">
      <w:pPr>
        <w:pStyle w:val="5"/>
      </w:pPr>
      <w:bookmarkStart w:id="101" w:name="交互时序设计"/>
      <w:r>
        <w:rPr>
          <w:rFonts w:hint="eastAsia"/>
        </w:rPr>
        <w:t>交互时序设计</w:t>
      </w:r>
    </w:p>
    <w:p w14:paraId="0B265524">
      <w:pPr>
        <w:pStyle w:val="23"/>
      </w:pPr>
      <w:r>
        <w:rPr>
          <w:rFonts w:hint="eastAsia"/>
        </w:rPr>
        <w:t>安全策略生成涉及证据检索、结构化分析、候选组织与反馈修订等多轮处理，单次任务耗时较长，因此系统采用异步交互时序。完整链路分为四个阶段，前两个阶段见图</w:t>
      </w:r>
      <w:r>
        <w:t> </w:t>
      </w:r>
      <w:r>
        <w:fldChar w:fldCharType="begin"/>
      </w:r>
      <w:r>
        <w:instrText xml:space="preserve"> HYPERLINK \l "fig:pipeline_sequence_a" \h </w:instrText>
      </w:r>
      <w:r>
        <w:fldChar w:fldCharType="separate"/>
      </w:r>
      <w:r>
        <w:rPr>
          <w:rStyle w:val="20"/>
        </w:rPr>
        <w:t>4.5</w:t>
      </w:r>
      <w:r>
        <w:rPr>
          <w:rStyle w:val="20"/>
        </w:rPr>
        <w:fldChar w:fldCharType="end"/>
      </w:r>
      <w:r>
        <w:rPr>
          <w:rFonts w:hint="eastAsia"/>
        </w:rPr>
        <w:t>，后两个阶段见图</w:t>
      </w:r>
      <w:r>
        <w:t> </w:t>
      </w:r>
      <w:r>
        <w:fldChar w:fldCharType="begin"/>
      </w:r>
      <w:r>
        <w:instrText xml:space="preserve"> HYPERLINK \l "fig:pipeline_sequence_b" \h </w:instrText>
      </w:r>
      <w:r>
        <w:fldChar w:fldCharType="separate"/>
      </w:r>
      <w:r>
        <w:rPr>
          <w:rStyle w:val="20"/>
        </w:rPr>
        <w:t>4.6</w:t>
      </w:r>
      <w:r>
        <w:rPr>
          <w:rStyle w:val="20"/>
        </w:rPr>
        <w:fldChar w:fldCharType="end"/>
      </w:r>
      <w:r>
        <w:t>。</w:t>
      </w:r>
    </w:p>
    <w:p w14:paraId="57A1E65C">
      <w:pPr>
        <w:pStyle w:val="3"/>
      </w:pPr>
      <w:r>
        <w:rPr>
          <w:rFonts w:hint="eastAsia"/>
          <w:b/>
          <w:bCs/>
        </w:rPr>
        <w:t>阶段一：会话创建。</w:t>
      </w:r>
      <w:r>
        <w:rPr>
          <w:rFonts w:hint="eastAsia"/>
        </w:rPr>
        <w:t>安全工程师选定目标</w:t>
      </w:r>
      <w:r>
        <w:t xml:space="preserve"> CVE </w:t>
      </w:r>
      <w:r>
        <w:rPr>
          <w:rFonts w:hint="eastAsia"/>
        </w:rPr>
        <w:t>后提交创建请求，服务层在数据持久层初始化会话目录结构并返回</w:t>
      </w:r>
      <w:r>
        <w:t xml:space="preserve"> </w:t>
      </w:r>
      <w:r>
        <w:rPr>
          <w:rStyle w:val="48"/>
        </w:rPr>
        <w:t>session_id</w:t>
      </w:r>
      <w:r>
        <w:rPr>
          <w:rFonts w:hint="eastAsia"/>
        </w:rPr>
        <w:t>，后续所有操作均绑定至该会话上下文。</w:t>
      </w:r>
    </w:p>
    <w:tbl>
      <w:tblPr>
        <w:tblStyle w:val="18"/>
        <w:tblW w:w="0" w:type="auto"/>
        <w:jc w:val="center"/>
        <w:tblLayout w:type="autofit"/>
        <w:tblCellMar>
          <w:top w:w="0" w:type="dxa"/>
          <w:left w:w="10" w:type="dxa"/>
          <w:bottom w:w="0" w:type="dxa"/>
          <w:right w:w="10" w:type="dxa"/>
        </w:tblCellMar>
      </w:tblPr>
      <w:tblGrid>
        <w:gridCol w:w="5900"/>
      </w:tblGrid>
      <w:tr w14:paraId="36816760">
        <w:tblPrEx>
          <w:tblCellMar>
            <w:top w:w="0" w:type="dxa"/>
            <w:left w:w="10" w:type="dxa"/>
            <w:bottom w:w="0" w:type="dxa"/>
            <w:right w:w="10" w:type="dxa"/>
          </w:tblCellMar>
        </w:tblPrEx>
        <w:trPr>
          <w:jc w:val="center"/>
        </w:trPr>
        <w:tc>
          <w:p w14:paraId="69B98CA9">
            <w:pPr>
              <w:jc w:val="center"/>
            </w:pPr>
            <w:bookmarkStart w:id="102" w:name="fig:pipeline_sequence_a"/>
            <w:r>
              <w:drawing>
                <wp:inline distT="0" distB="0" distL="114300" distR="114300">
                  <wp:extent cx="3733800" cy="3137535"/>
                  <wp:effectExtent l="0" t="0" r="0" b="0"/>
                  <wp:docPr id="15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image"/>
                          <pic:cNvPicPr>
                            <a:picLocks noChangeAspect="1" noChangeArrowheads="1"/>
                          </pic:cNvPicPr>
                        </pic:nvPicPr>
                        <pic:blipFill>
                          <a:blip r:embed="rId19"/>
                          <a:stretch>
                            <a:fillRect/>
                          </a:stretch>
                        </pic:blipFill>
                        <pic:spPr>
                          <a:xfrm>
                            <a:off x="0" y="0"/>
                            <a:ext cx="3733800" cy="3137631"/>
                          </a:xfrm>
                          <a:prstGeom prst="rect">
                            <a:avLst/>
                          </a:prstGeom>
                          <a:noFill/>
                          <a:ln w="9525">
                            <a:noFill/>
                          </a:ln>
                        </pic:spPr>
                      </pic:pic>
                    </a:graphicData>
                  </a:graphic>
                </wp:inline>
              </w:drawing>
            </w:r>
            <w:r>
              <w:t xml:space="preserve"> </w:t>
            </w:r>
            <w:bookmarkStart w:id="103" w:name="fig:pipeline_sequence_a"/>
            <w:bookmarkEnd w:id="103"/>
          </w:p>
        </w:tc>
      </w:tr>
      <w:bookmarkEnd w:id="102"/>
      <w:tr w14:paraId="22E5CB14">
        <w:tblPrEx>
          <w:tblCellMar>
            <w:top w:w="0" w:type="dxa"/>
            <w:left w:w="10" w:type="dxa"/>
            <w:bottom w:w="0" w:type="dxa"/>
            <w:right w:w="10" w:type="dxa"/>
          </w:tblCellMar>
        </w:tblPrEx>
        <w:trPr>
          <w:jc w:val="center"/>
        </w:trPr>
        <w:tc>
          <w:p w14:paraId="1F2E44F3">
            <w:pPr>
              <w:jc w:val="center"/>
            </w:pPr>
            <w:bookmarkStart w:id="104" w:name="fig:pipeline_sequence_b"/>
            <w:r>
              <w:drawing>
                <wp:inline distT="0" distB="0" distL="114300" distR="114300">
                  <wp:extent cx="3733800" cy="3246755"/>
                  <wp:effectExtent l="0" t="0" r="0" b="0"/>
                  <wp:docPr id="16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descr="image"/>
                          <pic:cNvPicPr>
                            <a:picLocks noChangeAspect="1" noChangeArrowheads="1"/>
                          </pic:cNvPicPr>
                        </pic:nvPicPr>
                        <pic:blipFill>
                          <a:blip r:embed="rId20"/>
                          <a:stretch>
                            <a:fillRect/>
                          </a:stretch>
                        </pic:blipFill>
                        <pic:spPr>
                          <a:xfrm>
                            <a:off x="0" y="0"/>
                            <a:ext cx="3733800" cy="3247020"/>
                          </a:xfrm>
                          <a:prstGeom prst="rect">
                            <a:avLst/>
                          </a:prstGeom>
                          <a:noFill/>
                          <a:ln w="9525">
                            <a:noFill/>
                          </a:ln>
                        </pic:spPr>
                      </pic:pic>
                    </a:graphicData>
                  </a:graphic>
                </wp:inline>
              </w:drawing>
            </w:r>
            <w:r>
              <w:t xml:space="preserve"> </w:t>
            </w:r>
            <w:bookmarkStart w:id="105" w:name="fig:pipeline_sequence_b"/>
            <w:bookmarkEnd w:id="105"/>
          </w:p>
        </w:tc>
      </w:tr>
      <w:bookmarkEnd w:id="104"/>
    </w:tbl>
    <w:p w14:paraId="73FE1377">
      <w:pPr>
        <w:pStyle w:val="3"/>
      </w:pPr>
      <w:r>
        <w:rPr>
          <w:rFonts w:hint="eastAsia"/>
          <w:b/>
          <w:bCs/>
        </w:rPr>
        <w:t>阶段二：安全上下文构建与候选策略生成。</w:t>
      </w:r>
      <w:r>
        <w:rPr>
          <w:rFonts w:hint="eastAsia"/>
        </w:rPr>
        <w:t>工程师发起策略生成请求后，服务层以异步任务形式启动工作流，依次完成证据检索、安全上下文</w:t>
      </w:r>
      <w:r>
        <w:t xml:space="preserve"> </w:t>
      </w:r>
      <m:oMath>
        <m:r>
          <m:rPr/>
          <m:t>c</m:t>
        </m:r>
      </m:oMath>
      <w:r>
        <w:t xml:space="preserve"> </w:t>
      </w:r>
      <w:r>
        <w:rPr>
          <w:rFonts w:hint="eastAsia"/>
        </w:rPr>
        <w:t>构建、漏洞分析、候选策略生成与评审优化，将中间分析结果与候选策略集合</w:t>
      </w:r>
      <w:r>
        <w:t xml:space="preserve"> </w:t>
      </w:r>
      <m:oMath>
        <m:sSub>
          <m:sSubPr/>
          <m:e>
            <m:r>
              <m:rPr>
                <m:sty m:val="p"/>
              </m:rPr>
              <m:t>Π</m:t>
            </m:r>
          </m:e>
          <m:sub>
            <m:r>
              <m:rPr/>
              <m:t>v</m:t>
            </m:r>
          </m:sub>
        </m:sSub>
      </m:oMath>
      <w:r>
        <w:t xml:space="preserve"> </w:t>
      </w:r>
      <w:r>
        <w:rPr>
          <w:rFonts w:hint="eastAsia"/>
        </w:rPr>
        <w:t>同步写入持久层，任务完成后经轮询接口将结果返回前端。</w:t>
      </w:r>
    </w:p>
    <w:p w14:paraId="13C02319">
      <w:pPr>
        <w:pStyle w:val="3"/>
      </w:pPr>
      <w:r>
        <w:rPr>
          <w:rFonts w:hint="eastAsia"/>
          <w:b/>
          <w:bCs/>
        </w:rPr>
        <w:t>阶段三：评审反馈驱动优化。</w:t>
      </w:r>
      <w:r>
        <w:rPr>
          <w:rFonts w:hint="eastAsia"/>
        </w:rPr>
        <w:t>专家评审员提交修改意见后，服务层携带反馈内容重新调用智能体引擎，策略优化智能体据此修订</w:t>
      </w:r>
      <w:r>
        <w:t xml:space="preserve"> </w:t>
      </w:r>
      <m:oMath>
        <m:sSub>
          <m:sSubPr/>
          <m:e>
            <m:r>
              <m:rPr>
                <m:sty m:val="p"/>
              </m:rPr>
              <m:t>Π</m:t>
            </m:r>
          </m:e>
          <m:sub>
            <m:r>
              <m:rPr/>
              <m:t>v</m:t>
            </m:r>
          </m:sub>
        </m:sSub>
      </m:oMath>
      <w:r>
        <w:t xml:space="preserve"> </w:t>
      </w:r>
      <w:r>
        <w:rPr>
          <w:rFonts w:hint="eastAsia"/>
        </w:rPr>
        <w:t>并将更新版本写入持久层。该阶段可按需触发多次，每次修订均以独立记录追加存储，原始版本不被覆盖。</w:t>
      </w:r>
    </w:p>
    <w:p w14:paraId="39766779">
      <w:pPr>
        <w:pStyle w:val="3"/>
      </w:pPr>
      <w:r>
        <w:rPr>
          <w:rFonts w:hint="eastAsia"/>
          <w:b/>
          <w:bCs/>
        </w:rPr>
        <w:t>阶段四：质量排序与结果确认。</w:t>
      </w:r>
      <w:r>
        <w:rPr>
          <w:rFonts w:hint="eastAsia"/>
        </w:rPr>
        <w:t>专家完成拖拽排序并填写三维评分后提交确认请求，服务层首先执行同类型候选的全序完整性校验，通过后将排序结果、维度评分与评审员标识一并写入持久层。</w:t>
      </w:r>
    </w:p>
    <w:bookmarkEnd w:id="94"/>
    <w:bookmarkEnd w:id="101"/>
    <w:p w14:paraId="7690A5EF">
      <w:pPr>
        <w:pStyle w:val="4"/>
      </w:pPr>
      <w:bookmarkStart w:id="106" w:name="系统展示与验证"/>
      <w:r>
        <w:rPr>
          <w:rFonts w:hint="eastAsia"/>
        </w:rPr>
        <w:t>系统展示与验证</w:t>
      </w:r>
    </w:p>
    <w:p w14:paraId="11F8F06D">
      <w:pPr>
        <w:pStyle w:val="23"/>
      </w:pPr>
      <w:r>
        <w:rPr>
          <w:rFonts w:hint="eastAsia"/>
        </w:rPr>
        <w:t>本节按功能模块说明系统的交互流程与实现方式，并验证系统功能。下文依次介绍知识库管理、智能体调度、质量评审以及策略管理四个模块。</w:t>
      </w:r>
    </w:p>
    <w:p w14:paraId="0856A3D6">
      <w:pPr>
        <w:pStyle w:val="5"/>
      </w:pPr>
      <w:bookmarkStart w:id="107" w:name="知识库管理"/>
      <w:r>
        <w:rPr>
          <w:rFonts w:hint="eastAsia"/>
        </w:rPr>
        <w:t>知识库管理</w:t>
      </w:r>
    </w:p>
    <w:p w14:paraId="7C22C913">
      <w:pPr>
        <w:pStyle w:val="23"/>
      </w:pPr>
      <w:r>
        <w:rPr>
          <w:rFonts w:hint="eastAsia"/>
        </w:rPr>
        <w:t>知识库管理模块承担权限提升相关漏洞条目的存储，是安全上下文构建的入口环节。该模块对应服务层的</w:t>
      </w:r>
      <w:r>
        <w:t xml:space="preserve"> CVE </w:t>
      </w:r>
      <w:r>
        <w:rPr>
          <w:rFonts w:hint="eastAsia"/>
        </w:rPr>
        <w:t>知识库组件，直接影响</w:t>
      </w:r>
      <w:r>
        <w:t xml:space="preserve"> CVE </w:t>
      </w:r>
      <w:r>
        <w:rPr>
          <w:rFonts w:hint="eastAsia"/>
        </w:rPr>
        <w:t>实体的</w:t>
      </w:r>
      <w:r>
        <w:t xml:space="preserve"> </w:t>
      </w:r>
      <w:r>
        <w:rPr>
          <w:rStyle w:val="48"/>
        </w:rPr>
        <w:t>status</w:t>
      </w:r>
      <w:r>
        <w:t xml:space="preserve"> </w:t>
      </w:r>
      <w:r>
        <w:rPr>
          <w:rFonts w:hint="eastAsia"/>
        </w:rPr>
        <w:t>字段及后续会话流程。如图</w:t>
      </w:r>
      <w:r>
        <w:t> </w:t>
      </w:r>
      <w:r>
        <w:fldChar w:fldCharType="begin"/>
      </w:r>
      <w:r>
        <w:instrText xml:space="preserve"> HYPERLINK \l "fig:ui_cve_list" \h </w:instrText>
      </w:r>
      <w:r>
        <w:fldChar w:fldCharType="separate"/>
      </w:r>
      <w:r>
        <w:rPr>
          <w:rStyle w:val="20"/>
        </w:rPr>
        <w:t>4.7</w:t>
      </w:r>
      <w:r>
        <w:rPr>
          <w:rStyle w:val="20"/>
        </w:rPr>
        <w:fldChar w:fldCharType="end"/>
      </w:r>
      <w:r>
        <w:rPr>
          <w:rFonts w:hint="eastAsia"/>
        </w:rPr>
        <w:t>所示，系统主界面以列表视图展示已录入的</w:t>
      </w:r>
      <w:r>
        <w:t xml:space="preserve"> CVE </w:t>
      </w:r>
      <w:r>
        <w:rPr>
          <w:rFonts w:hint="eastAsia"/>
        </w:rPr>
        <w:t>条目，核心字段包括</w:t>
      </w:r>
      <w:r>
        <w:t xml:space="preserve"> CVE </w:t>
      </w:r>
      <w:r>
        <w:rPr>
          <w:rFonts w:hint="eastAsia"/>
        </w:rPr>
        <w:t>编号、漏洞摘要、CVSS</w:t>
      </w:r>
      <w:r>
        <w:t xml:space="preserve"> </w:t>
      </w:r>
      <w:r>
        <w:rPr>
          <w:rFonts w:hint="eastAsia"/>
        </w:rPr>
        <w:t>风险评分和当前处置状态。支持安全工程师依据漏洞编号、漏洞类型或关键描述快速定位目标记录。</w:t>
      </w:r>
    </w:p>
    <w:tbl>
      <w:tblPr>
        <w:tblStyle w:val="18"/>
        <w:tblW w:w="0" w:type="auto"/>
        <w:jc w:val="center"/>
        <w:tblLayout w:type="autofit"/>
        <w:tblCellMar>
          <w:top w:w="0" w:type="dxa"/>
          <w:left w:w="10" w:type="dxa"/>
          <w:bottom w:w="0" w:type="dxa"/>
          <w:right w:w="10" w:type="dxa"/>
        </w:tblCellMar>
      </w:tblPr>
      <w:tblGrid>
        <w:gridCol w:w="7244"/>
      </w:tblGrid>
      <w:tr w14:paraId="1D6BF891">
        <w:tblPrEx>
          <w:tblCellMar>
            <w:top w:w="0" w:type="dxa"/>
            <w:left w:w="10" w:type="dxa"/>
            <w:bottom w:w="0" w:type="dxa"/>
            <w:right w:w="10" w:type="dxa"/>
          </w:tblCellMar>
        </w:tblPrEx>
        <w:trPr>
          <w:jc w:val="center"/>
        </w:trPr>
        <w:tc>
          <w:p w14:paraId="6C995B57">
            <w:pPr>
              <w:jc w:val="center"/>
            </w:pPr>
            <w:bookmarkStart w:id="108" w:name="fig:ui_cve_list"/>
            <w:r>
              <w:drawing>
                <wp:inline distT="0" distB="0" distL="114300" distR="114300">
                  <wp:extent cx="4587240" cy="2041525"/>
                  <wp:effectExtent l="0" t="0" r="0" b="0"/>
                  <wp:docPr id="17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descr="image"/>
                          <pic:cNvPicPr>
                            <a:picLocks noChangeAspect="1" noChangeArrowheads="1"/>
                          </pic:cNvPicPr>
                        </pic:nvPicPr>
                        <pic:blipFill>
                          <a:blip r:embed="rId21"/>
                          <a:stretch>
                            <a:fillRect/>
                          </a:stretch>
                        </pic:blipFill>
                        <pic:spPr>
                          <a:xfrm>
                            <a:off x="0" y="0"/>
                            <a:ext cx="4587240" cy="2041763"/>
                          </a:xfrm>
                          <a:prstGeom prst="rect">
                            <a:avLst/>
                          </a:prstGeom>
                          <a:noFill/>
                          <a:ln w="9525">
                            <a:noFill/>
                          </a:ln>
                        </pic:spPr>
                      </pic:pic>
                    </a:graphicData>
                  </a:graphic>
                </wp:inline>
              </w:drawing>
            </w:r>
            <w:r>
              <w:t xml:space="preserve"> </w:t>
            </w:r>
            <w:bookmarkStart w:id="109" w:name="fig:ui_cve_list"/>
            <w:bookmarkEnd w:id="109"/>
          </w:p>
        </w:tc>
      </w:tr>
      <w:bookmarkEnd w:id="107"/>
      <w:bookmarkEnd w:id="108"/>
    </w:tbl>
    <w:p w14:paraId="14890E00">
      <w:pPr>
        <w:pStyle w:val="5"/>
      </w:pPr>
      <w:bookmarkStart w:id="110" w:name="智能体调度"/>
      <w:r>
        <w:rPr>
          <w:rFonts w:hint="eastAsia"/>
        </w:rPr>
        <w:t>智能体调度</w:t>
      </w:r>
    </w:p>
    <w:p w14:paraId="3890CDA6">
      <w:pPr>
        <w:pStyle w:val="23"/>
      </w:pPr>
      <w:r>
        <w:rPr>
          <w:rFonts w:hint="eastAsia"/>
        </w:rPr>
        <w:t>智能体调度模块如图</w:t>
      </w:r>
      <w:r>
        <w:t> </w:t>
      </w:r>
      <w:r>
        <w:fldChar w:fldCharType="begin"/>
      </w:r>
      <w:r>
        <w:instrText xml:space="preserve"> HYPERLINK \l "fig:ui_session_start" \h </w:instrText>
      </w:r>
      <w:r>
        <w:fldChar w:fldCharType="separate"/>
      </w:r>
      <w:r>
        <w:rPr>
          <w:rStyle w:val="20"/>
        </w:rPr>
        <w:t>4.8</w:t>
      </w:r>
      <w:r>
        <w:rPr>
          <w:rStyle w:val="20"/>
        </w:rPr>
        <w:fldChar w:fldCharType="end"/>
      </w:r>
      <w:r>
        <w:rPr>
          <w:rFonts w:hint="eastAsia"/>
        </w:rPr>
        <w:t>所示，负责将漏洞证据转化为可交付的候选策略，并通过评审反馈持续优化安全策略。系统以会话为基本单元，围绕证据检索、思维链分析、候选策略生成、评审与优化五个阶段组织处理流程。工作界面左侧支持选择目标</w:t>
      </w:r>
      <w:r>
        <w:t xml:space="preserve"> CVE </w:t>
      </w:r>
      <w:r>
        <w:rPr>
          <w:rFonts w:hint="eastAsia"/>
        </w:rPr>
        <w:t>并创建会话，右侧以进度条展示各阶段的运行状态。</w:t>
      </w:r>
    </w:p>
    <w:tbl>
      <w:tblPr>
        <w:tblStyle w:val="18"/>
        <w:tblW w:w="0" w:type="auto"/>
        <w:jc w:val="center"/>
        <w:tblLayout w:type="autofit"/>
        <w:tblCellMar>
          <w:top w:w="0" w:type="dxa"/>
          <w:left w:w="10" w:type="dxa"/>
          <w:bottom w:w="0" w:type="dxa"/>
          <w:right w:w="10" w:type="dxa"/>
        </w:tblCellMar>
      </w:tblPr>
      <w:tblGrid>
        <w:gridCol w:w="7244"/>
      </w:tblGrid>
      <w:tr w14:paraId="60CBED90">
        <w:tblPrEx>
          <w:tblCellMar>
            <w:top w:w="0" w:type="dxa"/>
            <w:left w:w="10" w:type="dxa"/>
            <w:bottom w:w="0" w:type="dxa"/>
            <w:right w:w="10" w:type="dxa"/>
          </w:tblCellMar>
        </w:tblPrEx>
        <w:trPr>
          <w:jc w:val="center"/>
        </w:trPr>
        <w:tc>
          <w:p w14:paraId="2FC577CF">
            <w:pPr>
              <w:jc w:val="center"/>
            </w:pPr>
            <w:bookmarkStart w:id="111" w:name="fig:ui_session_start"/>
            <w:r>
              <w:drawing>
                <wp:inline distT="0" distB="0" distL="114300" distR="114300">
                  <wp:extent cx="4587240" cy="2473960"/>
                  <wp:effectExtent l="0" t="0" r="0" b="0"/>
                  <wp:docPr id="17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descr="image"/>
                          <pic:cNvPicPr>
                            <a:picLocks noChangeAspect="1" noChangeArrowheads="1"/>
                          </pic:cNvPicPr>
                        </pic:nvPicPr>
                        <pic:blipFill>
                          <a:blip r:embed="rId22"/>
                          <a:stretch>
                            <a:fillRect/>
                          </a:stretch>
                        </pic:blipFill>
                        <pic:spPr>
                          <a:xfrm>
                            <a:off x="0" y="0"/>
                            <a:ext cx="4587240" cy="2474444"/>
                          </a:xfrm>
                          <a:prstGeom prst="rect">
                            <a:avLst/>
                          </a:prstGeom>
                          <a:noFill/>
                          <a:ln w="9525">
                            <a:noFill/>
                          </a:ln>
                        </pic:spPr>
                      </pic:pic>
                    </a:graphicData>
                  </a:graphic>
                </wp:inline>
              </w:drawing>
            </w:r>
            <w:r>
              <w:t xml:space="preserve"> </w:t>
            </w:r>
            <w:bookmarkStart w:id="112" w:name="fig:ui_session_start"/>
            <w:bookmarkEnd w:id="112"/>
          </w:p>
        </w:tc>
      </w:tr>
      <w:bookmarkEnd w:id="111"/>
    </w:tbl>
    <w:p w14:paraId="0ADBE8B3">
      <w:pPr>
        <w:pStyle w:val="3"/>
      </w:pPr>
      <w:r>
        <w:rPr>
          <w:rFonts w:hint="eastAsia"/>
        </w:rPr>
        <w:t>证据检索阶段如图</w:t>
      </w:r>
      <w:r>
        <w:t> </w:t>
      </w:r>
      <w:r>
        <w:fldChar w:fldCharType="begin"/>
      </w:r>
      <w:r>
        <w:instrText xml:space="preserve"> HYPERLINK \l "fig:ui_rag" \h </w:instrText>
      </w:r>
      <w:r>
        <w:fldChar w:fldCharType="separate"/>
      </w:r>
      <w:r>
        <w:rPr>
          <w:rStyle w:val="20"/>
        </w:rPr>
        <w:t>4.9</w:t>
      </w:r>
      <w:r>
        <w:rPr>
          <w:rStyle w:val="20"/>
        </w:rPr>
        <w:fldChar w:fldCharType="end"/>
      </w:r>
      <w:r>
        <w:rPr>
          <w:rFonts w:hint="eastAsia"/>
        </w:rPr>
        <w:t>。会话创建完成后，系统依据漏洞编号、漏洞描述与知识库范围生成检索请求，并在后台异步执行证据召回。从漏洞实例抽取语义特征，在知识库中召回相关片段，界面同时展示来源文档与相关度得分，供人工核验。</w:t>
      </w:r>
    </w:p>
    <w:tbl>
      <w:tblPr>
        <w:tblStyle w:val="18"/>
        <w:tblW w:w="0" w:type="auto"/>
        <w:jc w:val="center"/>
        <w:tblLayout w:type="autofit"/>
        <w:tblCellMar>
          <w:top w:w="0" w:type="dxa"/>
          <w:left w:w="10" w:type="dxa"/>
          <w:bottom w:w="0" w:type="dxa"/>
          <w:right w:w="10" w:type="dxa"/>
        </w:tblCellMar>
      </w:tblPr>
      <w:tblGrid>
        <w:gridCol w:w="7244"/>
      </w:tblGrid>
      <w:tr w14:paraId="05DE15C0">
        <w:tblPrEx>
          <w:tblCellMar>
            <w:top w:w="0" w:type="dxa"/>
            <w:left w:w="10" w:type="dxa"/>
            <w:bottom w:w="0" w:type="dxa"/>
            <w:right w:w="10" w:type="dxa"/>
          </w:tblCellMar>
        </w:tblPrEx>
        <w:trPr>
          <w:jc w:val="center"/>
        </w:trPr>
        <w:tc>
          <w:p w14:paraId="20F18A50">
            <w:pPr>
              <w:jc w:val="center"/>
            </w:pPr>
            <w:bookmarkStart w:id="113" w:name="fig:ui_rag"/>
            <w:r>
              <w:drawing>
                <wp:inline distT="0" distB="0" distL="114300" distR="114300">
                  <wp:extent cx="4587240" cy="2282825"/>
                  <wp:effectExtent l="0" t="0" r="0" b="0"/>
                  <wp:docPr id="18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descr="image"/>
                          <pic:cNvPicPr>
                            <a:picLocks noChangeAspect="1" noChangeArrowheads="1"/>
                          </pic:cNvPicPr>
                        </pic:nvPicPr>
                        <pic:blipFill>
                          <a:blip r:embed="rId23"/>
                          <a:stretch>
                            <a:fillRect/>
                          </a:stretch>
                        </pic:blipFill>
                        <pic:spPr>
                          <a:xfrm>
                            <a:off x="0" y="0"/>
                            <a:ext cx="4587240" cy="2282964"/>
                          </a:xfrm>
                          <a:prstGeom prst="rect">
                            <a:avLst/>
                          </a:prstGeom>
                          <a:noFill/>
                          <a:ln w="9525">
                            <a:noFill/>
                          </a:ln>
                        </pic:spPr>
                      </pic:pic>
                    </a:graphicData>
                  </a:graphic>
                </wp:inline>
              </w:drawing>
            </w:r>
            <w:r>
              <w:t xml:space="preserve"> </w:t>
            </w:r>
            <w:bookmarkStart w:id="114" w:name="fig:ui_rag"/>
            <w:bookmarkEnd w:id="114"/>
          </w:p>
        </w:tc>
      </w:tr>
      <w:bookmarkEnd w:id="113"/>
    </w:tbl>
    <w:p w14:paraId="18B06F18">
      <w:pPr>
        <w:pStyle w:val="3"/>
      </w:pPr>
      <w:r>
        <w:rPr>
          <w:rFonts w:hint="eastAsia"/>
        </w:rPr>
        <w:t>思维链推理阶段如图</w:t>
      </w:r>
      <w:r>
        <w:t> </w:t>
      </w:r>
      <w:r>
        <w:fldChar w:fldCharType="begin"/>
      </w:r>
      <w:r>
        <w:instrText xml:space="preserve"> HYPERLINK \l "fig:ui_cot_module" \h </w:instrText>
      </w:r>
      <w:r>
        <w:fldChar w:fldCharType="separate"/>
      </w:r>
      <w:r>
        <w:rPr>
          <w:rStyle w:val="20"/>
        </w:rPr>
        <w:t>4.10</w:t>
      </w:r>
      <w:r>
        <w:rPr>
          <w:rStyle w:val="20"/>
        </w:rPr>
        <w:fldChar w:fldCharType="end"/>
      </w:r>
      <w:r>
        <w:rPr>
          <w:rFonts w:hint="eastAsia"/>
        </w:rPr>
        <w:t>所示。完成安全上下文构建后，该阶段支持底层模型切换，点击</w:t>
      </w:r>
      <w:r>
        <w:t>“Run CoT”</w:t>
      </w:r>
      <w:r>
        <w:rPr>
          <w:rFonts w:hint="eastAsia"/>
        </w:rPr>
        <w:t>按钮后，系统调用指定模型对检索到的安全上下文开展引导式推理，分析漏洞的成因，攻击模式，可能的防控手段等，形成后续策略生成所需的结构化结论。上述分析结果以结构化字段形式写入持久层，供后续评审、策略优化与部署验证阶段使用。</w:t>
      </w:r>
    </w:p>
    <w:tbl>
      <w:tblPr>
        <w:tblStyle w:val="18"/>
        <w:tblW w:w="0" w:type="auto"/>
        <w:jc w:val="center"/>
        <w:tblLayout w:type="autofit"/>
        <w:tblCellMar>
          <w:top w:w="0" w:type="dxa"/>
          <w:left w:w="10" w:type="dxa"/>
          <w:bottom w:w="0" w:type="dxa"/>
          <w:right w:w="10" w:type="dxa"/>
        </w:tblCellMar>
      </w:tblPr>
      <w:tblGrid>
        <w:gridCol w:w="7160"/>
      </w:tblGrid>
      <w:tr w14:paraId="65591639">
        <w:tblPrEx>
          <w:tblCellMar>
            <w:top w:w="0" w:type="dxa"/>
            <w:left w:w="10" w:type="dxa"/>
            <w:bottom w:w="0" w:type="dxa"/>
            <w:right w:w="10" w:type="dxa"/>
          </w:tblCellMar>
        </w:tblPrEx>
        <w:trPr>
          <w:jc w:val="center"/>
        </w:trPr>
        <w:tc>
          <w:p w14:paraId="2E2FC313">
            <w:pPr>
              <w:jc w:val="center"/>
            </w:pPr>
            <w:bookmarkStart w:id="115" w:name="fig:ui_cot_module"/>
            <w:r>
              <w:drawing>
                <wp:inline distT="0" distB="0" distL="114300" distR="114300">
                  <wp:extent cx="4533900" cy="2608580"/>
                  <wp:effectExtent l="0" t="0" r="0" b="0"/>
                  <wp:docPr id="18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descr="image"/>
                          <pic:cNvPicPr>
                            <a:picLocks noChangeAspect="1" noChangeArrowheads="1"/>
                          </pic:cNvPicPr>
                        </pic:nvPicPr>
                        <pic:blipFill>
                          <a:blip r:embed="rId24"/>
                          <a:stretch>
                            <a:fillRect/>
                          </a:stretch>
                        </pic:blipFill>
                        <pic:spPr>
                          <a:xfrm>
                            <a:off x="0" y="0"/>
                            <a:ext cx="4533900" cy="2608736"/>
                          </a:xfrm>
                          <a:prstGeom prst="rect">
                            <a:avLst/>
                          </a:prstGeom>
                          <a:noFill/>
                          <a:ln w="9525">
                            <a:noFill/>
                          </a:ln>
                        </pic:spPr>
                      </pic:pic>
                    </a:graphicData>
                  </a:graphic>
                </wp:inline>
              </w:drawing>
            </w:r>
            <w:r>
              <w:t xml:space="preserve"> </w:t>
            </w:r>
            <w:bookmarkStart w:id="116" w:name="fig:ui_cot_module"/>
            <w:bookmarkEnd w:id="116"/>
          </w:p>
        </w:tc>
      </w:tr>
      <w:bookmarkEnd w:id="115"/>
    </w:tbl>
    <w:p w14:paraId="4991FF46">
      <w:pPr>
        <w:pStyle w:val="3"/>
      </w:pPr>
      <w:r>
        <w:rPr>
          <w:rFonts w:hint="eastAsia"/>
        </w:rPr>
        <w:t>完成思维链推理后系统进入候选策略生成阶段，如图</w:t>
      </w:r>
      <w:r>
        <w:t> </w:t>
      </w:r>
      <w:r>
        <w:fldChar w:fldCharType="begin"/>
      </w:r>
      <w:r>
        <w:instrText xml:space="preserve"> HYPERLINK \l "fig:ui_strategy_generated" \h </w:instrText>
      </w:r>
      <w:r>
        <w:fldChar w:fldCharType="separate"/>
      </w:r>
      <w:r>
        <w:rPr>
          <w:rStyle w:val="20"/>
        </w:rPr>
        <w:t>4.11</w:t>
      </w:r>
      <w:r>
        <w:rPr>
          <w:rStyle w:val="20"/>
        </w:rPr>
        <w:fldChar w:fldCharType="end"/>
      </w:r>
      <w:r>
        <w:rPr>
          <w:rFonts w:hint="eastAsia"/>
        </w:rPr>
        <w:t>所示。该阶段以前序检索结果与结构化分析结论为输入，生成可供后续评审的候选安全策略集合。每个安全策略条目以描述摘要和具体工具代码的形式展示。</w:t>
      </w:r>
    </w:p>
    <w:tbl>
      <w:tblPr>
        <w:tblStyle w:val="18"/>
        <w:tblW w:w="0" w:type="auto"/>
        <w:jc w:val="center"/>
        <w:tblLayout w:type="autofit"/>
        <w:tblCellMar>
          <w:top w:w="0" w:type="dxa"/>
          <w:left w:w="10" w:type="dxa"/>
          <w:bottom w:w="0" w:type="dxa"/>
          <w:right w:w="10" w:type="dxa"/>
        </w:tblCellMar>
      </w:tblPr>
      <w:tblGrid>
        <w:gridCol w:w="7244"/>
      </w:tblGrid>
      <w:tr w14:paraId="66A52C3E">
        <w:tblPrEx>
          <w:tblCellMar>
            <w:top w:w="0" w:type="dxa"/>
            <w:left w:w="10" w:type="dxa"/>
            <w:bottom w:w="0" w:type="dxa"/>
            <w:right w:w="10" w:type="dxa"/>
          </w:tblCellMar>
        </w:tblPrEx>
        <w:trPr>
          <w:jc w:val="center"/>
        </w:trPr>
        <w:tc>
          <w:p w14:paraId="3B94519D">
            <w:pPr>
              <w:jc w:val="center"/>
            </w:pPr>
            <w:bookmarkStart w:id="117" w:name="fig:ui_strategy_generated"/>
            <w:r>
              <w:drawing>
                <wp:inline distT="0" distB="0" distL="114300" distR="114300">
                  <wp:extent cx="4587240" cy="3133090"/>
                  <wp:effectExtent l="0" t="0" r="0" b="0"/>
                  <wp:docPr id="19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descr="image"/>
                          <pic:cNvPicPr>
                            <a:picLocks noChangeAspect="1" noChangeArrowheads="1"/>
                          </pic:cNvPicPr>
                        </pic:nvPicPr>
                        <pic:blipFill>
                          <a:blip r:embed="rId25"/>
                          <a:stretch>
                            <a:fillRect/>
                          </a:stretch>
                        </pic:blipFill>
                        <pic:spPr>
                          <a:xfrm>
                            <a:off x="0" y="0"/>
                            <a:ext cx="4587240" cy="3133445"/>
                          </a:xfrm>
                          <a:prstGeom prst="rect">
                            <a:avLst/>
                          </a:prstGeom>
                          <a:noFill/>
                          <a:ln w="9525">
                            <a:noFill/>
                          </a:ln>
                        </pic:spPr>
                      </pic:pic>
                    </a:graphicData>
                  </a:graphic>
                </wp:inline>
              </w:drawing>
            </w:r>
            <w:r>
              <w:t xml:space="preserve"> </w:t>
            </w:r>
            <w:bookmarkStart w:id="118" w:name="fig:ui_strategy_generated"/>
            <w:bookmarkEnd w:id="118"/>
          </w:p>
        </w:tc>
      </w:tr>
      <w:bookmarkEnd w:id="117"/>
    </w:tbl>
    <w:p w14:paraId="5D68513D">
      <w:pPr>
        <w:pStyle w:val="3"/>
      </w:pPr>
      <w:r>
        <w:rPr>
          <w:rFonts w:hint="eastAsia"/>
        </w:rPr>
        <w:t>策略生成完成后，可调用评审智能体对候选策略展开结构化评审，如图</w:t>
      </w:r>
      <w:r>
        <w:t> </w:t>
      </w:r>
      <w:r>
        <w:fldChar w:fldCharType="begin"/>
      </w:r>
      <w:r>
        <w:instrText xml:space="preserve"> HYPERLINK \l "fig:ui_review_detail" \h </w:instrText>
      </w:r>
      <w:r>
        <w:fldChar w:fldCharType="separate"/>
      </w:r>
      <w:r>
        <w:rPr>
          <w:rStyle w:val="20"/>
        </w:rPr>
        <w:t>4.12</w:t>
      </w:r>
      <w:r>
        <w:rPr>
          <w:rStyle w:val="20"/>
        </w:rPr>
        <w:fldChar w:fldCharType="end"/>
      </w:r>
      <w:r>
        <w:rPr>
          <w:rFonts w:hint="eastAsia"/>
        </w:rPr>
        <w:t>所示。输出内容包含有效点、风险项、信息缺口与干扰源，为后续优化提供明确依据。与仅返回单一结论的生成方式相比，这种结构化反馈更有利于定位候选策略中的薄弱环节，并支持按问题类型进行针对性修订。该模块同时支持人工输入评审提示词，增强评审意见的有效性。</w:t>
      </w:r>
    </w:p>
    <w:tbl>
      <w:tblPr>
        <w:tblStyle w:val="18"/>
        <w:tblW w:w="0" w:type="auto"/>
        <w:jc w:val="center"/>
        <w:tblLayout w:type="autofit"/>
        <w:tblCellMar>
          <w:top w:w="0" w:type="dxa"/>
          <w:left w:w="10" w:type="dxa"/>
          <w:bottom w:w="0" w:type="dxa"/>
          <w:right w:w="10" w:type="dxa"/>
        </w:tblCellMar>
      </w:tblPr>
      <w:tblGrid>
        <w:gridCol w:w="7244"/>
      </w:tblGrid>
      <w:tr w14:paraId="5CB2EEA1">
        <w:tblPrEx>
          <w:tblCellMar>
            <w:top w:w="0" w:type="dxa"/>
            <w:left w:w="10" w:type="dxa"/>
            <w:bottom w:w="0" w:type="dxa"/>
            <w:right w:w="10" w:type="dxa"/>
          </w:tblCellMar>
        </w:tblPrEx>
        <w:trPr>
          <w:jc w:val="center"/>
        </w:trPr>
        <w:tc>
          <w:p w14:paraId="37CC5814">
            <w:pPr>
              <w:jc w:val="center"/>
            </w:pPr>
            <w:bookmarkStart w:id="119" w:name="fig:ui_review_detail"/>
            <w:r>
              <w:drawing>
                <wp:inline distT="0" distB="0" distL="114300" distR="114300">
                  <wp:extent cx="4587240" cy="1694815"/>
                  <wp:effectExtent l="0" t="0" r="0" b="0"/>
                  <wp:docPr id="19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descr="image"/>
                          <pic:cNvPicPr>
                            <a:picLocks noChangeAspect="1" noChangeArrowheads="1"/>
                          </pic:cNvPicPr>
                        </pic:nvPicPr>
                        <pic:blipFill>
                          <a:blip r:embed="rId26"/>
                          <a:stretch>
                            <a:fillRect/>
                          </a:stretch>
                        </pic:blipFill>
                        <pic:spPr>
                          <a:xfrm>
                            <a:off x="0" y="0"/>
                            <a:ext cx="4587240" cy="1695226"/>
                          </a:xfrm>
                          <a:prstGeom prst="rect">
                            <a:avLst/>
                          </a:prstGeom>
                          <a:noFill/>
                          <a:ln w="9525">
                            <a:noFill/>
                          </a:ln>
                        </pic:spPr>
                      </pic:pic>
                    </a:graphicData>
                  </a:graphic>
                </wp:inline>
              </w:drawing>
            </w:r>
            <w:r>
              <w:t xml:space="preserve"> </w:t>
            </w:r>
            <w:bookmarkStart w:id="120" w:name="fig:ui_review_detail"/>
            <w:bookmarkEnd w:id="120"/>
          </w:p>
        </w:tc>
      </w:tr>
      <w:bookmarkEnd w:id="119"/>
    </w:tbl>
    <w:p w14:paraId="69F719A0">
      <w:pPr>
        <w:pStyle w:val="3"/>
      </w:pPr>
      <w:r>
        <w:rPr>
          <w:rFonts w:hint="eastAsia"/>
        </w:rPr>
        <w:t>完成评审与迭代优化后，系统输出候选策略集合的最终展示结果如图</w:t>
      </w:r>
      <w:r>
        <w:t> </w:t>
      </w:r>
      <w:r>
        <w:fldChar w:fldCharType="begin"/>
      </w:r>
      <w:r>
        <w:instrText xml:space="preserve"> HYPERLINK \l "fig:ui_strategy_final" \h </w:instrText>
      </w:r>
      <w:r>
        <w:fldChar w:fldCharType="separate"/>
      </w:r>
      <w:r>
        <w:rPr>
          <w:rStyle w:val="20"/>
        </w:rPr>
        <w:t>4.13</w:t>
      </w:r>
      <w:r>
        <w:rPr>
          <w:rStyle w:val="20"/>
        </w:rPr>
        <w:fldChar w:fldCharType="end"/>
      </w:r>
      <w:r>
        <w:rPr>
          <w:rFonts w:hint="eastAsia"/>
        </w:rPr>
        <w:t>。安全工程师可在界面查看各候选的完整控制条目并发起部署。最终展示阶段不仅呈现候选内容本身，还保留了候选来源、评审意见与版本演化信息，从而为后续人工确认与策略落地提供完整依据。</w:t>
      </w:r>
    </w:p>
    <w:tbl>
      <w:tblPr>
        <w:tblStyle w:val="18"/>
        <w:tblW w:w="0" w:type="auto"/>
        <w:jc w:val="center"/>
        <w:tblLayout w:type="autofit"/>
        <w:tblCellMar>
          <w:top w:w="0" w:type="dxa"/>
          <w:left w:w="10" w:type="dxa"/>
          <w:bottom w:w="0" w:type="dxa"/>
          <w:right w:w="10" w:type="dxa"/>
        </w:tblCellMar>
      </w:tblPr>
      <w:tblGrid>
        <w:gridCol w:w="7244"/>
      </w:tblGrid>
      <w:tr w14:paraId="117FB6EA">
        <w:tblPrEx>
          <w:tblCellMar>
            <w:top w:w="0" w:type="dxa"/>
            <w:left w:w="10" w:type="dxa"/>
            <w:bottom w:w="0" w:type="dxa"/>
            <w:right w:w="10" w:type="dxa"/>
          </w:tblCellMar>
        </w:tblPrEx>
        <w:trPr>
          <w:jc w:val="center"/>
        </w:trPr>
        <w:tc>
          <w:p w14:paraId="4D93097D">
            <w:pPr>
              <w:jc w:val="center"/>
            </w:pPr>
            <w:bookmarkStart w:id="121" w:name="fig:ui_strategy_final"/>
            <w:r>
              <w:drawing>
                <wp:inline distT="0" distB="0" distL="114300" distR="114300">
                  <wp:extent cx="4587240" cy="2972435"/>
                  <wp:effectExtent l="0" t="0" r="0" b="0"/>
                  <wp:docPr id="20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descr="image"/>
                          <pic:cNvPicPr>
                            <a:picLocks noChangeAspect="1" noChangeArrowheads="1"/>
                          </pic:cNvPicPr>
                        </pic:nvPicPr>
                        <pic:blipFill>
                          <a:blip r:embed="rId27"/>
                          <a:stretch>
                            <a:fillRect/>
                          </a:stretch>
                        </pic:blipFill>
                        <pic:spPr>
                          <a:xfrm>
                            <a:off x="0" y="0"/>
                            <a:ext cx="4587240" cy="2972676"/>
                          </a:xfrm>
                          <a:prstGeom prst="rect">
                            <a:avLst/>
                          </a:prstGeom>
                          <a:noFill/>
                          <a:ln w="9525">
                            <a:noFill/>
                          </a:ln>
                        </pic:spPr>
                      </pic:pic>
                    </a:graphicData>
                  </a:graphic>
                </wp:inline>
              </w:drawing>
            </w:r>
            <w:r>
              <w:t xml:space="preserve"> </w:t>
            </w:r>
            <w:bookmarkStart w:id="122" w:name="fig:ui_strategy_final"/>
            <w:bookmarkEnd w:id="122"/>
          </w:p>
        </w:tc>
      </w:tr>
      <w:bookmarkEnd w:id="110"/>
      <w:bookmarkEnd w:id="121"/>
    </w:tbl>
    <w:p w14:paraId="4B30FDC6">
      <w:pPr>
        <w:pStyle w:val="5"/>
      </w:pPr>
      <w:bookmarkStart w:id="123" w:name="质量评审"/>
      <w:r>
        <w:rPr>
          <w:rFonts w:hint="eastAsia"/>
        </w:rPr>
        <w:t>质量评审</w:t>
      </w:r>
    </w:p>
    <w:p w14:paraId="43A1F723">
      <w:pPr>
        <w:pStyle w:val="23"/>
      </w:pPr>
      <w:r>
        <w:rPr>
          <w:rFonts w:hint="eastAsia"/>
        </w:rPr>
        <w:t>质量评审模块为安全专家提供安全策略的排序式评价界面如图</w:t>
      </w:r>
      <w:r>
        <w:t> </w:t>
      </w:r>
      <w:r>
        <w:fldChar w:fldCharType="begin"/>
      </w:r>
      <w:r>
        <w:instrText xml:space="preserve"> HYPERLINK \l "fig:ui_ranking" \h </w:instrText>
      </w:r>
      <w:r>
        <w:fldChar w:fldCharType="separate"/>
      </w:r>
      <w:r>
        <w:rPr>
          <w:rStyle w:val="20"/>
        </w:rPr>
        <w:t>4.14</w:t>
      </w:r>
      <w:r>
        <w:rPr>
          <w:rStyle w:val="20"/>
        </w:rPr>
        <w:fldChar w:fldCharType="end"/>
      </w:r>
      <w:r>
        <w:rPr>
          <w:rFonts w:hint="eastAsia"/>
        </w:rPr>
        <w:t>所示。评审阶段收集围绕有效性、干扰风险与前置条件的逐项反馈，驱动策略优化。用户可展开候选策略详情面板查看完整执行步骤与策略</w:t>
      </w:r>
      <w:r>
        <w:t xml:space="preserve"> JSON </w:t>
      </w:r>
      <w:r>
        <w:rPr>
          <w:rFonts w:hint="eastAsia"/>
        </w:rPr>
        <w:t>内容，以支持基于实施细节的评价。排序阶段，专家对同类型候选进行拖拽排序以进行质量评估；系统提交前执行候选策略完整性校验，确认后将排序结果、评分评价与评审员标识写入持久层，形成可审计的数据集。</w:t>
      </w:r>
    </w:p>
    <w:tbl>
      <w:tblPr>
        <w:tblStyle w:val="18"/>
        <w:tblW w:w="0" w:type="auto"/>
        <w:jc w:val="center"/>
        <w:tblLayout w:type="autofit"/>
        <w:tblCellMar>
          <w:top w:w="0" w:type="dxa"/>
          <w:left w:w="10" w:type="dxa"/>
          <w:bottom w:w="0" w:type="dxa"/>
          <w:right w:w="10" w:type="dxa"/>
        </w:tblCellMar>
      </w:tblPr>
      <w:tblGrid>
        <w:gridCol w:w="7244"/>
      </w:tblGrid>
      <w:tr w14:paraId="5AAA87CC">
        <w:tblPrEx>
          <w:tblCellMar>
            <w:top w:w="0" w:type="dxa"/>
            <w:left w:w="10" w:type="dxa"/>
            <w:bottom w:w="0" w:type="dxa"/>
            <w:right w:w="10" w:type="dxa"/>
          </w:tblCellMar>
        </w:tblPrEx>
        <w:trPr>
          <w:jc w:val="center"/>
        </w:trPr>
        <w:tc>
          <w:p w14:paraId="2F568D44">
            <w:pPr>
              <w:jc w:val="center"/>
            </w:pPr>
            <w:bookmarkStart w:id="124" w:name="fig:ui_ranking"/>
            <w:r>
              <w:drawing>
                <wp:inline distT="0" distB="0" distL="114300" distR="114300">
                  <wp:extent cx="4587240" cy="1903095"/>
                  <wp:effectExtent l="0" t="0" r="0" b="0"/>
                  <wp:docPr id="20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descr="image"/>
                          <pic:cNvPicPr>
                            <a:picLocks noChangeAspect="1" noChangeArrowheads="1"/>
                          </pic:cNvPicPr>
                        </pic:nvPicPr>
                        <pic:blipFill>
                          <a:blip r:embed="rId28"/>
                          <a:stretch>
                            <a:fillRect/>
                          </a:stretch>
                        </pic:blipFill>
                        <pic:spPr>
                          <a:xfrm>
                            <a:off x="0" y="0"/>
                            <a:ext cx="4587240" cy="1903135"/>
                          </a:xfrm>
                          <a:prstGeom prst="rect">
                            <a:avLst/>
                          </a:prstGeom>
                          <a:noFill/>
                          <a:ln w="9525">
                            <a:noFill/>
                          </a:ln>
                        </pic:spPr>
                      </pic:pic>
                    </a:graphicData>
                  </a:graphic>
                </wp:inline>
              </w:drawing>
            </w:r>
            <w:r>
              <w:t xml:space="preserve"> </w:t>
            </w:r>
            <w:bookmarkStart w:id="125" w:name="fig:ui_ranking"/>
            <w:bookmarkEnd w:id="125"/>
          </w:p>
        </w:tc>
      </w:tr>
      <w:bookmarkEnd w:id="124"/>
    </w:tbl>
    <w:p w14:paraId="5A9A244A">
      <w:pPr>
        <w:pStyle w:val="3"/>
      </w:pPr>
      <w:r>
        <w:rPr>
          <w:rFonts w:hint="eastAsia"/>
        </w:rPr>
        <w:t>排序提交页面如图</w:t>
      </w:r>
      <w:r>
        <w:t> </w:t>
      </w:r>
      <w:r>
        <w:fldChar w:fldCharType="begin"/>
      </w:r>
      <w:r>
        <w:instrText xml:space="preserve"> HYPERLINK \l "fig:ui_ranking_submit" \h </w:instrText>
      </w:r>
      <w:r>
        <w:fldChar w:fldCharType="separate"/>
      </w:r>
      <w:r>
        <w:rPr>
          <w:rStyle w:val="20"/>
        </w:rPr>
        <w:t>4.15</w:t>
      </w:r>
      <w:r>
        <w:rPr>
          <w:rStyle w:val="20"/>
        </w:rPr>
        <w:fldChar w:fldCharType="end"/>
      </w:r>
      <w:r>
        <w:rPr>
          <w:rFonts w:hint="eastAsia"/>
        </w:rPr>
        <w:t>所示，支持填写排序理由并查看历史排序记录，历史记录按三个评价维度分别展示每次提交的候选策略排序结果，便于对比多轮评审意见的演变趋势。</w:t>
      </w:r>
    </w:p>
    <w:tbl>
      <w:tblPr>
        <w:tblStyle w:val="18"/>
        <w:tblW w:w="0" w:type="auto"/>
        <w:jc w:val="center"/>
        <w:tblLayout w:type="autofit"/>
        <w:tblCellMar>
          <w:top w:w="0" w:type="dxa"/>
          <w:left w:w="10" w:type="dxa"/>
          <w:bottom w:w="0" w:type="dxa"/>
          <w:right w:w="10" w:type="dxa"/>
        </w:tblCellMar>
      </w:tblPr>
      <w:tblGrid>
        <w:gridCol w:w="7244"/>
      </w:tblGrid>
      <w:tr w14:paraId="641D9EF6">
        <w:tblPrEx>
          <w:tblCellMar>
            <w:top w:w="0" w:type="dxa"/>
            <w:left w:w="10" w:type="dxa"/>
            <w:bottom w:w="0" w:type="dxa"/>
            <w:right w:w="10" w:type="dxa"/>
          </w:tblCellMar>
        </w:tblPrEx>
        <w:trPr>
          <w:jc w:val="center"/>
        </w:trPr>
        <w:tc>
          <w:p w14:paraId="36EA8BB9">
            <w:pPr>
              <w:jc w:val="center"/>
            </w:pPr>
            <w:bookmarkStart w:id="126" w:name="fig:ui_ranking_submit"/>
            <w:r>
              <w:drawing>
                <wp:inline distT="0" distB="0" distL="114300" distR="114300">
                  <wp:extent cx="4587240" cy="2202180"/>
                  <wp:effectExtent l="0" t="0" r="0" b="0"/>
                  <wp:docPr id="21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descr="image"/>
                          <pic:cNvPicPr>
                            <a:picLocks noChangeAspect="1" noChangeArrowheads="1"/>
                          </pic:cNvPicPr>
                        </pic:nvPicPr>
                        <pic:blipFill>
                          <a:blip r:embed="rId29"/>
                          <a:stretch>
                            <a:fillRect/>
                          </a:stretch>
                        </pic:blipFill>
                        <pic:spPr>
                          <a:xfrm>
                            <a:off x="0" y="0"/>
                            <a:ext cx="4587240" cy="2202802"/>
                          </a:xfrm>
                          <a:prstGeom prst="rect">
                            <a:avLst/>
                          </a:prstGeom>
                          <a:noFill/>
                          <a:ln w="9525">
                            <a:noFill/>
                          </a:ln>
                        </pic:spPr>
                      </pic:pic>
                    </a:graphicData>
                  </a:graphic>
                </wp:inline>
              </w:drawing>
            </w:r>
            <w:r>
              <w:t xml:space="preserve"> </w:t>
            </w:r>
            <w:bookmarkStart w:id="127" w:name="fig:ui_ranking_submit"/>
            <w:bookmarkEnd w:id="127"/>
          </w:p>
        </w:tc>
      </w:tr>
      <w:bookmarkEnd w:id="123"/>
      <w:bookmarkEnd w:id="126"/>
    </w:tbl>
    <w:p w14:paraId="5348B934">
      <w:pPr>
        <w:pStyle w:val="5"/>
      </w:pPr>
      <w:bookmarkStart w:id="128" w:name="策略管理"/>
      <w:r>
        <w:rPr>
          <w:rFonts w:hint="eastAsia"/>
        </w:rPr>
        <w:t>策略管理</w:t>
      </w:r>
    </w:p>
    <w:p w14:paraId="23D5ECBA">
      <w:pPr>
        <w:pStyle w:val="23"/>
      </w:pPr>
      <w:r>
        <w:rPr>
          <w:rFonts w:hint="eastAsia"/>
        </w:rPr>
        <w:t>策略部署管理模块将通过评审的候选策略下发至目标环境，支持</w:t>
      </w:r>
      <w:r>
        <w:t xml:space="preserve"> K8s (Python SDK </w:t>
      </w:r>
      <w:r>
        <w:rPr>
          <w:rFonts w:hint="eastAsia"/>
        </w:rPr>
        <w:t>连接</w:t>
      </w:r>
      <w:r>
        <w:t xml:space="preserve"> API </w:t>
      </w:r>
      <w:r>
        <w:rPr>
          <w:rFonts w:hint="eastAsia"/>
        </w:rPr>
        <w:t>Server)与</w:t>
      </w:r>
      <w:r>
        <w:t xml:space="preserve"> SSH </w:t>
      </w:r>
      <w:r>
        <w:rPr>
          <w:rFonts w:hint="eastAsia"/>
        </w:rPr>
        <w:t>两种部署方式。部署前需在目标设置页面(图</w:t>
      </w:r>
      <w:r>
        <w:t> </w:t>
      </w:r>
      <w:r>
        <w:fldChar w:fldCharType="begin"/>
      </w:r>
      <w:r>
        <w:instrText xml:space="preserve"> HYPERLINK \l "fig:ui_deploy_target" \h </w:instrText>
      </w:r>
      <w:r>
        <w:fldChar w:fldCharType="separate"/>
      </w:r>
      <w:r>
        <w:rPr>
          <w:rStyle w:val="20"/>
        </w:rPr>
        <w:t>4.16</w:t>
      </w:r>
      <w:r>
        <w:rPr>
          <w:rStyle w:val="20"/>
        </w:rPr>
        <w:fldChar w:fldCharType="end"/>
      </w:r>
      <w:r>
        <w:rPr>
          <w:rFonts w:hint="eastAsia"/>
        </w:rPr>
        <w:t>)配置连接参数：kubectl</w:t>
      </w:r>
      <w:r>
        <w:t xml:space="preserve"> </w:t>
      </w:r>
      <w:r>
        <w:rPr>
          <w:rFonts w:hint="eastAsia"/>
        </w:rPr>
        <w:t>类动作通过</w:t>
      </w:r>
      <w:r>
        <w:t xml:space="preserve"> Python SDK </w:t>
      </w:r>
      <w:r>
        <w:rPr>
          <w:rFonts w:hint="eastAsia"/>
        </w:rPr>
        <w:t>直连</w:t>
      </w:r>
      <w:r>
        <w:t xml:space="preserve"> API </w:t>
      </w:r>
      <w:r>
        <w:rPr>
          <w:rFonts w:hint="eastAsia"/>
        </w:rPr>
        <w:t>Server，仅需</w:t>
      </w:r>
      <w:r>
        <w:t xml:space="preserve"> kubeconfig </w:t>
      </w:r>
      <w:r>
        <w:rPr>
          <w:rFonts w:hint="eastAsia"/>
        </w:rPr>
        <w:t>文件路径；SSH</w:t>
      </w:r>
      <w:r>
        <w:t xml:space="preserve"> </w:t>
      </w:r>
      <w:r>
        <w:rPr>
          <w:rFonts w:hint="eastAsia"/>
        </w:rPr>
        <w:t>方式则用于执行非</w:t>
      </w:r>
      <w:r>
        <w:t xml:space="preserve"> kubectl </w:t>
      </w:r>
      <w:r>
        <w:rPr>
          <w:rFonts w:hint="eastAsia"/>
        </w:rPr>
        <w:t>的</w:t>
      </w:r>
      <w:r>
        <w:t xml:space="preserve"> shell/helm </w:t>
      </w:r>
      <w:r>
        <w:rPr>
          <w:rFonts w:hint="eastAsia"/>
        </w:rPr>
        <w:t>命令，需配置主机地址、用户名与密钥路径。如图</w:t>
      </w:r>
      <w:r>
        <w:t> </w:t>
      </w:r>
      <w:r>
        <w:fldChar w:fldCharType="begin"/>
      </w:r>
      <w:r>
        <w:instrText xml:space="preserve"> HYPERLINK \l "fig:ui_deploy_manage" \h </w:instrText>
      </w:r>
      <w:r>
        <w:fldChar w:fldCharType="separate"/>
      </w:r>
      <w:r>
        <w:rPr>
          <w:rStyle w:val="20"/>
        </w:rPr>
        <w:t>4.17</w:t>
      </w:r>
      <w:r>
        <w:rPr>
          <w:rStyle w:val="20"/>
        </w:rPr>
        <w:fldChar w:fldCharType="end"/>
      </w:r>
      <w:r>
        <w:rPr>
          <w:rFonts w:hint="eastAsia"/>
        </w:rPr>
        <w:t>所示，部署管理面板统一展示跨集群、跨主机的策略实例，记录策略名称、目标对象、部署时间与状态。</w:t>
      </w:r>
    </w:p>
    <w:tbl>
      <w:tblPr>
        <w:tblStyle w:val="18"/>
        <w:tblW w:w="0" w:type="auto"/>
        <w:jc w:val="center"/>
        <w:tblLayout w:type="autofit"/>
        <w:tblCellMar>
          <w:top w:w="0" w:type="dxa"/>
          <w:left w:w="10" w:type="dxa"/>
          <w:bottom w:w="0" w:type="dxa"/>
          <w:right w:w="10" w:type="dxa"/>
        </w:tblCellMar>
      </w:tblPr>
      <w:tblGrid>
        <w:gridCol w:w="7244"/>
      </w:tblGrid>
      <w:tr w14:paraId="687B7514">
        <w:tblPrEx>
          <w:tblCellMar>
            <w:top w:w="0" w:type="dxa"/>
            <w:left w:w="10" w:type="dxa"/>
            <w:bottom w:w="0" w:type="dxa"/>
            <w:right w:w="10" w:type="dxa"/>
          </w:tblCellMar>
        </w:tblPrEx>
        <w:trPr>
          <w:jc w:val="center"/>
        </w:trPr>
        <w:tc>
          <w:p w14:paraId="3CC9FF01">
            <w:pPr>
              <w:jc w:val="center"/>
            </w:pPr>
            <w:bookmarkStart w:id="129" w:name="fig:ui_deploy_target"/>
            <w:r>
              <w:drawing>
                <wp:inline distT="0" distB="0" distL="114300" distR="114300">
                  <wp:extent cx="4587240" cy="2924175"/>
                  <wp:effectExtent l="0" t="0" r="0" b="0"/>
                  <wp:docPr id="21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descr="image"/>
                          <pic:cNvPicPr>
                            <a:picLocks noChangeAspect="1" noChangeArrowheads="1"/>
                          </pic:cNvPicPr>
                        </pic:nvPicPr>
                        <pic:blipFill>
                          <a:blip r:embed="rId30"/>
                          <a:stretch>
                            <a:fillRect/>
                          </a:stretch>
                        </pic:blipFill>
                        <pic:spPr>
                          <a:xfrm>
                            <a:off x="0" y="0"/>
                            <a:ext cx="4587240" cy="2924225"/>
                          </a:xfrm>
                          <a:prstGeom prst="rect">
                            <a:avLst/>
                          </a:prstGeom>
                          <a:noFill/>
                          <a:ln w="9525">
                            <a:noFill/>
                          </a:ln>
                        </pic:spPr>
                      </pic:pic>
                    </a:graphicData>
                  </a:graphic>
                </wp:inline>
              </w:drawing>
            </w:r>
            <w:r>
              <w:t xml:space="preserve"> </w:t>
            </w:r>
            <w:bookmarkStart w:id="130" w:name="fig:ui_deploy_target"/>
            <w:bookmarkEnd w:id="130"/>
          </w:p>
        </w:tc>
      </w:tr>
      <w:bookmarkEnd w:id="129"/>
      <w:tr w14:paraId="6B9AD28A">
        <w:tblPrEx>
          <w:tblCellMar>
            <w:top w:w="0" w:type="dxa"/>
            <w:left w:w="10" w:type="dxa"/>
            <w:bottom w:w="0" w:type="dxa"/>
            <w:right w:w="10" w:type="dxa"/>
          </w:tblCellMar>
        </w:tblPrEx>
        <w:trPr>
          <w:jc w:val="center"/>
        </w:trPr>
        <w:tc>
          <w:p w14:paraId="601A0361">
            <w:pPr>
              <w:jc w:val="center"/>
            </w:pPr>
            <w:bookmarkStart w:id="131" w:name="fig:ui_deploy_manage"/>
            <w:r>
              <w:drawing>
                <wp:inline distT="0" distB="0" distL="114300" distR="114300">
                  <wp:extent cx="4587240" cy="2235200"/>
                  <wp:effectExtent l="0" t="0" r="0" b="0"/>
                  <wp:docPr id="22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descr="image"/>
                          <pic:cNvPicPr>
                            <a:picLocks noChangeAspect="1" noChangeArrowheads="1"/>
                          </pic:cNvPicPr>
                        </pic:nvPicPr>
                        <pic:blipFill>
                          <a:blip r:embed="rId31"/>
                          <a:stretch>
                            <a:fillRect/>
                          </a:stretch>
                        </pic:blipFill>
                        <pic:spPr>
                          <a:xfrm>
                            <a:off x="0" y="0"/>
                            <a:ext cx="4587240" cy="2235753"/>
                          </a:xfrm>
                          <a:prstGeom prst="rect">
                            <a:avLst/>
                          </a:prstGeom>
                          <a:noFill/>
                          <a:ln w="9525">
                            <a:noFill/>
                          </a:ln>
                        </pic:spPr>
                      </pic:pic>
                    </a:graphicData>
                  </a:graphic>
                </wp:inline>
              </w:drawing>
            </w:r>
            <w:r>
              <w:t xml:space="preserve"> </w:t>
            </w:r>
            <w:bookmarkStart w:id="132" w:name="fig:ui_deploy_manage"/>
            <w:bookmarkEnd w:id="132"/>
          </w:p>
        </w:tc>
      </w:tr>
      <w:bookmarkEnd w:id="106"/>
      <w:bookmarkEnd w:id="128"/>
      <w:bookmarkEnd w:id="131"/>
    </w:tbl>
    <w:p w14:paraId="7F074CB7">
      <w:pPr>
        <w:pStyle w:val="4"/>
      </w:pPr>
      <w:bookmarkStart w:id="133" w:name="小结-2"/>
      <w:r>
        <w:rPr>
          <w:rFonts w:hint="eastAsia"/>
        </w:rPr>
        <w:t>小结</w:t>
      </w:r>
    </w:p>
    <w:p w14:paraId="33DCCBA2">
      <w:pPr>
        <w:pStyle w:val="23"/>
      </w:pPr>
      <w:r>
        <w:rPr>
          <w:rFonts w:hint="eastAsia"/>
        </w:rPr>
        <w:t>本章完成了</w:t>
      </w:r>
      <w:r>
        <w:t xml:space="preserve"> KPEDefense </w:t>
      </w:r>
      <w:r>
        <w:rPr>
          <w:rFonts w:hint="eastAsia"/>
        </w:rPr>
        <w:t>系统的设计与实现。需求分析部分明确了两类用户角色和四项功能需求；总体设计部分给出了分层架构、数据模型、详细流程和交互时序；详细设计部分说明了知识库管理、智能体调度、策略评审以及策略部署管理四个模块的实现与交互方式。</w:t>
      </w:r>
    </w:p>
    <w:bookmarkEnd w:id="87"/>
    <w:bookmarkEnd w:id="133"/>
    <w:p w14:paraId="3FDF019E">
      <w:pPr>
        <w:pStyle w:val="2"/>
      </w:pPr>
      <w:bookmarkStart w:id="134" w:name="chap:experiment"/>
      <w:r>
        <w:rPr>
          <w:rFonts w:hint="eastAsia"/>
        </w:rPr>
        <w:t>实验评估</w:t>
      </w:r>
    </w:p>
    <w:p w14:paraId="4E439606">
      <w:pPr>
        <w:pStyle w:val="23"/>
      </w:pPr>
      <w:r>
        <w:rPr>
          <w:rFonts w:hint="eastAsia"/>
        </w:rPr>
        <w:t>本章以近五年的云原生权限提升漏洞作为实验对象，评估</w:t>
      </w:r>
      <w:r>
        <w:t xml:space="preserve"> KPEDefense </w:t>
      </w:r>
      <w:r>
        <w:rPr>
          <w:rFonts w:hint="eastAsia"/>
        </w:rPr>
        <w:t>的合理性和有效性，及其与现有静态扫描方法的优势。</w:t>
      </w:r>
    </w:p>
    <w:p w14:paraId="55B6B3F7">
      <w:pPr>
        <w:pStyle w:val="4"/>
      </w:pPr>
      <w:bookmarkStart w:id="135" w:name="研究问题"/>
      <w:r>
        <w:rPr>
          <w:rFonts w:hint="eastAsia"/>
        </w:rPr>
        <w:t>研究问题</w:t>
      </w:r>
    </w:p>
    <w:p w14:paraId="31684E9D">
      <w:pPr>
        <w:pStyle w:val="23"/>
      </w:pPr>
      <w:r>
        <w:rPr>
          <w:rFonts w:hint="eastAsia"/>
        </w:rPr>
        <w:t>本章围绕以下问题展开实验：</w:t>
      </w:r>
    </w:p>
    <w:p w14:paraId="009E1A0C">
      <w:pPr>
        <w:numPr>
          <w:ilvl w:val="0"/>
          <w:numId w:val="7"/>
        </w:numPr>
      </w:pPr>
      <w:r>
        <w:rPr>
          <w:rFonts w:hint="eastAsia"/>
          <w:b/>
          <w:bCs/>
        </w:rPr>
        <w:t>KPEDefense方法生成安全策略的有效性如何？</w:t>
      </w:r>
    </w:p>
    <w:p w14:paraId="2FFA4805">
      <w:pPr>
        <w:numPr>
          <w:ilvl w:val="0"/>
          <w:numId w:val="8"/>
        </w:numPr>
      </w:pPr>
      <w:r>
        <w:rPr>
          <w:rFonts w:hint="eastAsia"/>
        </w:rPr>
        <w:t>通过与常见</w:t>
      </w:r>
      <w:r>
        <w:t xml:space="preserve"> K8s </w:t>
      </w:r>
      <w:r>
        <w:rPr>
          <w:rFonts w:hint="eastAsia"/>
        </w:rPr>
        <w:t>安全风险静态扫描方法的对比，验证</w:t>
      </w:r>
      <w:r>
        <w:t xml:space="preserve"> KPEDefense </w:t>
      </w:r>
      <w:r>
        <w:rPr>
          <w:rFonts w:hint="eastAsia"/>
        </w:rPr>
        <w:t>在权限提升漏洞防控的优势；并通过案例分析验证生成策略的实际防控效果。通过消融实验验证工作流不同步骤对有效性贡献。</w:t>
      </w:r>
    </w:p>
    <w:p w14:paraId="2666600C">
      <w:pPr>
        <w:numPr>
          <w:ilvl w:val="0"/>
          <w:numId w:val="7"/>
        </w:numPr>
      </w:pPr>
      <w:r>
        <w:rPr>
          <w:rFonts w:hint="eastAsia"/>
          <w:b/>
          <w:bCs/>
        </w:rPr>
        <w:t>KPEDefense在不同大语言模型下能力差异如何？</w:t>
      </w:r>
    </w:p>
    <w:p w14:paraId="7904E660">
      <w:pPr>
        <w:numPr>
          <w:ilvl w:val="0"/>
          <w:numId w:val="8"/>
        </w:numPr>
      </w:pPr>
      <w:r>
        <w:rPr>
          <w:rFonts w:hint="eastAsia"/>
        </w:rPr>
        <w:t>评估不同模型在有效性、无干扰性、可部署性三个维度下质量指标和输出稳定性上的表现差异。</w:t>
      </w:r>
    </w:p>
    <w:p w14:paraId="21BFC7A8">
      <w:pPr>
        <w:numPr>
          <w:ilvl w:val="0"/>
          <w:numId w:val="7"/>
        </w:numPr>
      </w:pPr>
      <w:r>
        <w:rPr>
          <w:rFonts w:hint="eastAsia"/>
          <w:b/>
          <w:bCs/>
        </w:rPr>
        <w:t>KPEDefense中的安全策略静态评估方法可信性如何？</w:t>
      </w:r>
    </w:p>
    <w:p w14:paraId="40E8A1C3">
      <w:pPr>
        <w:numPr>
          <w:ilvl w:val="0"/>
          <w:numId w:val="8"/>
        </w:numPr>
      </w:pPr>
      <w:r>
        <w:rPr>
          <w:rFonts w:hint="eastAsia"/>
        </w:rPr>
        <w:t>从评审模型间的一致性以及与人工评审的对照结果两个角度验证多源模型静态评估方法的可信性。</w:t>
      </w:r>
    </w:p>
    <w:p w14:paraId="4EBB8044">
      <w:pPr>
        <w:numPr>
          <w:ilvl w:val="0"/>
          <w:numId w:val="7"/>
        </w:numPr>
      </w:pPr>
      <w:r>
        <w:rPr>
          <w:b/>
          <w:bCs/>
        </w:rPr>
        <w:t xml:space="preserve">KPEDefense </w:t>
      </w:r>
      <w:r>
        <w:rPr>
          <w:rFonts w:hint="eastAsia"/>
          <w:b/>
          <w:bCs/>
        </w:rPr>
        <w:t>的时间与经济效率如何？</w:t>
      </w:r>
    </w:p>
    <w:p w14:paraId="17F570EA">
      <w:pPr>
        <w:numPr>
          <w:ilvl w:val="0"/>
          <w:numId w:val="8"/>
        </w:numPr>
      </w:pPr>
      <w:r>
        <w:rPr>
          <w:rFonts w:hint="eastAsia"/>
        </w:rPr>
        <w:t>量化不同配置下的词元消耗、时间开销和经济成本，为实际部署中的选型提供依据。</w:t>
      </w:r>
    </w:p>
    <w:bookmarkEnd w:id="135"/>
    <w:p w14:paraId="14ED50F3">
      <w:pPr>
        <w:pStyle w:val="4"/>
      </w:pPr>
      <w:bookmarkStart w:id="136" w:name="实验对象"/>
      <w:r>
        <w:rPr>
          <w:rFonts w:hint="eastAsia"/>
        </w:rPr>
        <w:t>实验对象</w:t>
      </w:r>
    </w:p>
    <w:p w14:paraId="00ACE491">
      <w:pPr>
        <w:pStyle w:val="23"/>
      </w:pPr>
      <w:r>
        <w:rPr>
          <w:rFonts w:hint="eastAsia"/>
        </w:rPr>
        <w:t>选择第三章收集的</w:t>
      </w:r>
      <w:r>
        <w:t xml:space="preserve"> 55 </w:t>
      </w:r>
      <w:r>
        <w:rPr>
          <w:rFonts w:hint="eastAsia"/>
        </w:rPr>
        <w:t>个云原生权限提升漏洞作为实验对象，同时按照风险等级、成因覆盖与可复现性三个准则筛选</w:t>
      </w:r>
      <w:r>
        <w:t xml:space="preserve"> 7 </w:t>
      </w:r>
      <w:r>
        <w:rPr>
          <w:rFonts w:hint="eastAsia"/>
        </w:rPr>
        <w:t>个典型</w:t>
      </w:r>
      <w:r>
        <w:t xml:space="preserve"> </w:t>
      </w:r>
      <w:r>
        <w:rPr>
          <w:rFonts w:hint="eastAsia"/>
        </w:rPr>
        <w:t>CVE进行案例分析，在隔离</w:t>
      </w:r>
      <w:r>
        <w:t xml:space="preserve"> K8s </w:t>
      </w:r>
      <w:r>
        <w:rPr>
          <w:rFonts w:hint="eastAsia"/>
        </w:rPr>
        <w:t>集群中进行漏洞复现与策略部署验证，以案例分析方式评估策略在真实攻击场景下的实际效果。所选典型案例见表</w:t>
      </w:r>
      <w:r>
        <w:t> </w:t>
      </w:r>
      <w:r>
        <w:fldChar w:fldCharType="begin"/>
      </w:r>
      <w:r>
        <w:instrText xml:space="preserve"> HYPERLINK \l "tab:chap5-cve-summary" \h </w:instrText>
      </w:r>
      <w:r>
        <w:fldChar w:fldCharType="separate"/>
      </w:r>
      <w:r>
        <w:rPr>
          <w:rStyle w:val="20"/>
        </w:rPr>
        <w:t>5.1</w:t>
      </w:r>
      <w:r>
        <w:rPr>
          <w:rStyle w:val="20"/>
        </w:rPr>
        <w:fldChar w:fldCharType="end"/>
      </w:r>
      <w:r>
        <w:t>。</w:t>
      </w:r>
    </w:p>
    <w:p w14:paraId="2044FA38">
      <w:pPr>
        <w:pStyle w:val="3"/>
      </w:pPr>
      <w:bookmarkStart w:id="137" w:name="tab:chap5-cve-summary"/>
      <w:bookmarkEnd w:id="137"/>
    </w:p>
    <w:tbl>
      <w:tblPr>
        <w:tblStyle w:val="41"/>
        <w:tblW w:w="0" w:type="auto"/>
        <w:tblInd w:w="0" w:type="dxa"/>
        <w:tblLayout w:type="autofit"/>
        <w:tblCellMar>
          <w:top w:w="0" w:type="dxa"/>
          <w:left w:w="108" w:type="dxa"/>
          <w:bottom w:w="0" w:type="dxa"/>
          <w:right w:w="108" w:type="dxa"/>
        </w:tblCellMar>
      </w:tblPr>
      <w:tblGrid>
        <w:gridCol w:w="696"/>
        <w:gridCol w:w="1992"/>
        <w:gridCol w:w="1564"/>
        <w:gridCol w:w="1656"/>
        <w:gridCol w:w="1656"/>
      </w:tblGrid>
      <w:tr w14:paraId="3848D9AE">
        <w:tblPrEx>
          <w:tblCellMar>
            <w:top w:w="0" w:type="dxa"/>
            <w:left w:w="108" w:type="dxa"/>
            <w:bottom w:w="0" w:type="dxa"/>
            <w:right w:w="108" w:type="dxa"/>
          </w:tblCellMar>
        </w:tblPrEx>
        <w:trPr>
          <w:tblHeader/>
        </w:trPr>
        <w:tc>
          <w:p w14:paraId="3B2D7D53">
            <w:pPr>
              <w:pStyle w:val="24"/>
              <w:jc w:val="center"/>
            </w:pPr>
            <w:bookmarkStart w:id="138" w:name="tab:chap5-cve-summary"/>
            <w:r>
              <w:rPr>
                <w:rFonts w:hint="eastAsia"/>
                <w:b/>
                <w:bCs/>
              </w:rPr>
              <w:t>序号</w:t>
            </w:r>
          </w:p>
        </w:tc>
        <w:tc>
          <w:p w14:paraId="40FF0195">
            <w:pPr>
              <w:pStyle w:val="24"/>
              <w:jc w:val="center"/>
            </w:pPr>
            <w:r>
              <w:rPr>
                <w:rFonts w:hint="eastAsia"/>
                <w:b/>
                <w:bCs/>
              </w:rPr>
              <w:t>CVE编号</w:t>
            </w:r>
          </w:p>
        </w:tc>
        <w:tc>
          <w:p w14:paraId="1DA05A44">
            <w:pPr>
              <w:pStyle w:val="24"/>
              <w:jc w:val="center"/>
            </w:pPr>
            <w:r>
              <w:rPr>
                <w:rFonts w:hint="eastAsia"/>
                <w:b/>
                <w:bCs/>
              </w:rPr>
              <w:t>影响组件</w:t>
            </w:r>
          </w:p>
        </w:tc>
        <w:tc>
          <w:p w14:paraId="258FA097">
            <w:pPr>
              <w:pStyle w:val="24"/>
              <w:jc w:val="center"/>
            </w:pPr>
            <w:r>
              <w:rPr>
                <w:rFonts w:hint="eastAsia"/>
                <w:b/>
                <w:bCs/>
              </w:rPr>
              <w:t>一级分类</w:t>
            </w:r>
          </w:p>
        </w:tc>
        <w:tc>
          <w:p w14:paraId="7DA48DD5">
            <w:pPr>
              <w:pStyle w:val="24"/>
              <w:jc w:val="left"/>
            </w:pPr>
            <w:r>
              <w:rPr>
                <w:rFonts w:hint="eastAsia"/>
                <w:b/>
                <w:bCs/>
              </w:rPr>
              <w:t>二级分类</w:t>
            </w:r>
          </w:p>
        </w:tc>
      </w:tr>
      <w:tr w14:paraId="4CBCB840">
        <w:tblPrEx>
          <w:tblCellMar>
            <w:top w:w="0" w:type="dxa"/>
            <w:left w:w="108" w:type="dxa"/>
            <w:bottom w:w="0" w:type="dxa"/>
            <w:right w:w="108" w:type="dxa"/>
          </w:tblCellMar>
        </w:tblPrEx>
        <w:tc>
          <w:p w14:paraId="69A9B506">
            <w:pPr>
              <w:pStyle w:val="24"/>
              <w:jc w:val="center"/>
            </w:pPr>
            <w:r>
              <w:t>1</w:t>
            </w:r>
          </w:p>
        </w:tc>
        <w:tc>
          <w:p w14:paraId="3CF0998F">
            <w:pPr>
              <w:pStyle w:val="24"/>
              <w:jc w:val="center"/>
            </w:pPr>
            <w:r>
              <w:t>CVE-2022-24768</w:t>
            </w:r>
          </w:p>
        </w:tc>
        <w:tc>
          <w:p w14:paraId="2A9A529E">
            <w:pPr>
              <w:pStyle w:val="24"/>
              <w:jc w:val="center"/>
            </w:pPr>
            <w:r>
              <w:t>Argo CD</w:t>
            </w:r>
          </w:p>
        </w:tc>
        <w:tc>
          <w:p w14:paraId="19FDB423">
            <w:pPr>
              <w:pStyle w:val="24"/>
              <w:jc w:val="center"/>
            </w:pPr>
            <w:r>
              <w:rPr>
                <w:rFonts w:hint="eastAsia"/>
              </w:rPr>
              <w:t>安全逻辑缺陷</w:t>
            </w:r>
          </w:p>
        </w:tc>
        <w:tc>
          <w:p w14:paraId="2687EC2F">
            <w:pPr>
              <w:pStyle w:val="24"/>
              <w:jc w:val="left"/>
            </w:pPr>
            <w:r>
              <w:rPr>
                <w:rFonts w:hint="eastAsia"/>
              </w:rPr>
              <w:t>访问控制缺陷</w:t>
            </w:r>
          </w:p>
        </w:tc>
      </w:tr>
      <w:tr w14:paraId="68D76551">
        <w:tblPrEx>
          <w:tblCellMar>
            <w:top w:w="0" w:type="dxa"/>
            <w:left w:w="108" w:type="dxa"/>
            <w:bottom w:w="0" w:type="dxa"/>
            <w:right w:w="108" w:type="dxa"/>
          </w:tblCellMar>
        </w:tblPrEx>
        <w:tc>
          <w:p w14:paraId="14B9430B">
            <w:pPr>
              <w:pStyle w:val="24"/>
              <w:jc w:val="center"/>
            </w:pPr>
            <w:r>
              <w:t>2</w:t>
            </w:r>
          </w:p>
        </w:tc>
        <w:tc>
          <w:p w14:paraId="45238F0F">
            <w:pPr>
              <w:pStyle w:val="24"/>
              <w:jc w:val="center"/>
            </w:pPr>
            <w:r>
              <w:t>CVE-2025-2241</w:t>
            </w:r>
          </w:p>
        </w:tc>
        <w:tc>
          <w:p w14:paraId="36288601">
            <w:pPr>
              <w:pStyle w:val="24"/>
              <w:jc w:val="center"/>
            </w:pPr>
            <w:r>
              <w:t>Hive</w:t>
            </w:r>
          </w:p>
        </w:tc>
        <w:tc>
          <w:p w14:paraId="2F0656A0">
            <w:pPr>
              <w:pStyle w:val="24"/>
              <w:jc w:val="center"/>
            </w:pPr>
            <w:r>
              <w:rPr>
                <w:rFonts w:hint="eastAsia"/>
              </w:rPr>
              <w:t>敏感信息泄露</w:t>
            </w:r>
          </w:p>
        </w:tc>
        <w:tc>
          <w:p w14:paraId="67E1F981">
            <w:pPr>
              <w:pStyle w:val="24"/>
              <w:jc w:val="left"/>
            </w:pPr>
            <w:r>
              <w:rPr>
                <w:rFonts w:hint="eastAsia"/>
              </w:rPr>
              <w:t>API端口暴露</w:t>
            </w:r>
          </w:p>
        </w:tc>
      </w:tr>
      <w:tr w14:paraId="0DC32A7E">
        <w:tblPrEx>
          <w:tblCellMar>
            <w:top w:w="0" w:type="dxa"/>
            <w:left w:w="108" w:type="dxa"/>
            <w:bottom w:w="0" w:type="dxa"/>
            <w:right w:w="108" w:type="dxa"/>
          </w:tblCellMar>
        </w:tblPrEx>
        <w:tc>
          <w:p w14:paraId="50EA78F7">
            <w:pPr>
              <w:pStyle w:val="24"/>
              <w:jc w:val="center"/>
            </w:pPr>
            <w:r>
              <w:t>3</w:t>
            </w:r>
          </w:p>
        </w:tc>
        <w:tc>
          <w:p w14:paraId="2C97FF3D">
            <w:pPr>
              <w:pStyle w:val="24"/>
              <w:jc w:val="center"/>
            </w:pPr>
            <w:r>
              <w:t>CVE-2023-30512</w:t>
            </w:r>
          </w:p>
        </w:tc>
        <w:tc>
          <w:p w14:paraId="0A2F9569">
            <w:pPr>
              <w:pStyle w:val="24"/>
              <w:jc w:val="center"/>
            </w:pPr>
            <w:r>
              <w:t>CubeFS CSI</w:t>
            </w:r>
          </w:p>
        </w:tc>
        <w:tc>
          <w:p w14:paraId="4E333822">
            <w:pPr>
              <w:pStyle w:val="24"/>
              <w:jc w:val="center"/>
            </w:pPr>
            <w:r>
              <w:rPr>
                <w:rFonts w:hint="eastAsia"/>
              </w:rPr>
              <w:t>配置缺陷</w:t>
            </w:r>
          </w:p>
        </w:tc>
        <w:tc>
          <w:p w14:paraId="07AA4A9E">
            <w:pPr>
              <w:pStyle w:val="24"/>
              <w:jc w:val="left"/>
            </w:pPr>
            <w:r>
              <w:rPr>
                <w:rFonts w:hint="eastAsia"/>
              </w:rPr>
              <w:t>冗余权限</w:t>
            </w:r>
          </w:p>
        </w:tc>
      </w:tr>
      <w:tr w14:paraId="04AAB051">
        <w:tblPrEx>
          <w:tblCellMar>
            <w:top w:w="0" w:type="dxa"/>
            <w:left w:w="108" w:type="dxa"/>
            <w:bottom w:w="0" w:type="dxa"/>
            <w:right w:w="108" w:type="dxa"/>
          </w:tblCellMar>
        </w:tblPrEx>
        <w:tc>
          <w:p w14:paraId="20461C37">
            <w:pPr>
              <w:pStyle w:val="24"/>
              <w:jc w:val="center"/>
            </w:pPr>
            <w:r>
              <w:t>4</w:t>
            </w:r>
          </w:p>
        </w:tc>
        <w:tc>
          <w:p w14:paraId="16C63318">
            <w:pPr>
              <w:pStyle w:val="24"/>
              <w:jc w:val="center"/>
            </w:pPr>
            <w:r>
              <w:t>CVE-2020-4062</w:t>
            </w:r>
          </w:p>
        </w:tc>
        <w:tc>
          <w:p w14:paraId="5B3D8452">
            <w:pPr>
              <w:pStyle w:val="24"/>
              <w:jc w:val="center"/>
            </w:pPr>
            <w:r>
              <w:t>Conjur OSS</w:t>
            </w:r>
          </w:p>
        </w:tc>
        <w:tc>
          <w:p w14:paraId="74FBEA92">
            <w:pPr>
              <w:pStyle w:val="24"/>
              <w:jc w:val="center"/>
            </w:pPr>
            <w:r>
              <w:rPr>
                <w:rFonts w:hint="eastAsia"/>
              </w:rPr>
              <w:t>配置缺陷</w:t>
            </w:r>
          </w:p>
        </w:tc>
        <w:tc>
          <w:p w14:paraId="19B778EB">
            <w:pPr>
              <w:pStyle w:val="24"/>
              <w:jc w:val="left"/>
            </w:pPr>
            <w:r>
              <w:rPr>
                <w:rFonts w:hint="eastAsia"/>
              </w:rPr>
              <w:t>网络隔离不足</w:t>
            </w:r>
          </w:p>
        </w:tc>
      </w:tr>
      <w:tr w14:paraId="49186BF5">
        <w:tblPrEx>
          <w:tblCellMar>
            <w:top w:w="0" w:type="dxa"/>
            <w:left w:w="108" w:type="dxa"/>
            <w:bottom w:w="0" w:type="dxa"/>
            <w:right w:w="108" w:type="dxa"/>
          </w:tblCellMar>
        </w:tblPrEx>
        <w:tc>
          <w:p w14:paraId="7B1F7365">
            <w:pPr>
              <w:pStyle w:val="24"/>
              <w:jc w:val="center"/>
            </w:pPr>
            <w:r>
              <w:t>5</w:t>
            </w:r>
          </w:p>
        </w:tc>
        <w:tc>
          <w:p w14:paraId="5E12F348">
            <w:pPr>
              <w:pStyle w:val="24"/>
              <w:jc w:val="center"/>
            </w:pPr>
            <w:r>
              <w:t>CVE-2022-24877</w:t>
            </w:r>
          </w:p>
        </w:tc>
        <w:tc>
          <w:p w14:paraId="4C653336">
            <w:pPr>
              <w:pStyle w:val="24"/>
              <w:jc w:val="center"/>
            </w:pPr>
            <w:r>
              <w:t>Flux</w:t>
            </w:r>
          </w:p>
        </w:tc>
        <w:tc>
          <w:p w14:paraId="106B5A2B">
            <w:pPr>
              <w:pStyle w:val="24"/>
              <w:jc w:val="center"/>
            </w:pPr>
            <w:r>
              <w:rPr>
                <w:rFonts w:hint="eastAsia"/>
              </w:rPr>
              <w:t>代码注入</w:t>
            </w:r>
          </w:p>
        </w:tc>
        <w:tc>
          <w:p w14:paraId="68DEA121">
            <w:pPr>
              <w:pStyle w:val="24"/>
              <w:jc w:val="left"/>
            </w:pPr>
            <w:r>
              <w:rPr>
                <w:rFonts w:hint="eastAsia"/>
              </w:rPr>
              <w:t>路径遍历</w:t>
            </w:r>
          </w:p>
        </w:tc>
      </w:tr>
      <w:tr w14:paraId="2ECC3CFF">
        <w:tblPrEx>
          <w:tblCellMar>
            <w:top w:w="0" w:type="dxa"/>
            <w:left w:w="108" w:type="dxa"/>
            <w:bottom w:w="0" w:type="dxa"/>
            <w:right w:w="108" w:type="dxa"/>
          </w:tblCellMar>
        </w:tblPrEx>
        <w:tc>
          <w:p w14:paraId="4A89C8C4">
            <w:pPr>
              <w:pStyle w:val="24"/>
              <w:jc w:val="center"/>
            </w:pPr>
            <w:r>
              <w:t>6</w:t>
            </w:r>
          </w:p>
        </w:tc>
        <w:tc>
          <w:p w14:paraId="67B26BAB">
            <w:pPr>
              <w:pStyle w:val="24"/>
              <w:jc w:val="center"/>
            </w:pPr>
            <w:r>
              <w:t>CVE-2022-29171</w:t>
            </w:r>
          </w:p>
        </w:tc>
        <w:tc>
          <w:p w14:paraId="70CD88A1">
            <w:pPr>
              <w:pStyle w:val="24"/>
              <w:jc w:val="center"/>
            </w:pPr>
            <w:r>
              <w:t>Sourcegraph</w:t>
            </w:r>
          </w:p>
        </w:tc>
        <w:tc>
          <w:p w14:paraId="6399131A">
            <w:pPr>
              <w:pStyle w:val="24"/>
              <w:jc w:val="center"/>
            </w:pPr>
            <w:r>
              <w:rPr>
                <w:rFonts w:hint="eastAsia"/>
              </w:rPr>
              <w:t>代码注入</w:t>
            </w:r>
          </w:p>
        </w:tc>
        <w:tc>
          <w:p w14:paraId="5D68F295">
            <w:pPr>
              <w:pStyle w:val="24"/>
              <w:jc w:val="left"/>
            </w:pPr>
            <w:r>
              <w:rPr>
                <w:rFonts w:hint="eastAsia"/>
              </w:rPr>
              <w:t>命令注入</w:t>
            </w:r>
          </w:p>
        </w:tc>
      </w:tr>
      <w:tr w14:paraId="16990AD0">
        <w:tblPrEx>
          <w:tblCellMar>
            <w:top w:w="0" w:type="dxa"/>
            <w:left w:w="108" w:type="dxa"/>
            <w:bottom w:w="0" w:type="dxa"/>
            <w:right w:w="108" w:type="dxa"/>
          </w:tblCellMar>
        </w:tblPrEx>
        <w:tc>
          <w:p w14:paraId="2BC3CB16">
            <w:pPr>
              <w:pStyle w:val="24"/>
              <w:jc w:val="center"/>
            </w:pPr>
            <w:r>
              <w:t>7</w:t>
            </w:r>
          </w:p>
        </w:tc>
        <w:tc>
          <w:p w14:paraId="273C326A">
            <w:pPr>
              <w:pStyle w:val="24"/>
              <w:jc w:val="center"/>
            </w:pPr>
            <w:r>
              <w:t>CVE-2023-22482</w:t>
            </w:r>
          </w:p>
        </w:tc>
        <w:tc>
          <w:p w14:paraId="59A6A335">
            <w:pPr>
              <w:pStyle w:val="24"/>
              <w:jc w:val="center"/>
            </w:pPr>
            <w:r>
              <w:t>Argo CD</w:t>
            </w:r>
          </w:p>
        </w:tc>
        <w:tc>
          <w:p w14:paraId="2D0B0117">
            <w:pPr>
              <w:pStyle w:val="24"/>
              <w:jc w:val="center"/>
            </w:pPr>
            <w:r>
              <w:rPr>
                <w:rFonts w:hint="eastAsia"/>
              </w:rPr>
              <w:t>安全逻辑缺陷</w:t>
            </w:r>
          </w:p>
        </w:tc>
        <w:tc>
          <w:p w14:paraId="2C7E3E83">
            <w:pPr>
              <w:pStyle w:val="24"/>
              <w:jc w:val="left"/>
            </w:pPr>
            <w:r>
              <w:rPr>
                <w:rFonts w:hint="eastAsia"/>
              </w:rPr>
              <w:t>身份验证绕过</w:t>
            </w:r>
          </w:p>
        </w:tc>
      </w:tr>
      <w:bookmarkEnd w:id="138"/>
    </w:tbl>
    <w:p w14:paraId="434C19D8">
      <w:pPr>
        <w:pStyle w:val="3"/>
      </w:pPr>
      <w:r>
        <w:rPr>
          <w:rFonts w:hint="eastAsia"/>
        </w:rPr>
        <w:t>在生成模型方面，本章选取五个具有代表性的大语言模型参与策略生成与评审。为避免将模型发布时间与实验调用版本混淆，表</w:t>
      </w:r>
      <w:r>
        <w:t> </w:t>
      </w:r>
      <w:r>
        <w:fldChar w:fldCharType="begin"/>
      </w:r>
      <w:r>
        <w:instrText xml:space="preserve"> HYPERLINK \l "tab:llm-models-info" \h </w:instrText>
      </w:r>
      <w:r>
        <w:fldChar w:fldCharType="separate"/>
      </w:r>
      <w:r>
        <w:rPr>
          <w:rStyle w:val="20"/>
        </w:rPr>
        <w:t>5.2</w:t>
      </w:r>
      <w:r>
        <w:rPr>
          <w:rStyle w:val="20"/>
        </w:rPr>
        <w:fldChar w:fldCharType="end"/>
      </w:r>
      <w:r>
        <w:rPr>
          <w:rFonts w:hint="eastAsia"/>
        </w:rPr>
        <w:t>列出实验调用的模型或</w:t>
      </w:r>
      <w:r>
        <w:t xml:space="preserve"> API </w:t>
      </w:r>
      <w:r>
        <w:rPr>
          <w:rFonts w:hint="eastAsia"/>
        </w:rPr>
        <w:t>名称、主要调用时段以及官方版本说明来源。五个模型在架构设计、训练数据和参数规模上存在差异，可用于考察方法在不同模型条件下的适用性。</w:t>
      </w:r>
    </w:p>
    <w:p w14:paraId="6623BD6D">
      <w:pPr>
        <w:pStyle w:val="3"/>
      </w:pPr>
      <w:bookmarkStart w:id="139" w:name="tab:llm-models-info"/>
      <w:bookmarkEnd w:id="139"/>
    </w:p>
    <w:tbl>
      <w:tblPr>
        <w:tblStyle w:val="41"/>
        <w:tblW w:w="0" w:type="auto"/>
        <w:tblInd w:w="0" w:type="dxa"/>
        <w:tblLayout w:type="autofit"/>
        <w:tblCellMar>
          <w:top w:w="0" w:type="dxa"/>
          <w:left w:w="108" w:type="dxa"/>
          <w:bottom w:w="0" w:type="dxa"/>
          <w:right w:w="108" w:type="dxa"/>
        </w:tblCellMar>
      </w:tblPr>
      <w:tblGrid>
        <w:gridCol w:w="2701"/>
        <w:gridCol w:w="1176"/>
        <w:gridCol w:w="1656"/>
        <w:gridCol w:w="2143"/>
      </w:tblGrid>
      <w:tr w14:paraId="5007AC19">
        <w:tblPrEx>
          <w:tblCellMar>
            <w:top w:w="0" w:type="dxa"/>
            <w:left w:w="108" w:type="dxa"/>
            <w:bottom w:w="0" w:type="dxa"/>
            <w:right w:w="108" w:type="dxa"/>
          </w:tblCellMar>
        </w:tblPrEx>
        <w:trPr>
          <w:tblHeader/>
        </w:trPr>
        <w:tc>
          <w:p w14:paraId="17D8C514">
            <w:pPr>
              <w:pStyle w:val="24"/>
              <w:jc w:val="left"/>
            </w:pPr>
            <w:bookmarkStart w:id="140" w:name="tab:llm-models-info"/>
            <w:r>
              <w:rPr>
                <w:rFonts w:hint="eastAsia"/>
                <w:b/>
                <w:bCs/>
              </w:rPr>
              <w:t>实验调用模型/API</w:t>
            </w:r>
            <w:r>
              <w:rPr>
                <w:b/>
                <w:bCs/>
              </w:rPr>
              <w:t xml:space="preserve"> </w:t>
            </w:r>
            <w:r>
              <w:rPr>
                <w:rFonts w:hint="eastAsia"/>
                <w:b/>
                <w:bCs/>
              </w:rPr>
              <w:t>名称</w:t>
            </w:r>
          </w:p>
        </w:tc>
        <w:tc>
          <w:p w14:paraId="0D6BF815">
            <w:pPr>
              <w:pStyle w:val="24"/>
              <w:jc w:val="left"/>
            </w:pPr>
            <w:r>
              <w:rPr>
                <w:rFonts w:hint="eastAsia"/>
                <w:b/>
                <w:bCs/>
              </w:rPr>
              <w:t>开发机构</w:t>
            </w:r>
          </w:p>
        </w:tc>
        <w:tc>
          <w:p w14:paraId="68365662">
            <w:pPr>
              <w:pStyle w:val="24"/>
              <w:jc w:val="left"/>
            </w:pPr>
            <w:r>
              <w:rPr>
                <w:rFonts w:hint="eastAsia"/>
                <w:b/>
                <w:bCs/>
              </w:rPr>
              <w:t>主要调用时段</w:t>
            </w:r>
          </w:p>
        </w:tc>
        <w:tc>
          <w:p w14:paraId="203DDEBE">
            <w:pPr>
              <w:pStyle w:val="24"/>
              <w:jc w:val="left"/>
            </w:pPr>
            <w:r>
              <w:rPr>
                <w:rFonts w:hint="eastAsia"/>
                <w:b/>
                <w:bCs/>
              </w:rPr>
              <w:t>官方发布时间</w:t>
            </w:r>
          </w:p>
        </w:tc>
      </w:tr>
      <w:tr w14:paraId="40B4F512">
        <w:tblPrEx>
          <w:tblCellMar>
            <w:top w:w="0" w:type="dxa"/>
            <w:left w:w="108" w:type="dxa"/>
            <w:bottom w:w="0" w:type="dxa"/>
            <w:right w:w="108" w:type="dxa"/>
          </w:tblCellMar>
        </w:tblPrEx>
        <w:tc>
          <w:p w14:paraId="0EEC6EDE">
            <w:pPr>
              <w:pStyle w:val="24"/>
              <w:jc w:val="left"/>
            </w:pPr>
            <w:r>
              <w:t>Qwen3-Max</w:t>
            </w:r>
          </w:p>
        </w:tc>
        <w:tc>
          <w:p w14:paraId="28720D73">
            <w:pPr>
              <w:pStyle w:val="24"/>
              <w:jc w:val="left"/>
            </w:pPr>
            <w:r>
              <w:rPr>
                <w:rFonts w:hint="eastAsia"/>
              </w:rPr>
              <w:t>阿里云</w:t>
            </w:r>
          </w:p>
        </w:tc>
        <w:tc>
          <w:p w14:paraId="20206AFA">
            <w:pPr>
              <w:pStyle w:val="24"/>
              <w:jc w:val="left"/>
            </w:pPr>
            <w:r>
              <w:rPr>
                <w:rFonts w:hint="eastAsia"/>
              </w:rPr>
              <w:t>2025年12月</w:t>
            </w:r>
          </w:p>
        </w:tc>
        <w:tc>
          <w:p w14:paraId="0B0ADD74">
            <w:pPr>
              <w:pStyle w:val="24"/>
              <w:jc w:val="left"/>
            </w:pPr>
            <w:r>
              <w:rPr>
                <w:rFonts w:hint="eastAsia"/>
              </w:rPr>
              <w:t>2025年9月</w:t>
            </w:r>
          </w:p>
        </w:tc>
      </w:tr>
      <w:tr w14:paraId="3E11AF6B">
        <w:tblPrEx>
          <w:tblCellMar>
            <w:top w:w="0" w:type="dxa"/>
            <w:left w:w="108" w:type="dxa"/>
            <w:bottom w:w="0" w:type="dxa"/>
            <w:right w:w="108" w:type="dxa"/>
          </w:tblCellMar>
        </w:tblPrEx>
        <w:tc>
          <w:p w14:paraId="5FCB9332">
            <w:pPr>
              <w:pStyle w:val="24"/>
              <w:jc w:val="left"/>
            </w:pPr>
            <w:r>
              <w:t>DeepSeek-V3.2</w:t>
            </w:r>
          </w:p>
        </w:tc>
        <w:tc>
          <w:p w14:paraId="16000B51">
            <w:pPr>
              <w:pStyle w:val="24"/>
              <w:jc w:val="left"/>
            </w:pPr>
            <w:r>
              <w:rPr>
                <w:rFonts w:hint="eastAsia"/>
              </w:rPr>
              <w:t>深度求索</w:t>
            </w:r>
          </w:p>
        </w:tc>
        <w:tc>
          <w:p w14:paraId="1998B9AE">
            <w:pPr>
              <w:pStyle w:val="24"/>
              <w:jc w:val="left"/>
            </w:pPr>
            <w:r>
              <w:rPr>
                <w:rFonts w:hint="eastAsia"/>
              </w:rPr>
              <w:t>2025年12月</w:t>
            </w:r>
          </w:p>
        </w:tc>
        <w:tc>
          <w:p w14:paraId="423980F7">
            <w:pPr>
              <w:pStyle w:val="24"/>
              <w:jc w:val="left"/>
            </w:pPr>
            <w:r>
              <w:rPr>
                <w:rFonts w:hint="eastAsia"/>
              </w:rPr>
              <w:t>2025年9月29日</w:t>
            </w:r>
          </w:p>
        </w:tc>
      </w:tr>
      <w:tr w14:paraId="1AEA6A84">
        <w:tblPrEx>
          <w:tblCellMar>
            <w:top w:w="0" w:type="dxa"/>
            <w:left w:w="108" w:type="dxa"/>
            <w:bottom w:w="0" w:type="dxa"/>
            <w:right w:w="108" w:type="dxa"/>
          </w:tblCellMar>
        </w:tblPrEx>
        <w:tc>
          <w:p w14:paraId="60614EA7">
            <w:pPr>
              <w:pStyle w:val="24"/>
              <w:jc w:val="left"/>
            </w:pPr>
            <w:r>
              <w:t>GPT-5</w:t>
            </w:r>
          </w:p>
        </w:tc>
        <w:tc>
          <w:p w14:paraId="21F75EDB">
            <w:pPr>
              <w:pStyle w:val="24"/>
              <w:jc w:val="left"/>
            </w:pPr>
            <w:r>
              <w:t>OpenAI</w:t>
            </w:r>
          </w:p>
        </w:tc>
        <w:tc>
          <w:p w14:paraId="31ACE116">
            <w:pPr>
              <w:pStyle w:val="24"/>
              <w:jc w:val="left"/>
            </w:pPr>
            <w:r>
              <w:rPr>
                <w:rFonts w:hint="eastAsia"/>
              </w:rPr>
              <w:t>2025年12月</w:t>
            </w:r>
          </w:p>
        </w:tc>
        <w:tc>
          <w:p w14:paraId="4E92DDED">
            <w:pPr>
              <w:pStyle w:val="24"/>
              <w:jc w:val="left"/>
            </w:pPr>
            <w:r>
              <w:rPr>
                <w:rFonts w:hint="eastAsia"/>
              </w:rPr>
              <w:t>2025年8月7日</w:t>
            </w:r>
          </w:p>
        </w:tc>
      </w:tr>
      <w:tr w14:paraId="20F5FD9B">
        <w:tblPrEx>
          <w:tblCellMar>
            <w:top w:w="0" w:type="dxa"/>
            <w:left w:w="108" w:type="dxa"/>
            <w:bottom w:w="0" w:type="dxa"/>
            <w:right w:w="108" w:type="dxa"/>
          </w:tblCellMar>
        </w:tblPrEx>
        <w:tc>
          <w:p w14:paraId="3FC95D85">
            <w:pPr>
              <w:pStyle w:val="24"/>
              <w:jc w:val="left"/>
            </w:pPr>
            <w:r>
              <w:t>Grok-4</w:t>
            </w:r>
          </w:p>
        </w:tc>
        <w:tc>
          <w:p w14:paraId="21AD0C4B">
            <w:pPr>
              <w:pStyle w:val="24"/>
              <w:jc w:val="left"/>
            </w:pPr>
            <w:r>
              <w:t>xAI</w:t>
            </w:r>
          </w:p>
        </w:tc>
        <w:tc>
          <w:p w14:paraId="7B950359">
            <w:pPr>
              <w:pStyle w:val="24"/>
              <w:jc w:val="left"/>
            </w:pPr>
            <w:r>
              <w:rPr>
                <w:rFonts w:hint="eastAsia"/>
              </w:rPr>
              <w:t>2025年12月</w:t>
            </w:r>
          </w:p>
        </w:tc>
        <w:tc>
          <w:p w14:paraId="759A2437">
            <w:pPr>
              <w:pStyle w:val="24"/>
              <w:jc w:val="left"/>
            </w:pPr>
            <w:r>
              <w:rPr>
                <w:rFonts w:hint="eastAsia"/>
              </w:rPr>
              <w:t>2025年7月9日</w:t>
            </w:r>
          </w:p>
        </w:tc>
      </w:tr>
      <w:tr w14:paraId="3D5C5EDC">
        <w:tblPrEx>
          <w:tblCellMar>
            <w:top w:w="0" w:type="dxa"/>
            <w:left w:w="108" w:type="dxa"/>
            <w:bottom w:w="0" w:type="dxa"/>
            <w:right w:w="108" w:type="dxa"/>
          </w:tblCellMar>
        </w:tblPrEx>
        <w:tc>
          <w:p w14:paraId="254FDF00">
            <w:pPr>
              <w:pStyle w:val="24"/>
              <w:jc w:val="left"/>
            </w:pPr>
            <w:r>
              <w:t>GLM-4.5</w:t>
            </w:r>
          </w:p>
        </w:tc>
        <w:tc>
          <w:p w14:paraId="58D6A047">
            <w:pPr>
              <w:pStyle w:val="24"/>
              <w:jc w:val="left"/>
            </w:pPr>
            <w:r>
              <w:rPr>
                <w:rFonts w:hint="eastAsia"/>
              </w:rPr>
              <w:t>智谱AI</w:t>
            </w:r>
          </w:p>
        </w:tc>
        <w:tc>
          <w:p w14:paraId="483BA0F2">
            <w:pPr>
              <w:pStyle w:val="24"/>
              <w:jc w:val="left"/>
            </w:pPr>
            <w:r>
              <w:rPr>
                <w:rFonts w:hint="eastAsia"/>
              </w:rPr>
              <w:t>2025年12月</w:t>
            </w:r>
          </w:p>
        </w:tc>
        <w:tc>
          <w:p w14:paraId="22FE1864">
            <w:pPr>
              <w:pStyle w:val="24"/>
              <w:jc w:val="left"/>
            </w:pPr>
            <w:r>
              <w:rPr>
                <w:rFonts w:hint="eastAsia"/>
              </w:rPr>
              <w:t>2025年7月</w:t>
            </w:r>
          </w:p>
        </w:tc>
      </w:tr>
      <w:bookmarkEnd w:id="136"/>
      <w:bookmarkEnd w:id="140"/>
    </w:tbl>
    <w:p w14:paraId="4A0B6EDD">
      <w:pPr>
        <w:pStyle w:val="4"/>
      </w:pPr>
      <w:bookmarkStart w:id="141" w:name="实验设计"/>
      <w:r>
        <w:rPr>
          <w:rFonts w:hint="eastAsia"/>
        </w:rPr>
        <w:t>实验设计</w:t>
      </w:r>
    </w:p>
    <w:p w14:paraId="0F033E2D">
      <w:pPr>
        <w:pStyle w:val="23"/>
      </w:pPr>
      <w:r>
        <w:rPr>
          <w:rFonts w:hint="eastAsia"/>
        </w:rPr>
        <w:t>本小节描述实验评估使用的度量指标、基线方法、实验环境设置和实验流程设置。</w:t>
      </w:r>
    </w:p>
    <w:p w14:paraId="5AC1723B">
      <w:pPr>
        <w:pStyle w:val="5"/>
      </w:pPr>
      <w:bookmarkStart w:id="142" w:name="度量指标"/>
      <w:r>
        <w:rPr>
          <w:rFonts w:hint="eastAsia"/>
        </w:rPr>
        <w:t>度量指标</w:t>
      </w:r>
    </w:p>
    <w:p w14:paraId="22B99D05">
      <w:pPr>
        <w:pStyle w:val="23"/>
      </w:pPr>
      <w:r>
        <w:rPr>
          <w:rFonts w:hint="eastAsia"/>
        </w:rPr>
        <w:t>策略质量评估指标基于共识得分</w:t>
      </w:r>
      <w:r>
        <w:t xml:space="preserve"> </w:t>
      </w:r>
      <m:oMath>
        <m:sSub>
          <m:sSubPr/>
          <m:e>
            <m:acc>
              <m:accPr/>
              <m:e>
                <m:r>
                  <m:rPr/>
                  <m:t>S</m:t>
                </m:r>
              </m:e>
            </m:acc>
          </m:e>
          <m:sub>
            <m:r>
              <m:rPr/>
              <m:t>δ</m:t>
            </m:r>
          </m:sub>
        </m:sSub>
        <m:r>
          <m:rPr>
            <m:sty m:val="p"/>
          </m:rPr>
          <m:t>(</m:t>
        </m:r>
        <m:r>
          <m:rPr/>
          <m:t>π</m:t>
        </m:r>
        <m:r>
          <m:rPr>
            <m:sty m:val="p"/>
          </m:rPr>
          <m:t>)</m:t>
        </m:r>
      </m:oMath>
      <w:r>
        <w:rPr>
          <w:rFonts w:hint="eastAsia"/>
        </w:rPr>
        <w:t>(式</w:t>
      </w:r>
      <w:r>
        <w:fldChar w:fldCharType="begin"/>
      </w:r>
      <w:r>
        <w:instrText xml:space="preserve"> HYPERLINK \l "eq:consensus-score" \h </w:instrText>
      </w:r>
      <w:r>
        <w:fldChar w:fldCharType="separate"/>
      </w:r>
      <w:r>
        <w:rPr>
          <w:rStyle w:val="20"/>
        </w:rPr>
        <w:t>[eq:consensus-score]</w:t>
      </w:r>
      <w:r>
        <w:rPr>
          <w:rStyle w:val="20"/>
        </w:rPr>
        <w:fldChar w:fldCharType="end"/>
      </w:r>
      <w:r>
        <w:rPr>
          <w:rFonts w:hint="eastAsia"/>
        </w:rPr>
        <w:t>)计算三维质量向量</w:t>
      </w:r>
      <w:r>
        <w:t xml:space="preserve"> </w:t>
      </w:r>
      <m:oMath>
        <m:r>
          <m:rPr/>
          <m:t>q</m:t>
        </m:r>
        <m:r>
          <m:rPr>
            <m:sty m:val="p"/>
          </m:rPr>
          <m:t>(</m:t>
        </m:r>
        <m:r>
          <m:rPr/>
          <m:t>π</m:t>
        </m:r>
        <m:r>
          <m:rPr>
            <m:sty m:val="p"/>
          </m:rPr>
          <m:t>)=</m:t>
        </m:r>
        <m:d>
          <m:dPr>
            <m:sepChr m:val=""/>
          </m:dPr>
          <m:e>
            <m:r>
              <m:rPr/>
              <m:t>E</m:t>
            </m:r>
            <m:r>
              <m:rPr>
                <m:sty m:val="p"/>
              </m:rPr>
              <m:t>(</m:t>
            </m:r>
            <m:r>
              <m:rPr/>
              <m:t>π</m:t>
            </m:r>
            <m:r>
              <m:rPr>
                <m:sty m:val="p"/>
              </m:rPr>
              <m:t>),</m:t>
            </m:r>
            <m:r>
              <m:rPr/>
              <m:t>I</m:t>
            </m:r>
            <m:r>
              <m:rPr>
                <m:sty m:val="p"/>
              </m:rPr>
              <m:t>(</m:t>
            </m:r>
            <m:r>
              <m:rPr/>
              <m:t>π</m:t>
            </m:r>
            <m:r>
              <m:rPr>
                <m:sty m:val="p"/>
              </m:rPr>
              <m:t>),</m:t>
            </m:r>
            <m:r>
              <m:rPr/>
              <m:t>D</m:t>
            </m:r>
            <m:r>
              <m:rPr>
                <m:sty m:val="p"/>
              </m:rPr>
              <m:t>(</m:t>
            </m:r>
            <m:r>
              <m:rPr/>
              <m:t>π</m:t>
            </m:r>
            <m:r>
              <m:rPr>
                <m:sty m:val="p"/>
              </m:rPr>
              <m:t>)</m:t>
            </m:r>
          </m:e>
        </m:d>
      </m:oMath>
      <w:r>
        <w:rPr>
          <w:rFonts w:hint="eastAsia"/>
        </w:rPr>
        <w:t>(定义</w:t>
      </w:r>
      <w:r>
        <w:t> </w:t>
      </w:r>
      <w:r>
        <w:fldChar w:fldCharType="begin"/>
      </w:r>
      <w:r>
        <w:instrText xml:space="preserve"> HYPERLINK \l "def:quality-vector" \h </w:instrText>
      </w:r>
      <w:r>
        <w:fldChar w:fldCharType="separate"/>
      </w:r>
      <w:r>
        <w:rPr>
          <w:rStyle w:val="20"/>
        </w:rPr>
        <w:t>[def:quality-vector]</w:t>
      </w:r>
      <w:r>
        <w:rPr>
          <w:rStyle w:val="20"/>
        </w:rPr>
        <w:fldChar w:fldCharType="end"/>
      </w:r>
      <w:r>
        <w:rPr>
          <w:rFonts w:hint="eastAsia"/>
        </w:rPr>
        <w:t>)。此外，为衡量评审模型之间的排序一致性，引入</w:t>
      </w:r>
      <w:r>
        <w:t xml:space="preserve"> Kendall’s </w:t>
      </w:r>
      <m:oMath>
        <m:r>
          <m:rPr/>
          <m:t>W</m:t>
        </m:r>
      </m:oMath>
      <w:r>
        <w:t xml:space="preserve"> </w:t>
      </w:r>
      <w:r>
        <w:rPr>
          <w:rFonts w:hint="eastAsia"/>
        </w:rPr>
        <w:t>协调系数</w:t>
      </w:r>
      <w:r>
        <w:t>(Kendall and Smith 1939)</w:t>
      </w:r>
      <w:r>
        <w:rPr>
          <w:rFonts w:hint="eastAsia"/>
        </w:rPr>
        <w:t>(定义</w:t>
      </w:r>
      <w:r>
        <w:fldChar w:fldCharType="begin"/>
      </w:r>
      <w:r>
        <w:instrText xml:space="preserve"> HYPERLINK \l "def:kendalls-w" \h </w:instrText>
      </w:r>
      <w:r>
        <w:fldChar w:fldCharType="separate"/>
      </w:r>
      <w:r>
        <w:rPr>
          <w:rStyle w:val="20"/>
        </w:rPr>
        <w:t>[def:kendalls-w]</w:t>
      </w:r>
      <w:r>
        <w:rPr>
          <w:rStyle w:val="20"/>
        </w:rPr>
        <w:fldChar w:fldCharType="end"/>
      </w:r>
      <w:r>
        <w:rPr>
          <w:rFonts w:hint="eastAsia"/>
        </w:rPr>
        <w:t>)与</w:t>
      </w:r>
      <w:r>
        <w:t xml:space="preserve"> Spearman </w:t>
      </w:r>
      <w:r>
        <w:rPr>
          <w:rFonts w:hint="eastAsia"/>
        </w:rPr>
        <w:t>等级相关系数</w:t>
      </w:r>
      <w:r>
        <w:t>(Spearman 1904)</w:t>
      </w:r>
      <w:r>
        <w:rPr>
          <w:rFonts w:hint="eastAsia"/>
        </w:rPr>
        <w:t>(定义</w:t>
      </w:r>
      <w:r>
        <w:fldChar w:fldCharType="begin"/>
      </w:r>
      <w:r>
        <w:instrText xml:space="preserve"> HYPERLINK \l "def:spearman-rho" \h </w:instrText>
      </w:r>
      <w:r>
        <w:fldChar w:fldCharType="separate"/>
      </w:r>
      <w:r>
        <w:rPr>
          <w:rStyle w:val="20"/>
        </w:rPr>
        <w:t>[def:spearman-rho]</w:t>
      </w:r>
      <w:r>
        <w:rPr>
          <w:rStyle w:val="20"/>
        </w:rPr>
        <w:fldChar w:fldCharType="end"/>
      </w:r>
      <w:r>
        <w:rPr>
          <w:rFonts w:hint="eastAsia"/>
        </w:rPr>
        <w:t>)作为辅助度量；资源消耗则记录每次调用的输入与输出词元数及运行时间，按模型和方法配置分别聚合统计。</w:t>
      </w:r>
    </w:p>
    <w:p w14:paraId="79BA817B">
      <w:pPr>
        <w:pStyle w:val="3"/>
      </w:pPr>
      <w:r>
        <w:rPr>
          <w:rFonts w:hint="eastAsia"/>
          <w:b/>
          <w:bCs/>
        </w:rPr>
        <w:t>定义</w:t>
      </w:r>
      <w:r>
        <w:rPr>
          <w:b/>
          <w:bCs/>
        </w:rPr>
        <w:t xml:space="preserve"> (Kendall’s </w:t>
      </w:r>
      <m:oMath>
        <m:r>
          <m:rPr/>
          <m:t>W</m:t>
        </m:r>
      </m:oMath>
      <w:r>
        <w:rPr>
          <w:b/>
          <w:bCs/>
        </w:rPr>
        <w:t xml:space="preserve"> </w:t>
      </w:r>
      <w:r>
        <w:rPr>
          <w:rFonts w:hint="eastAsia"/>
          <w:b/>
          <w:bCs/>
        </w:rPr>
        <w:t>协调系数)：</w:t>
      </w:r>
    </w:p>
    <w:p w14:paraId="37542E57">
      <w:pPr>
        <w:pStyle w:val="3"/>
      </w:pPr>
      <w:bookmarkStart w:id="143" w:name="def:kendalls-w"/>
      <w:bookmarkEnd w:id="143"/>
      <w:r>
        <w:t xml:space="preserve"> </w:t>
      </w:r>
      <w:r>
        <w:rPr>
          <w:rFonts w:hint="eastAsia"/>
        </w:rPr>
        <w:t>设</w:t>
      </w:r>
      <w:r>
        <w:t xml:space="preserve"> </w:t>
      </w:r>
      <m:oMath>
        <m:r>
          <m:rPr>
            <m:sty m:val="p"/>
          </m:rPr>
          <m:t>|</m:t>
        </m:r>
        <m:r>
          <m:rPr>
            <m:sty m:val="p"/>
            <m:scr m:val="script"/>
          </m:rPr>
          <m:t>ℋ</m:t>
        </m:r>
        <m:r>
          <m:rPr>
            <m:sty m:val="p"/>
          </m:rPr>
          <m:t>|</m:t>
        </m:r>
      </m:oMath>
      <w:r>
        <w:t xml:space="preserve"> </w:t>
      </w:r>
      <w:r>
        <w:rPr>
          <w:rFonts w:hint="eastAsia"/>
        </w:rPr>
        <w:t>个评审主体对</w:t>
      </w:r>
      <w:r>
        <w:t xml:space="preserve"> </w:t>
      </w:r>
      <m:oMath>
        <m:sSub>
          <m:sSubPr/>
          <m:e>
            <m:r>
              <m:rPr/>
              <m:t>n</m:t>
            </m:r>
          </m:e>
          <m:sub>
            <m:r>
              <m:rPr/>
              <m:t>v</m:t>
            </m:r>
          </m:sub>
        </m:sSub>
        <m:r>
          <m:rPr>
            <m:sty m:val="p"/>
          </m:rPr>
          <m:t>=|</m:t>
        </m:r>
        <m:sSub>
          <m:sSubPr/>
          <m:e>
            <m:r>
              <m:rPr>
                <m:sty m:val="p"/>
              </m:rPr>
              <m:t>Π</m:t>
            </m:r>
          </m:e>
          <m:sub>
            <m:r>
              <m:rPr/>
              <m:t>v</m:t>
            </m:r>
          </m:sub>
        </m:sSub>
        <m:r>
          <m:rPr>
            <m:sty m:val="p"/>
          </m:rPr>
          <m:t>|</m:t>
        </m:r>
      </m:oMath>
      <w:r>
        <w:t xml:space="preserve"> </w:t>
      </w:r>
      <w:r>
        <w:rPr>
          <w:rFonts w:hint="eastAsia"/>
        </w:rPr>
        <w:t>个候选策略在同一维度</w:t>
      </w:r>
      <w:r>
        <w:t xml:space="preserve"> </w:t>
      </w:r>
      <m:oMath>
        <m:r>
          <m:rPr/>
          <m:t>δ</m:t>
        </m:r>
      </m:oMath>
      <w:r>
        <w:t xml:space="preserve"> </w:t>
      </w:r>
      <w:r>
        <w:rPr>
          <w:rFonts w:hint="eastAsia"/>
        </w:rPr>
        <w:t>上独立给出严格全序排名，令</w:t>
      </w:r>
      <w:r>
        <w:t xml:space="preserve"> </w:t>
      </w:r>
      <m:oMath>
        <m:sSubSup>
          <m:sSubSupPr/>
          <m:e>
            <m:r>
              <m:rPr/>
              <m:t>r</m:t>
            </m:r>
          </m:e>
          <m:sub>
            <m:r>
              <m:rPr/>
              <m:t>δ</m:t>
            </m:r>
          </m:sub>
          <m:sup>
            <m:r>
              <m:rPr>
                <m:sty m:val="p"/>
              </m:rPr>
              <m:t>(</m:t>
            </m:r>
            <m:r>
              <m:rPr/>
              <m:t>h</m:t>
            </m:r>
            <m:r>
              <m:rPr>
                <m:sty m:val="p"/>
              </m:rPr>
              <m:t>)</m:t>
            </m:r>
          </m:sup>
        </m:sSubSup>
        <m:r>
          <m:rPr>
            <m:sty m:val="p"/>
          </m:rPr>
          <m:t>(</m:t>
        </m:r>
        <m:r>
          <m:rPr/>
          <m:t>π</m:t>
        </m:r>
        <m:r>
          <m:rPr>
            <m:sty m:val="p"/>
          </m:rPr>
          <m:t>)</m:t>
        </m:r>
      </m:oMath>
      <w:r>
        <w:t xml:space="preserve"> </w:t>
      </w:r>
      <w:r>
        <w:rPr>
          <w:rFonts w:hint="eastAsia"/>
        </w:rPr>
        <w:t>为评审主体</w:t>
      </w:r>
      <w:r>
        <w:t xml:space="preserve"> </w:t>
      </w:r>
      <m:oMath>
        <m:r>
          <m:rPr/>
          <m:t>h</m:t>
        </m:r>
      </m:oMath>
      <w:r>
        <w:t xml:space="preserve"> </w:t>
      </w:r>
      <w:r>
        <w:rPr>
          <w:rFonts w:hint="eastAsia"/>
        </w:rPr>
        <w:t>对策略</w:t>
      </w:r>
      <w:r>
        <w:t xml:space="preserve"> </w:t>
      </w:r>
      <m:oMath>
        <m:r>
          <m:rPr/>
          <m:t>π</m:t>
        </m:r>
      </m:oMath>
      <w:r>
        <w:t xml:space="preserve"> </w:t>
      </w:r>
      <w:r>
        <w:rPr>
          <w:rFonts w:hint="eastAsia"/>
        </w:rPr>
        <w:t>在维度</w:t>
      </w:r>
      <w:r>
        <w:t xml:space="preserve"> </w:t>
      </w:r>
      <m:oMath>
        <m:r>
          <m:rPr/>
          <m:t>δ</m:t>
        </m:r>
      </m:oMath>
      <w:r>
        <w:t xml:space="preserve"> </w:t>
      </w:r>
      <w:r>
        <w:rPr>
          <w:rFonts w:hint="eastAsia"/>
        </w:rPr>
        <w:t>上的秩，</w:t>
      </w:r>
      <m:oMath>
        <m:sSub>
          <m:sSubPr/>
          <m:e>
            <m:r>
              <m:rPr/>
              <m:t>R</m:t>
            </m:r>
          </m:e>
          <m:sub>
            <m:r>
              <m:rPr/>
              <m:t>i</m:t>
            </m:r>
          </m:sub>
        </m:sSub>
        <m:r>
          <m:rPr>
            <m:sty m:val="p"/>
          </m:rPr>
          <m:t>=</m:t>
        </m:r>
        <m:nary>
          <m:naryPr>
            <m:chr m:val="∑"/>
            <m:limLoc m:val="undOvr"/>
            <m:supHide m:val="1"/>
          </m:naryPr>
          <m:sub>
            <m:r>
              <m:rPr/>
              <m:t>h</m:t>
            </m:r>
            <m:r>
              <m:rPr>
                <m:sty m:val="p"/>
              </m:rPr>
              <m:t>∈</m:t>
            </m:r>
            <m:r>
              <m:rPr>
                <m:sty m:val="p"/>
                <m:scr m:val="script"/>
              </m:rPr>
              <m:t>ℋ</m:t>
            </m:r>
          </m:sub>
          <m:sup>
            <m:r>
              <m:rPr/>
              <m:t>​</m:t>
            </m:r>
          </m:sup>
          <m:e>
            <m:sSubSup>
              <m:sSubSupPr/>
              <m:e>
                <m:r>
                  <m:rPr/>
                  <m:t>r</m:t>
                </m:r>
              </m:e>
              <m:sub>
                <m:r>
                  <m:rPr/>
                  <m:t>δ</m:t>
                </m:r>
              </m:sub>
              <m:sup>
                <m:r>
                  <m:rPr>
                    <m:sty m:val="p"/>
                  </m:rPr>
                  <m:t>(</m:t>
                </m:r>
                <m:r>
                  <m:rPr/>
                  <m:t>h</m:t>
                </m:r>
                <m:r>
                  <m:rPr>
                    <m:sty m:val="p"/>
                  </m:rPr>
                  <m:t>)</m:t>
                </m:r>
              </m:sup>
            </m:sSubSup>
          </m:e>
        </m:nary>
        <m:r>
          <m:rPr>
            <m:sty m:val="p"/>
          </m:rPr>
          <m:t>(</m:t>
        </m:r>
        <m:sSub>
          <m:sSubPr/>
          <m:e>
            <m:r>
              <m:rPr/>
              <m:t>π</m:t>
            </m:r>
          </m:e>
          <m:sub>
            <m:r>
              <m:rPr/>
              <m:t>i</m:t>
            </m:r>
          </m:sub>
        </m:sSub>
        <m:r>
          <m:rPr>
            <m:sty m:val="p"/>
          </m:rPr>
          <m:t>)</m:t>
        </m:r>
      </m:oMath>
      <w:r>
        <w:t xml:space="preserve"> </w:t>
      </w:r>
      <w:r>
        <w:rPr>
          <w:rFonts w:hint="eastAsia"/>
        </w:rPr>
        <w:t>为候选</w:t>
      </w:r>
      <w:r>
        <w:t xml:space="preserve"> </w:t>
      </w:r>
      <m:oMath>
        <m:sSub>
          <m:sSubPr/>
          <m:e>
            <m:r>
              <m:rPr/>
              <m:t>π</m:t>
            </m:r>
          </m:e>
          <m:sub>
            <m:r>
              <m:rPr/>
              <m:t>i</m:t>
            </m:r>
          </m:sub>
        </m:sSub>
      </m:oMath>
      <w:r>
        <w:t xml:space="preserve"> </w:t>
      </w:r>
      <w:r>
        <w:rPr>
          <w:rFonts w:hint="eastAsia"/>
        </w:rPr>
        <w:t>的秩和，</w:t>
      </w:r>
      <m:oMath>
        <m:sSub>
          <m:sSubPr/>
          <m:e>
            <m:acc>
              <m:accPr>
                <m:chr m:val="‾"/>
              </m:accPr>
              <m:e>
                <m:r>
                  <m:rPr/>
                  <m:t>R</m:t>
                </m:r>
              </m:e>
            </m:acc>
          </m:e>
          <m:sub>
            <m:r>
              <m:rPr>
                <m:sty m:val="p"/>
              </m:rPr>
              <m:t>sum</m:t>
            </m:r>
          </m:sub>
        </m:sSub>
        <m:r>
          <m:rPr>
            <m:sty m:val="p"/>
          </m:rPr>
          <m:t>=</m:t>
        </m:r>
        <m:f>
          <m:fPr/>
          <m:num>
            <m:r>
              <m:rPr/>
              <m:t>1</m:t>
            </m:r>
          </m:num>
          <m:den>
            <m:sSub>
              <m:sSubPr/>
              <m:e>
                <m:r>
                  <m:rPr/>
                  <m:t>n</m:t>
                </m:r>
              </m:e>
              <m:sub>
                <m:r>
                  <m:rPr/>
                  <m:t>v</m:t>
                </m:r>
              </m:sub>
            </m:sSub>
          </m:den>
        </m:f>
        <m:nary>
          <m:naryPr>
            <m:chr m:val="∑"/>
            <m:limLoc m:val="undOvr"/>
          </m:naryPr>
          <m:sub>
            <m:r>
              <m:rPr/>
              <m:t>i</m:t>
            </m:r>
            <m:r>
              <m:rPr>
                <m:sty m:val="p"/>
              </m:rPr>
              <m:t>=</m:t>
            </m:r>
            <m:r>
              <m:rPr/>
              <m:t>1</m:t>
            </m:r>
          </m:sub>
          <m:sup>
            <m:sSub>
              <m:sSubPr/>
              <m:e>
                <m:r>
                  <m:rPr/>
                  <m:t>n</m:t>
                </m:r>
              </m:e>
              <m:sub>
                <m:r>
                  <m:rPr/>
                  <m:t>v</m:t>
                </m:r>
              </m:sub>
            </m:sSub>
          </m:sup>
          <m:e>
            <m:sSub>
              <m:sSubPr/>
              <m:e>
                <m:r>
                  <m:rPr/>
                  <m:t>R</m:t>
                </m:r>
              </m:e>
              <m:sub>
                <m:r>
                  <m:rPr/>
                  <m:t>i</m:t>
                </m:r>
              </m:sub>
            </m:sSub>
          </m:e>
        </m:nary>
      </m:oMath>
      <w:r>
        <w:t xml:space="preserve"> </w:t>
      </w:r>
      <w:r>
        <w:rPr>
          <w:rFonts w:hint="eastAsia"/>
        </w:rPr>
        <w:t>为秩和均值，则</w:t>
      </w:r>
      <w:r>
        <w:t xml:space="preserve"> Kendall’s </w:t>
      </w:r>
      <m:oMath>
        <m:r>
          <m:rPr/>
          <m:t>W</m:t>
        </m:r>
      </m:oMath>
      <w:r>
        <w:t xml:space="preserve"> </w:t>
      </w:r>
      <w:r>
        <w:rPr>
          <w:rFonts w:hint="eastAsia"/>
        </w:rPr>
        <w:t>定义为</w:t>
      </w:r>
    </w:p>
    <w:p w14:paraId="5D9F3BB3">
      <w:pPr>
        <w:pStyle w:val="3"/>
      </w:pPr>
      <m:oMathPara>
        <m:oMathParaPr>
          <m:jc m:val="center"/>
        </m:oMathParaPr>
        <m:oMath>
          <m:r>
            <m:rPr/>
            <m:t>W</m:t>
          </m:r>
          <m:r>
            <m:rPr>
              <m:sty m:val="p"/>
            </m:rPr>
            <m:t>=</m:t>
          </m:r>
          <m:f>
            <m:fPr/>
            <m:num>
              <m:r>
                <m:rPr/>
                <m:t>12 </m:t>
              </m:r>
              <m:nary>
                <m:naryPr>
                  <m:chr m:val="∑"/>
                  <m:limLoc m:val="undOvr"/>
                </m:naryPr>
                <m:sub>
                  <m:r>
                    <m:rPr/>
                    <m:t>i</m:t>
                  </m:r>
                  <m:r>
                    <m:rPr>
                      <m:sty m:val="p"/>
                    </m:rPr>
                    <m:t>=</m:t>
                  </m:r>
                  <m:r>
                    <m:rPr/>
                    <m:t>1</m:t>
                  </m:r>
                </m:sub>
                <m:sup>
                  <m:sSub>
                    <m:sSubPr/>
                    <m:e>
                      <m:r>
                        <m:rPr/>
                        <m:t>n</m:t>
                      </m:r>
                    </m:e>
                    <m:sub>
                      <m:r>
                        <m:rPr/>
                        <m:t>v</m:t>
                      </m:r>
                    </m:sub>
                  </m:sSub>
                </m:sup>
                <m:e>
                  <m:r>
                    <m:rPr>
                      <m:sty m:val="p"/>
                    </m:rPr>
                    <m:t>(</m:t>
                  </m:r>
                </m:e>
              </m:nary>
              <m:sSub>
                <m:sSubPr/>
                <m:e>
                  <m:r>
                    <m:rPr/>
                    <m:t>R</m:t>
                  </m:r>
                </m:e>
                <m:sub>
                  <m:r>
                    <m:rPr/>
                    <m:t>i</m:t>
                  </m:r>
                </m:sub>
              </m:sSub>
              <m:r>
                <m:rPr>
                  <m:sty m:val="p"/>
                </m:rPr>
                <m:t>−</m:t>
              </m:r>
              <m:sSub>
                <m:sSubPr/>
                <m:e>
                  <m:acc>
                    <m:accPr>
                      <m:chr m:val="‾"/>
                    </m:accPr>
                    <m:e>
                      <m:r>
                        <m:rPr/>
                        <m:t>R</m:t>
                      </m:r>
                    </m:e>
                  </m:acc>
                </m:e>
                <m:sub>
                  <m:r>
                    <m:rPr>
                      <m:sty m:val="p"/>
                    </m:rPr>
                    <m:t>sum</m:t>
                  </m:r>
                </m:sub>
              </m:sSub>
              <m:sSup>
                <m:sSupPr/>
                <m:e>
                  <m:r>
                    <m:rPr>
                      <m:sty m:val="p"/>
                    </m:rPr>
                    <m:t>)</m:t>
                  </m:r>
                </m:e>
                <m:sup>
                  <m:r>
                    <m:rPr/>
                    <m:t>2</m:t>
                  </m:r>
                </m:sup>
              </m:sSup>
            </m:num>
            <m:den>
              <m:r>
                <m:rPr>
                  <m:sty m:val="p"/>
                </m:rPr>
                <m:t>|</m:t>
              </m:r>
              <m:r>
                <m:rPr>
                  <m:sty m:val="p"/>
                  <m:scr m:val="script"/>
                </m:rPr>
                <m:t>ℋ</m:t>
              </m:r>
              <m:sSup>
                <m:sSupPr/>
                <m:e>
                  <m:r>
                    <m:rPr>
                      <m:sty m:val="p"/>
                    </m:rPr>
                    <m:t>|</m:t>
                  </m:r>
                </m:e>
                <m:sup>
                  <m:r>
                    <m:rPr/>
                    <m:t>2</m:t>
                  </m:r>
                </m:sup>
              </m:sSup>
              <m:d>
                <m:dPr>
                  <m:sepChr m:val=""/>
                </m:dPr>
                <m:e>
                  <m:sSubSup>
                    <m:sSubSupPr/>
                    <m:e>
                      <m:r>
                        <m:rPr/>
                        <m:t>n</m:t>
                      </m:r>
                    </m:e>
                    <m:sub>
                      <m:r>
                        <m:rPr/>
                        <m:t>v</m:t>
                      </m:r>
                    </m:sub>
                    <m:sup>
                      <m:r>
                        <m:rPr/>
                        <m:t>3</m:t>
                      </m:r>
                    </m:sup>
                  </m:sSubSup>
                  <m:r>
                    <m:rPr>
                      <m:sty m:val="p"/>
                    </m:rPr>
                    <m:t>−</m:t>
                  </m:r>
                  <m:sSub>
                    <m:sSubPr/>
                    <m:e>
                      <m:r>
                        <m:rPr/>
                        <m:t>n</m:t>
                      </m:r>
                    </m:e>
                    <m:sub>
                      <m:r>
                        <m:rPr/>
                        <m:t>v</m:t>
                      </m:r>
                    </m:sub>
                  </m:sSub>
                </m:e>
              </m:d>
            </m:den>
          </m:f>
        </m:oMath>
      </m:oMathPara>
    </w:p>
    <w:p w14:paraId="64A1202B">
      <w:pPr>
        <w:pStyle w:val="23"/>
      </w:pPr>
      <m:oMath>
        <m:r>
          <m:rPr/>
          <m:t>W</m:t>
        </m:r>
        <m:r>
          <m:rPr>
            <m:sty m:val="p"/>
          </m:rPr>
          <m:t>∈[</m:t>
        </m:r>
        <m:r>
          <m:rPr/>
          <m:t>0</m:t>
        </m:r>
        <m:r>
          <m:rPr>
            <m:sty m:val="p"/>
          </m:rPr>
          <m:t>,</m:t>
        </m:r>
        <m:r>
          <m:rPr/>
          <m:t>1</m:t>
        </m:r>
        <m:r>
          <m:rPr>
            <m:sty m:val="p"/>
          </m:rPr>
          <m:t>]</m:t>
        </m:r>
      </m:oMath>
      <w:r>
        <w:rPr>
          <w:rFonts w:hint="eastAsia"/>
        </w:rPr>
        <w:t>，</w:t>
      </w:r>
      <m:oMath>
        <m:r>
          <m:rPr/>
          <m:t>W</m:t>
        </m:r>
        <m:r>
          <m:rPr>
            <m:sty m:val="p"/>
          </m:rPr>
          <m:t>=</m:t>
        </m:r>
        <m:r>
          <m:rPr/>
          <m:t>1</m:t>
        </m:r>
      </m:oMath>
      <w:r>
        <w:t xml:space="preserve"> </w:t>
      </w:r>
      <w:r>
        <w:rPr>
          <w:rFonts w:hint="eastAsia"/>
        </w:rPr>
        <w:t>表示所有评审主体排序完全一致，</w:t>
      </w:r>
      <m:oMath>
        <m:r>
          <m:rPr/>
          <m:t>W</m:t>
        </m:r>
        <m:r>
          <m:rPr>
            <m:sty m:val="p"/>
          </m:rPr>
          <m:t>=</m:t>
        </m:r>
        <m:r>
          <m:rPr/>
          <m:t>0</m:t>
        </m:r>
      </m:oMath>
      <w:r>
        <w:t xml:space="preserve"> </w:t>
      </w:r>
      <w:r>
        <w:rPr>
          <w:rFonts w:hint="eastAsia"/>
        </w:rPr>
        <w:t>表示排序彼此随机无关。</w:t>
      </w:r>
    </w:p>
    <w:p w14:paraId="25C494E6">
      <w:pPr>
        <w:pStyle w:val="3"/>
      </w:pPr>
      <w:r>
        <w:rPr>
          <w:rFonts w:hint="eastAsia"/>
          <w:b/>
          <w:bCs/>
        </w:rPr>
        <w:t>定义</w:t>
      </w:r>
      <w:r>
        <w:rPr>
          <w:b/>
          <w:bCs/>
        </w:rPr>
        <w:t xml:space="preserve"> (Spearman </w:t>
      </w:r>
      <w:r>
        <w:rPr>
          <w:rFonts w:hint="eastAsia"/>
          <w:b/>
          <w:bCs/>
        </w:rPr>
        <w:t>等级相关系数)：</w:t>
      </w:r>
    </w:p>
    <w:p w14:paraId="1926946B">
      <w:pPr>
        <w:pStyle w:val="3"/>
      </w:pPr>
      <w:bookmarkStart w:id="144" w:name="def:spearman-rho"/>
      <w:bookmarkEnd w:id="144"/>
      <w:r>
        <w:t xml:space="preserve"> </w:t>
      </w:r>
      <w:r>
        <w:rPr>
          <w:rFonts w:hint="eastAsia"/>
        </w:rPr>
        <w:t>设评审主体</w:t>
      </w:r>
      <w:r>
        <w:t xml:space="preserve"> </w:t>
      </w:r>
      <m:oMath>
        <m:sSub>
          <m:sSubPr/>
          <m:e>
            <m:r>
              <m:rPr/>
              <m:t>h</m:t>
            </m:r>
          </m:e>
          <m:sub>
            <m:r>
              <m:rPr/>
              <m:t>1</m:t>
            </m:r>
          </m:sub>
        </m:sSub>
      </m:oMath>
      <w:r>
        <w:t xml:space="preserve"> </w:t>
      </w:r>
      <w:r>
        <w:rPr>
          <w:rFonts w:hint="eastAsia"/>
        </w:rPr>
        <w:t>与</w:t>
      </w:r>
      <w:r>
        <w:t xml:space="preserve"> </w:t>
      </w:r>
      <m:oMath>
        <m:sSub>
          <m:sSubPr/>
          <m:e>
            <m:r>
              <m:rPr/>
              <m:t>h</m:t>
            </m:r>
          </m:e>
          <m:sub>
            <m:r>
              <m:rPr/>
              <m:t>2</m:t>
            </m:r>
          </m:sub>
        </m:sSub>
      </m:oMath>
      <w:r>
        <w:t xml:space="preserve"> </w:t>
      </w:r>
      <w:r>
        <w:rPr>
          <w:rFonts w:hint="eastAsia"/>
        </w:rPr>
        <w:t>对同一候选集</w:t>
      </w:r>
      <w:r>
        <w:t xml:space="preserve"> </w:t>
      </w:r>
      <m:oMath>
        <m:sSub>
          <m:sSubPr/>
          <m:e>
            <m:r>
              <m:rPr>
                <m:sty m:val="p"/>
              </m:rPr>
              <m:t>Π</m:t>
            </m:r>
          </m:e>
          <m:sub>
            <m:r>
              <m:rPr/>
              <m:t>v</m:t>
            </m:r>
          </m:sub>
        </m:sSub>
      </m:oMath>
      <w:r>
        <w:t xml:space="preserve"> </w:t>
      </w:r>
      <w:r>
        <w:rPr>
          <w:rFonts w:hint="eastAsia"/>
        </w:rPr>
        <w:t>在维度</w:t>
      </w:r>
      <w:r>
        <w:t xml:space="preserve"> </w:t>
      </w:r>
      <m:oMath>
        <m:r>
          <m:rPr/>
          <m:t>δ</m:t>
        </m:r>
      </m:oMath>
      <w:r>
        <w:t xml:space="preserve"> </w:t>
      </w:r>
      <w:r>
        <w:rPr>
          <w:rFonts w:hint="eastAsia"/>
        </w:rPr>
        <w:t>上给出秩向量，对任意候选</w:t>
      </w:r>
      <w:r>
        <w:t xml:space="preserve"> </w:t>
      </w:r>
      <m:oMath>
        <m:sSub>
          <m:sSubPr/>
          <m:e>
            <m:r>
              <m:rPr/>
              <m:t>π</m:t>
            </m:r>
          </m:e>
          <m:sub>
            <m:r>
              <m:rPr/>
              <m:t>i</m:t>
            </m:r>
          </m:sub>
        </m:sSub>
      </m:oMath>
      <w:r>
        <w:t xml:space="preserve"> </w:t>
      </w:r>
      <w:r>
        <w:rPr>
          <w:rFonts w:hint="eastAsia"/>
        </w:rPr>
        <w:t>令</w:t>
      </w:r>
      <w:r>
        <w:t xml:space="preserve"> </w:t>
      </w:r>
      <m:oMath>
        <m:sSub>
          <m:sSubPr/>
          <m:e>
            <m:r>
              <m:rPr/>
              <m:t>d</m:t>
            </m:r>
          </m:e>
          <m:sub>
            <m:r>
              <m:rPr/>
              <m:t>i</m:t>
            </m:r>
          </m:sub>
        </m:sSub>
        <m:r>
          <m:rPr>
            <m:sty m:val="p"/>
          </m:rPr>
          <m:t>=</m:t>
        </m:r>
        <m:sSubSup>
          <m:sSubSupPr/>
          <m:e>
            <m:r>
              <m:rPr/>
              <m:t>r</m:t>
            </m:r>
          </m:e>
          <m:sub>
            <m:r>
              <m:rPr/>
              <m:t>δ</m:t>
            </m:r>
          </m:sub>
          <m:sup>
            <m:r>
              <m:rPr>
                <m:sty m:val="p"/>
              </m:rPr>
              <m:t>(</m:t>
            </m:r>
            <m:sSub>
              <m:sSubPr/>
              <m:e>
                <m:r>
                  <m:rPr/>
                  <m:t>h</m:t>
                </m:r>
              </m:e>
              <m:sub>
                <m:r>
                  <m:rPr/>
                  <m:t>1</m:t>
                </m:r>
              </m:sub>
            </m:sSub>
            <m:r>
              <m:rPr>
                <m:sty m:val="p"/>
              </m:rPr>
              <m:t>)</m:t>
            </m:r>
          </m:sup>
        </m:sSubSup>
        <m:r>
          <m:rPr>
            <m:sty m:val="p"/>
          </m:rPr>
          <m:t>(</m:t>
        </m:r>
        <m:sSub>
          <m:sSubPr/>
          <m:e>
            <m:r>
              <m:rPr/>
              <m:t>π</m:t>
            </m:r>
          </m:e>
          <m:sub>
            <m:r>
              <m:rPr/>
              <m:t>i</m:t>
            </m:r>
          </m:sub>
        </m:sSub>
        <m:r>
          <m:rPr>
            <m:sty m:val="p"/>
          </m:rPr>
          <m:t>)−</m:t>
        </m:r>
        <m:sSubSup>
          <m:sSubSupPr/>
          <m:e>
            <m:r>
              <m:rPr/>
              <m:t>r</m:t>
            </m:r>
          </m:e>
          <m:sub>
            <m:r>
              <m:rPr/>
              <m:t>δ</m:t>
            </m:r>
          </m:sub>
          <m:sup>
            <m:r>
              <m:rPr>
                <m:sty m:val="p"/>
              </m:rPr>
              <m:t>(</m:t>
            </m:r>
            <m:sSub>
              <m:sSubPr/>
              <m:e>
                <m:r>
                  <m:rPr/>
                  <m:t>h</m:t>
                </m:r>
              </m:e>
              <m:sub>
                <m:r>
                  <m:rPr/>
                  <m:t>2</m:t>
                </m:r>
              </m:sub>
            </m:sSub>
            <m:r>
              <m:rPr>
                <m:sty m:val="p"/>
              </m:rPr>
              <m:t>)</m:t>
            </m:r>
          </m:sup>
        </m:sSubSup>
        <m:r>
          <m:rPr>
            <m:sty m:val="p"/>
          </m:rPr>
          <m:t>(</m:t>
        </m:r>
        <m:sSub>
          <m:sSubPr/>
          <m:e>
            <m:r>
              <m:rPr/>
              <m:t>π</m:t>
            </m:r>
          </m:e>
          <m:sub>
            <m:r>
              <m:rPr/>
              <m:t>i</m:t>
            </m:r>
          </m:sub>
        </m:sSub>
        <m:r>
          <m:rPr>
            <m:sty m:val="p"/>
          </m:rPr>
          <m:t>)</m:t>
        </m:r>
      </m:oMath>
      <w:r>
        <w:t xml:space="preserve"> </w:t>
      </w:r>
      <w:r>
        <w:rPr>
          <w:rFonts w:hint="eastAsia"/>
        </w:rPr>
        <w:t>为两者秩之差，则</w:t>
      </w:r>
      <w:r>
        <w:t xml:space="preserve"> Spearman </w:t>
      </w:r>
      <w:r>
        <w:rPr>
          <w:rFonts w:hint="eastAsia"/>
        </w:rPr>
        <w:t>等级相关系数定义为</w:t>
      </w:r>
    </w:p>
    <w:p w14:paraId="524B850A">
      <w:pPr>
        <w:pStyle w:val="3"/>
      </w:pPr>
      <m:oMathPara>
        <m:oMathParaPr>
          <m:jc m:val="center"/>
        </m:oMathParaPr>
        <m:oMath>
          <m:sSubSup>
            <m:sSubSupPr/>
            <m:e>
              <m:r>
                <m:rPr/>
                <m:t>ρ</m:t>
              </m:r>
            </m:e>
            <m:sub>
              <m:sSub>
                <m:sSubPr/>
                <m:e>
                  <m:r>
                    <m:rPr/>
                    <m:t>h</m:t>
                  </m:r>
                </m:e>
                <m:sub>
                  <m:r>
                    <m:rPr/>
                    <m:t>1</m:t>
                  </m:r>
                </m:sub>
              </m:sSub>
              <m:r>
                <m:rPr>
                  <m:sty m:val="p"/>
                </m:rPr>
                <m:t>,</m:t>
              </m:r>
              <m:sSub>
                <m:sSubPr/>
                <m:e>
                  <m:r>
                    <m:rPr/>
                    <m:t>h</m:t>
                  </m:r>
                </m:e>
                <m:sub>
                  <m:r>
                    <m:rPr/>
                    <m:t>2</m:t>
                  </m:r>
                </m:sub>
              </m:sSub>
            </m:sub>
            <m:sup>
              <m:r>
                <m:rPr/>
                <m:t>δ</m:t>
              </m:r>
            </m:sup>
          </m:sSubSup>
          <m:r>
            <m:rPr>
              <m:sty m:val="p"/>
            </m:rPr>
            <m:t>=</m:t>
          </m:r>
          <m:r>
            <m:rPr/>
            <m:t>1</m:t>
          </m:r>
          <m:r>
            <m:rPr>
              <m:sty m:val="p"/>
            </m:rPr>
            <m:t>−</m:t>
          </m:r>
          <m:f>
            <m:fPr/>
            <m:num>
              <m:r>
                <m:rPr/>
                <m:t>6</m:t>
              </m:r>
              <m:nary>
                <m:naryPr>
                  <m:chr m:val="∑"/>
                  <m:limLoc m:val="undOvr"/>
                </m:naryPr>
                <m:sub>
                  <m:r>
                    <m:rPr/>
                    <m:t>i</m:t>
                  </m:r>
                  <m:r>
                    <m:rPr>
                      <m:sty m:val="p"/>
                    </m:rPr>
                    <m:t>=</m:t>
                  </m:r>
                  <m:r>
                    <m:rPr/>
                    <m:t>1</m:t>
                  </m:r>
                </m:sub>
                <m:sup>
                  <m:sSub>
                    <m:sSubPr/>
                    <m:e>
                      <m:r>
                        <m:rPr/>
                        <m:t>n</m:t>
                      </m:r>
                    </m:e>
                    <m:sub>
                      <m:r>
                        <m:rPr/>
                        <m:t>v</m:t>
                      </m:r>
                    </m:sub>
                  </m:sSub>
                </m:sup>
                <m:e>
                  <m:sSubSup>
                    <m:sSubSupPr/>
                    <m:e>
                      <m:r>
                        <m:rPr/>
                        <m:t>d</m:t>
                      </m:r>
                    </m:e>
                    <m:sub>
                      <m:r>
                        <m:rPr/>
                        <m:t>i</m:t>
                      </m:r>
                    </m:sub>
                    <m:sup>
                      <m:r>
                        <m:rPr/>
                        <m:t>2</m:t>
                      </m:r>
                    </m:sup>
                  </m:sSubSup>
                </m:e>
              </m:nary>
            </m:num>
            <m:den>
              <m:sSub>
                <m:sSubPr/>
                <m:e>
                  <m:r>
                    <m:rPr/>
                    <m:t>n</m:t>
                  </m:r>
                </m:e>
                <m:sub>
                  <m:r>
                    <m:rPr/>
                    <m:t>v</m:t>
                  </m:r>
                </m:sub>
              </m:sSub>
              <m:d>
                <m:dPr>
                  <m:sepChr m:val=""/>
                </m:dPr>
                <m:e>
                  <m:sSubSup>
                    <m:sSubSupPr/>
                    <m:e>
                      <m:r>
                        <m:rPr/>
                        <m:t>n</m:t>
                      </m:r>
                    </m:e>
                    <m:sub>
                      <m:r>
                        <m:rPr/>
                        <m:t>v</m:t>
                      </m:r>
                    </m:sub>
                    <m:sup>
                      <m:r>
                        <m:rPr/>
                        <m:t>2</m:t>
                      </m:r>
                    </m:sup>
                  </m:sSubSup>
                  <m:r>
                    <m:rPr>
                      <m:sty m:val="p"/>
                    </m:rPr>
                    <m:t>−</m:t>
                  </m:r>
                  <m:r>
                    <m:rPr/>
                    <m:t>1</m:t>
                  </m:r>
                </m:e>
              </m:d>
            </m:den>
          </m:f>
        </m:oMath>
      </m:oMathPara>
    </w:p>
    <w:p w14:paraId="0312D63D">
      <w:pPr>
        <w:pStyle w:val="23"/>
      </w:pPr>
      <m:oMath>
        <m:r>
          <m:rPr/>
          <m:t>ρ</m:t>
        </m:r>
        <m:r>
          <m:rPr>
            <m:sty m:val="p"/>
          </m:rPr>
          <m:t>∈[−</m:t>
        </m:r>
        <m:r>
          <m:rPr/>
          <m:t>1</m:t>
        </m:r>
        <m:r>
          <m:rPr>
            <m:sty m:val="p"/>
          </m:rPr>
          <m:t>,</m:t>
        </m:r>
        <m:r>
          <m:rPr/>
          <m:t>1</m:t>
        </m:r>
        <m:r>
          <m:rPr>
            <m:sty m:val="p"/>
          </m:rPr>
          <m:t>]</m:t>
        </m:r>
      </m:oMath>
      <w:r>
        <w:rPr>
          <w:rFonts w:hint="eastAsia"/>
        </w:rPr>
        <w:t>，</w:t>
      </w:r>
      <m:oMath>
        <m:r>
          <m:rPr/>
          <m:t>ρ</m:t>
        </m:r>
        <m:r>
          <m:rPr>
            <m:sty m:val="p"/>
          </m:rPr>
          <m:t>=</m:t>
        </m:r>
        <m:r>
          <m:rPr/>
          <m:t>1</m:t>
        </m:r>
      </m:oMath>
      <w:r>
        <w:t xml:space="preserve"> </w:t>
      </w:r>
      <w:r>
        <w:rPr>
          <w:rFonts w:hint="eastAsia"/>
        </w:rPr>
        <w:t>表示两位评审主体排序完全吻合，</w:t>
      </w:r>
      <m:oMath>
        <m:r>
          <m:rPr/>
          <m:t>ρ</m:t>
        </m:r>
        <m:r>
          <m:rPr>
            <m:sty m:val="p"/>
          </m:rPr>
          <m:t>=−</m:t>
        </m:r>
        <m:r>
          <m:rPr/>
          <m:t>1</m:t>
        </m:r>
      </m:oMath>
      <w:r>
        <w:t xml:space="preserve"> </w:t>
      </w:r>
      <w:r>
        <w:rPr>
          <w:rFonts w:hint="eastAsia"/>
        </w:rPr>
        <w:t>表示完全相反。实验中对所有评审主体对</w:t>
      </w:r>
      <w:r>
        <w:t xml:space="preserve"> </w:t>
      </w:r>
      <m:oMath>
        <m:r>
          <m:rPr>
            <m:sty m:val="p"/>
          </m:rPr>
          <m:t>(</m:t>
        </m:r>
        <m:sSub>
          <m:sSubPr/>
          <m:e>
            <m:r>
              <m:rPr/>
              <m:t>h</m:t>
            </m:r>
          </m:e>
          <m:sub>
            <m:r>
              <m:rPr/>
              <m:t>1</m:t>
            </m:r>
          </m:sub>
        </m:sSub>
        <m:r>
          <m:rPr>
            <m:sty m:val="p"/>
          </m:rPr>
          <m:t>,</m:t>
        </m:r>
        <m:sSub>
          <m:sSubPr/>
          <m:e>
            <m:r>
              <m:rPr/>
              <m:t>h</m:t>
            </m:r>
          </m:e>
          <m:sub>
            <m:r>
              <m:rPr/>
              <m:t>2</m:t>
            </m:r>
          </m:sub>
        </m:sSub>
        <m:r>
          <m:rPr>
            <m:sty m:val="p"/>
          </m:rPr>
          <m:t>)∈</m:t>
        </m:r>
        <m:d>
          <m:dPr>
            <m:sepChr m:val=""/>
          </m:dPr>
          <m:e>
            <m:f>
              <m:fPr>
                <m:type m:val="nobar"/>
              </m:fPr>
              <m:num>
                <m:r>
                  <m:rPr>
                    <m:sty m:val="p"/>
                    <m:scr m:val="script"/>
                  </m:rPr>
                  <m:t>ℋ</m:t>
                </m:r>
              </m:num>
              <m:den>
                <m:r>
                  <m:rPr/>
                  <m:t>2</m:t>
                </m:r>
              </m:den>
            </m:f>
          </m:e>
        </m:d>
      </m:oMath>
      <w:r>
        <w:t xml:space="preserve"> </w:t>
      </w:r>
      <w:r>
        <w:rPr>
          <w:rFonts w:hint="eastAsia"/>
        </w:rPr>
        <w:t>计算该系数，并汇报其分布的均值、中位数与极值。</w:t>
      </w:r>
    </w:p>
    <w:bookmarkEnd w:id="142"/>
    <w:p w14:paraId="2A4FC776">
      <w:pPr>
        <w:pStyle w:val="5"/>
      </w:pPr>
      <w:bookmarkStart w:id="145" w:name="基线方法"/>
      <w:r>
        <w:rPr>
          <w:rFonts w:hint="eastAsia"/>
        </w:rPr>
        <w:t>基线方法</w:t>
      </w:r>
    </w:p>
    <w:p w14:paraId="556A25A8">
      <w:pPr>
        <w:pStyle w:val="23"/>
      </w:pPr>
      <w:r>
        <w:rPr>
          <w:rFonts w:hint="eastAsia"/>
        </w:rPr>
        <w:t>为与传统静态扫描方法进行比较，研究选取四种代表性静态扫描方法作为基线，如表</w:t>
      </w:r>
      <w:r>
        <w:fldChar w:fldCharType="begin"/>
      </w:r>
      <w:r>
        <w:instrText xml:space="preserve"> HYPERLINK \l "tab:static-tools" \h </w:instrText>
      </w:r>
      <w:r>
        <w:fldChar w:fldCharType="separate"/>
      </w:r>
      <w:r>
        <w:rPr>
          <w:rStyle w:val="20"/>
        </w:rPr>
        <w:t>5.3</w:t>
      </w:r>
      <w:r>
        <w:rPr>
          <w:rStyle w:val="20"/>
        </w:rPr>
        <w:fldChar w:fldCharType="end"/>
      </w:r>
      <w:r>
        <w:rPr>
          <w:rFonts w:hint="eastAsia"/>
        </w:rPr>
        <w:t>所示。其中，kube-linter</w:t>
      </w:r>
      <w:r>
        <w:t xml:space="preserve"> </w:t>
      </w:r>
      <w:r>
        <w:rPr>
          <w:rFonts w:hint="eastAsia"/>
        </w:rPr>
        <w:t>针对</w:t>
      </w:r>
      <w:r>
        <w:t xml:space="preserve"> K8s YAML </w:t>
      </w:r>
      <w:r>
        <w:rPr>
          <w:rFonts w:hint="eastAsia"/>
        </w:rPr>
        <w:t>文件与</w:t>
      </w:r>
      <w:r>
        <w:t xml:space="preserve"> Helm Chart </w:t>
      </w:r>
      <w:r>
        <w:rPr>
          <w:rFonts w:hint="eastAsia"/>
        </w:rPr>
        <w:t>检查资源配置是否符合安全最佳实践；Kubescape</w:t>
      </w:r>
      <w:r>
        <w:t xml:space="preserve"> </w:t>
      </w:r>
      <w:r>
        <w:rPr>
          <w:rFonts w:hint="eastAsia"/>
        </w:rPr>
        <w:t>支持对照</w:t>
      </w:r>
      <w:r>
        <w:t xml:space="preserve"> NSA/CISA、MITRE ATT&amp;CK </w:t>
      </w:r>
      <w:r>
        <w:rPr>
          <w:rFonts w:hint="eastAsia"/>
        </w:rPr>
        <w:t>等框架进行合规扫描，覆盖配置风险与基准评估；KubeSec</w:t>
      </w:r>
      <w:r>
        <w:t xml:space="preserve"> </w:t>
      </w:r>
      <w:r>
        <w:rPr>
          <w:rFonts w:hint="eastAsia"/>
        </w:rPr>
        <w:t>对</w:t>
      </w:r>
      <w:r>
        <w:t xml:space="preserve"> Pod </w:t>
      </w:r>
      <w:r>
        <w:rPr>
          <w:rFonts w:hint="eastAsia"/>
        </w:rPr>
        <w:t>规范中的高风险字段进行评分并给出修改建议；SLI-Kube</w:t>
      </w:r>
      <w:r>
        <w:t xml:space="preserve"> </w:t>
      </w:r>
      <w:r>
        <w:rPr>
          <w:rFonts w:hint="eastAsia"/>
        </w:rPr>
        <w:t>由</w:t>
      </w:r>
      <w:r>
        <w:t xml:space="preserve"> Rahman </w:t>
      </w:r>
      <w:r>
        <w:rPr>
          <w:rFonts w:hint="eastAsia"/>
        </w:rPr>
        <w:t>等人提出，归纳了</w:t>
      </w:r>
      <w:r>
        <w:t xml:space="preserve"> K8s </w:t>
      </w:r>
      <w:r>
        <w:rPr>
          <w:rFonts w:hint="eastAsia"/>
        </w:rPr>
        <w:t>清单文件中常见的安全气味类型并给出检测规则。</w:t>
      </w:r>
    </w:p>
    <w:p w14:paraId="0DF097D5">
      <w:pPr>
        <w:pStyle w:val="3"/>
      </w:pPr>
      <w:bookmarkStart w:id="146" w:name="tab:static-tools"/>
      <w:bookmarkEnd w:id="146"/>
    </w:p>
    <w:tbl>
      <w:tblPr>
        <w:tblStyle w:val="41"/>
        <w:tblW w:w="900" w:type="pct"/>
        <w:tblInd w:w="0" w:type="dxa"/>
        <w:tblLayout w:type="fixed"/>
        <w:tblCellMar>
          <w:top w:w="0" w:type="dxa"/>
          <w:left w:w="108" w:type="dxa"/>
          <w:bottom w:w="0" w:type="dxa"/>
          <w:right w:w="108" w:type="dxa"/>
        </w:tblCellMar>
      </w:tblPr>
      <w:tblGrid>
        <w:gridCol w:w="1273"/>
        <w:gridCol w:w="321"/>
      </w:tblGrid>
      <w:tr w14:paraId="0869D9A6">
        <w:tblPrEx>
          <w:tblCellMar>
            <w:top w:w="0" w:type="dxa"/>
            <w:left w:w="108" w:type="dxa"/>
            <w:bottom w:w="0" w:type="dxa"/>
            <w:right w:w="108" w:type="dxa"/>
          </w:tblCellMar>
        </w:tblPrEx>
        <w:trPr>
          <w:tblHeader/>
        </w:trPr>
        <w:tc>
          <w:p w14:paraId="2F3BA8F1">
            <w:pPr>
              <w:pStyle w:val="24"/>
              <w:jc w:val="left"/>
            </w:pPr>
            <w:bookmarkStart w:id="147" w:name="tab:static-tools"/>
            <w:r>
              <w:rPr>
                <w:rFonts w:hint="eastAsia"/>
                <w:b/>
                <w:bCs/>
              </w:rPr>
              <w:t>方法</w:t>
            </w:r>
          </w:p>
        </w:tc>
        <w:tc>
          <w:p w14:paraId="7E51BD8B">
            <w:pPr>
              <w:pStyle w:val="24"/>
              <w:jc w:val="left"/>
            </w:pPr>
            <w:r>
              <w:rPr>
                <w:rFonts w:hint="eastAsia"/>
                <w:b/>
                <w:bCs/>
              </w:rPr>
              <w:t>来源</w:t>
            </w:r>
          </w:p>
        </w:tc>
      </w:tr>
      <w:tr w14:paraId="233A75D2">
        <w:tblPrEx>
          <w:tblCellMar>
            <w:top w:w="0" w:type="dxa"/>
            <w:left w:w="108" w:type="dxa"/>
            <w:bottom w:w="0" w:type="dxa"/>
            <w:right w:w="108" w:type="dxa"/>
          </w:tblCellMar>
        </w:tblPrEx>
        <w:tc>
          <w:p w14:paraId="276B2B10">
            <w:pPr>
              <w:pStyle w:val="24"/>
              <w:jc w:val="left"/>
            </w:pPr>
            <w:r>
              <w:t>kube-linter</w:t>
            </w:r>
          </w:p>
        </w:tc>
        <w:tc>
          <w:p w14:paraId="55343AE9">
            <w:pPr>
              <w:pStyle w:val="24"/>
              <w:jc w:val="left"/>
            </w:pPr>
            <w:r>
              <w:fldChar w:fldCharType="begin"/>
            </w:r>
            <w:r>
              <w:instrText xml:space="preserve"> HYPERLINK "https://github.com/stackrox/kube-linter" \h </w:instrText>
            </w:r>
            <w:r>
              <w:fldChar w:fldCharType="separate"/>
            </w:r>
            <w:r>
              <w:rPr>
                <w:rStyle w:val="20"/>
              </w:rPr>
              <w:t>https://github.com/stackrox/kube-linter</w:t>
            </w:r>
            <w:r>
              <w:rPr>
                <w:rStyle w:val="20"/>
              </w:rPr>
              <w:fldChar w:fldCharType="end"/>
            </w:r>
          </w:p>
        </w:tc>
      </w:tr>
      <w:tr w14:paraId="5C4E55D2">
        <w:tblPrEx>
          <w:tblCellMar>
            <w:top w:w="0" w:type="dxa"/>
            <w:left w:w="108" w:type="dxa"/>
            <w:bottom w:w="0" w:type="dxa"/>
            <w:right w:w="108" w:type="dxa"/>
          </w:tblCellMar>
        </w:tblPrEx>
        <w:tc>
          <w:p w14:paraId="107BEF84">
            <w:pPr>
              <w:pStyle w:val="24"/>
              <w:jc w:val="left"/>
            </w:pPr>
            <w:r>
              <w:t>Kubescape</w:t>
            </w:r>
          </w:p>
        </w:tc>
        <w:tc>
          <w:p w14:paraId="4140BD94">
            <w:pPr>
              <w:pStyle w:val="24"/>
              <w:jc w:val="left"/>
            </w:pPr>
            <w:r>
              <w:fldChar w:fldCharType="begin"/>
            </w:r>
            <w:r>
              <w:instrText xml:space="preserve"> HYPERLINK "https://github.com/kubescape/kubescape" \h </w:instrText>
            </w:r>
            <w:r>
              <w:fldChar w:fldCharType="separate"/>
            </w:r>
            <w:r>
              <w:rPr>
                <w:rStyle w:val="20"/>
              </w:rPr>
              <w:t>https://github.com/kubescape/kubescape</w:t>
            </w:r>
            <w:r>
              <w:rPr>
                <w:rStyle w:val="20"/>
              </w:rPr>
              <w:fldChar w:fldCharType="end"/>
            </w:r>
          </w:p>
        </w:tc>
      </w:tr>
      <w:tr w14:paraId="185F5207">
        <w:tblPrEx>
          <w:tblCellMar>
            <w:top w:w="0" w:type="dxa"/>
            <w:left w:w="108" w:type="dxa"/>
            <w:bottom w:w="0" w:type="dxa"/>
            <w:right w:w="108" w:type="dxa"/>
          </w:tblCellMar>
        </w:tblPrEx>
        <w:tc>
          <w:p w14:paraId="088BDA3F">
            <w:pPr>
              <w:pStyle w:val="24"/>
              <w:jc w:val="left"/>
            </w:pPr>
            <w:r>
              <w:t>KubeSec</w:t>
            </w:r>
          </w:p>
        </w:tc>
        <w:tc>
          <w:p w14:paraId="28FDC82B">
            <w:pPr>
              <w:pStyle w:val="24"/>
              <w:jc w:val="left"/>
            </w:pPr>
            <w:r>
              <w:fldChar w:fldCharType="begin"/>
            </w:r>
            <w:r>
              <w:instrText xml:space="preserve"> HYPERLINK "https://kubesec.io/" \h </w:instrText>
            </w:r>
            <w:r>
              <w:fldChar w:fldCharType="separate"/>
            </w:r>
            <w:r>
              <w:rPr>
                <w:rStyle w:val="20"/>
              </w:rPr>
              <w:t>https://kubesec.io/</w:t>
            </w:r>
            <w:r>
              <w:rPr>
                <w:rStyle w:val="20"/>
              </w:rPr>
              <w:fldChar w:fldCharType="end"/>
            </w:r>
          </w:p>
        </w:tc>
      </w:tr>
      <w:tr w14:paraId="11543FE9">
        <w:tblPrEx>
          <w:tblCellMar>
            <w:top w:w="0" w:type="dxa"/>
            <w:left w:w="108" w:type="dxa"/>
            <w:bottom w:w="0" w:type="dxa"/>
            <w:right w:w="108" w:type="dxa"/>
          </w:tblCellMar>
        </w:tblPrEx>
        <w:tc>
          <w:p w14:paraId="62276A68">
            <w:pPr>
              <w:pStyle w:val="24"/>
              <w:jc w:val="left"/>
            </w:pPr>
            <w:r>
              <w:t>SLI-Kube</w:t>
            </w:r>
          </w:p>
        </w:tc>
        <w:tc>
          <w:p w14:paraId="13A6BC6F">
            <w:pPr>
              <w:pStyle w:val="24"/>
              <w:jc w:val="left"/>
            </w:pPr>
            <w:r>
              <w:rPr>
                <w:rFonts w:hint="eastAsia"/>
              </w:rPr>
              <w:t>Rahman等</w:t>
            </w:r>
            <w:r>
              <w:t>(Rahman et al. 2023)</w:t>
            </w:r>
          </w:p>
        </w:tc>
      </w:tr>
      <w:bookmarkEnd w:id="145"/>
      <w:bookmarkEnd w:id="147"/>
    </w:tbl>
    <w:p w14:paraId="4BBC27BB">
      <w:pPr>
        <w:pStyle w:val="5"/>
      </w:pPr>
      <w:bookmarkStart w:id="148" w:name="实验环境设置"/>
      <w:r>
        <w:rPr>
          <w:rFonts w:hint="eastAsia"/>
        </w:rPr>
        <w:t>实验环境设置</w:t>
      </w:r>
    </w:p>
    <w:p w14:paraId="4B481B35">
      <w:pPr>
        <w:pStyle w:val="23"/>
      </w:pPr>
      <w:r>
        <w:rPr>
          <w:rFonts w:hint="eastAsia"/>
        </w:rPr>
        <w:t>所有漏洞复现与策略验证均在隔离的</w:t>
      </w:r>
      <w:r>
        <w:t xml:space="preserve"> K8s </w:t>
      </w:r>
      <w:r>
        <w:rPr>
          <w:rFonts w:hint="eastAsia"/>
        </w:rPr>
        <w:t>测试集群中进行。为便于复核与复现，实验环境的软硬件配置与安全组件版本统一汇总于表</w:t>
      </w:r>
      <w:r>
        <w:t> </w:t>
      </w:r>
      <w:r>
        <w:fldChar w:fldCharType="begin"/>
      </w:r>
      <w:r>
        <w:instrText xml:space="preserve"> HYPERLINK \l "tab:chap5-env" \h </w:instrText>
      </w:r>
      <w:r>
        <w:fldChar w:fldCharType="separate"/>
      </w:r>
      <w:r>
        <w:rPr>
          <w:rStyle w:val="20"/>
        </w:rPr>
        <w:t>[tab:chap5-env]</w:t>
      </w:r>
      <w:r>
        <w:rPr>
          <w:rStyle w:val="20"/>
        </w:rPr>
        <w:fldChar w:fldCharType="end"/>
      </w:r>
      <w:r>
        <w:t>。</w:t>
      </w:r>
    </w:p>
    <w:p w14:paraId="4204FBB8">
      <w:pPr>
        <w:pStyle w:val="3"/>
      </w:pPr>
      <w:bookmarkStart w:id="149" w:name="tab:chap5-env"/>
      <w:bookmarkEnd w:id="149"/>
    </w:p>
    <w:p w14:paraId="621B7276">
      <w:pPr>
        <w:pStyle w:val="3"/>
      </w:pPr>
      <w:r>
        <w:t xml:space="preserve">0.95C3.0cm X </w:t>
      </w:r>
      <w:r>
        <w:rPr>
          <w:rFonts w:hint="eastAsia"/>
        </w:rPr>
        <w:t>项目</w:t>
      </w:r>
      <w:r>
        <w:t xml:space="preserve"> &amp; </w:t>
      </w:r>
      <w:r>
        <w:rPr>
          <w:rFonts w:hint="eastAsia"/>
        </w:rPr>
        <w:t>配置</w:t>
      </w:r>
      <w:r>
        <w:br w:type="textWrapping"/>
      </w:r>
      <w:r>
        <w:rPr>
          <w:rFonts w:hint="eastAsia"/>
        </w:rPr>
        <w:t>计算资源</w:t>
      </w:r>
      <w:r>
        <w:t xml:space="preserve"> &amp; </w:t>
      </w:r>
      <w:r>
        <w:rPr>
          <w:rFonts w:hint="eastAsia"/>
        </w:rPr>
        <w:t>本地虚拟机，96核CPU，96GB内存，200GB存储</w:t>
      </w:r>
      <w:r>
        <w:br w:type="textWrapping"/>
      </w:r>
      <w:r>
        <w:rPr>
          <w:rFonts w:hint="eastAsia"/>
        </w:rPr>
        <w:t>集群组件与版本</w:t>
      </w:r>
      <w:r>
        <w:t xml:space="preserve"> &amp; Minikube </w:t>
      </w:r>
      <w:r>
        <w:rPr>
          <w:rFonts w:hint="eastAsia"/>
        </w:rPr>
        <w:t>v1.18.1；K8s</w:t>
      </w:r>
      <w:r>
        <w:t xml:space="preserve"> v1.18.3</w:t>
      </w:r>
      <w:r>
        <w:br w:type="textWrapping"/>
      </w:r>
      <w:r>
        <w:rPr>
          <w:rFonts w:hint="eastAsia"/>
        </w:rPr>
        <w:t>节点规模与规格</w:t>
      </w:r>
      <w:r>
        <w:t xml:space="preserve"> &amp; </w:t>
      </w:r>
      <w:r>
        <w:rPr>
          <w:rFonts w:hint="eastAsia"/>
        </w:rPr>
        <w:t>1个控制节点与2个工作节点；每节点4核CPU/8GB内存</w:t>
      </w:r>
      <w:r>
        <w:br w:type="textWrapping"/>
      </w:r>
      <w:r>
        <w:rPr>
          <w:rFonts w:hint="eastAsia"/>
        </w:rPr>
        <w:t>CNI/网络策略</w:t>
      </w:r>
      <w:r>
        <w:t xml:space="preserve"> &amp; Calico v3.28.2, K8s-Network-Policy v1.5.5</w:t>
      </w:r>
      <w:r>
        <w:br w:type="textWrapping"/>
      </w:r>
      <w:r>
        <w:rPr>
          <w:rFonts w:hint="eastAsia"/>
        </w:rPr>
        <w:t>准入控制</w:t>
      </w:r>
      <w:r>
        <w:t xml:space="preserve"> &amp; OPA/Gatekeeper </w:t>
      </w:r>
      <w:r>
        <w:rPr>
          <w:rFonts w:hint="eastAsia"/>
        </w:rPr>
        <w:t>v3.14.0；Kyverno</w:t>
      </w:r>
      <w:r>
        <w:t xml:space="preserve"> v1.11.0</w:t>
      </w:r>
      <w:r>
        <w:br w:type="textWrapping"/>
      </w:r>
      <w:r>
        <w:rPr>
          <w:rFonts w:hint="eastAsia"/>
        </w:rPr>
        <w:t>运行时安全监控</w:t>
      </w:r>
      <w:r>
        <w:t xml:space="preserve"> &amp; Falco v0.38.1</w:t>
      </w:r>
      <w:r>
        <w:br w:type="textWrapping"/>
      </w:r>
      <w:r>
        <w:rPr>
          <w:rFonts w:hint="eastAsia"/>
        </w:rPr>
        <w:t>包管理组件</w:t>
      </w:r>
      <w:r>
        <w:t xml:space="preserve"> &amp; Helm v3</w:t>
      </w:r>
      <w:r>
        <w:br w:type="textWrapping"/>
      </w:r>
    </w:p>
    <w:bookmarkEnd w:id="148"/>
    <w:p w14:paraId="215AB4F7">
      <w:pPr>
        <w:pStyle w:val="5"/>
      </w:pPr>
      <w:bookmarkStart w:id="150" w:name="实验流程设置"/>
      <w:r>
        <w:rPr>
          <w:rFonts w:hint="eastAsia"/>
        </w:rPr>
        <w:t>实验流程设置</w:t>
      </w:r>
    </w:p>
    <w:p w14:paraId="3729B8B1">
      <w:pPr>
        <w:pStyle w:val="23"/>
      </w:pPr>
      <w:r>
        <w:rPr>
          <w:rFonts w:hint="eastAsia"/>
        </w:rPr>
        <w:t>首先针对权限提升漏洞相关的应用版本的配置文件进行风险扫描。采用四个不同静态工具(表</w:t>
      </w:r>
      <w:r>
        <w:fldChar w:fldCharType="begin"/>
      </w:r>
      <w:r>
        <w:instrText xml:space="preserve"> HYPERLINK \l "tab:static-tools" \h </w:instrText>
      </w:r>
      <w:r>
        <w:fldChar w:fldCharType="separate"/>
      </w:r>
      <w:r>
        <w:rPr>
          <w:rStyle w:val="20"/>
        </w:rPr>
        <w:t>5.3</w:t>
      </w:r>
      <w:r>
        <w:rPr>
          <w:rStyle w:val="20"/>
        </w:rPr>
        <w:fldChar w:fldCharType="end"/>
      </w:r>
      <w:r>
        <w:rPr>
          <w:rFonts w:hint="eastAsia"/>
        </w:rPr>
        <w:t>)对配置文件进行静态扫描，并生成风险合规报告，再人工评估其对策略生成的实际帮助，包括能否定位与漏洞路径相关的高风险配置，以及是否给出可直接落地的修正建议。</w:t>
      </w:r>
    </w:p>
    <w:p w14:paraId="7ADF4FF4">
      <w:pPr>
        <w:pStyle w:val="3"/>
      </w:pPr>
      <w:r>
        <w:rPr>
          <w:rFonts w:hint="eastAsia"/>
        </w:rPr>
        <w:t>使用KPEDefense方法对55个权限提升CVE进行安全策略生成。首先，在统一的提示词模板、输入组织方式和输出结构约束下，分别使用五个大语言模型对</w:t>
      </w:r>
      <w:r>
        <w:t xml:space="preserve"> 55 </w:t>
      </w:r>
      <w:r>
        <w:rPr>
          <w:rFonts w:hint="eastAsia"/>
        </w:rPr>
        <w:t>个漏洞实例生成候选策略集合</w:t>
      </w:r>
      <w:r>
        <w:t xml:space="preserve"> </w:t>
      </w:r>
      <m:oMath>
        <m:sSub>
          <m:sSubPr/>
          <m:e>
            <m:r>
              <m:rPr>
                <m:sty m:val="p"/>
              </m:rPr>
              <m:t>Π</m:t>
            </m:r>
          </m:e>
          <m:sub>
            <m:r>
              <m:rPr/>
              <m:t>v</m:t>
            </m:r>
          </m:sub>
        </m:sSub>
      </m:oMath>
      <w:r>
        <w:rPr>
          <w:rFonts w:hint="eastAsia"/>
        </w:rPr>
        <w:t>(定义</w:t>
      </w:r>
      <w:r>
        <w:t> </w:t>
      </w:r>
      <w:r>
        <w:fldChar w:fldCharType="begin"/>
      </w:r>
      <w:r>
        <w:instrText xml:space="preserve"> HYPERLINK \l "def:candidate-strategy-set" \h </w:instrText>
      </w:r>
      <w:r>
        <w:fldChar w:fldCharType="separate"/>
      </w:r>
      <w:r>
        <w:rPr>
          <w:rStyle w:val="20"/>
        </w:rPr>
        <w:t>[def:candidate-strategy-set]</w:t>
      </w:r>
      <w:r>
        <w:rPr>
          <w:rStyle w:val="20"/>
        </w:rPr>
        <w:fldChar w:fldCharType="end"/>
      </w:r>
      <w:r>
        <w:rPr>
          <w:rFonts w:hint="eastAsia"/>
        </w:rPr>
        <w:t>)。为评估各关键模块的作用，设置三项消融配置：移除安全上下文(KPEDefense</w:t>
      </w:r>
      <w:r>
        <w:t xml:space="preserve"> w/o </w:t>
      </w:r>
      <w:r>
        <w:rPr>
          <w:rFonts w:hint="eastAsia"/>
        </w:rPr>
        <w:t>RAG)、移除思维链推理(KPEDefense</w:t>
      </w:r>
      <w:r>
        <w:t xml:space="preserve"> w/o </w:t>
      </w:r>
      <w:r>
        <w:rPr>
          <w:rFonts w:hint="eastAsia"/>
        </w:rPr>
        <w:t>CoT)和移除反馈优化(KPEDefense</w:t>
      </w:r>
      <w:r>
        <w:t xml:space="preserve"> w/o </w:t>
      </w:r>
      <w:r>
        <w:rPr>
          <w:rFonts w:hint="eastAsia"/>
        </w:rPr>
        <w:t>Feedback)，并与完整工作流生成方法(KPEDefense)进行对比。方法配置</w:t>
      </w:r>
      <w:r>
        <w:t xml:space="preserve"> </w:t>
      </w:r>
      <m:oMath>
        <m:r>
          <m:rPr/>
          <m:t>a</m:t>
        </m:r>
      </m:oMath>
      <w:r>
        <w:t xml:space="preserve"> </w:t>
      </w:r>
      <w:r>
        <w:rPr>
          <w:rFonts w:hint="eastAsia"/>
        </w:rPr>
        <w:t>与底层模型</w:t>
      </w:r>
      <w:r>
        <w:t xml:space="preserve"> </w:t>
      </w:r>
      <m:oMath>
        <m:r>
          <m:rPr/>
          <m:t>h</m:t>
        </m:r>
      </m:oMath>
      <w:r>
        <w:t xml:space="preserve"> </w:t>
      </w:r>
      <w:r>
        <w:rPr>
          <w:rFonts w:hint="eastAsia"/>
        </w:rPr>
        <w:t>的叉积共构成</w:t>
      </w:r>
      <w:r>
        <w:t xml:space="preserve"> 20 </w:t>
      </w:r>
      <w:r>
        <w:rPr>
          <w:rFonts w:hint="eastAsia"/>
        </w:rPr>
        <w:t>种生成配置</w:t>
      </w:r>
      <w:r>
        <w:t xml:space="preserve"> </w:t>
      </w:r>
      <m:oMath>
        <m:r>
          <m:rPr/>
          <m:t>g</m:t>
        </m:r>
        <m:r>
          <m:rPr>
            <m:sty m:val="p"/>
          </m:rPr>
          <m:t>=(</m:t>
        </m:r>
        <m:r>
          <m:rPr/>
          <m:t>a</m:t>
        </m:r>
        <m:r>
          <m:rPr>
            <m:sty m:val="p"/>
          </m:rPr>
          <m:t>,</m:t>
        </m:r>
        <m:r>
          <m:rPr/>
          <m:t>h</m:t>
        </m:r>
        <m:r>
          <m:rPr>
            <m:sty m:val="p"/>
          </m:rPr>
          <m:t>)</m:t>
        </m:r>
      </m:oMath>
      <w:r>
        <w:rPr>
          <w:rFonts w:hint="eastAsia"/>
        </w:rPr>
        <w:t>，如表</w:t>
      </w:r>
      <w:r>
        <w:t> </w:t>
      </w:r>
      <w:r>
        <w:fldChar w:fldCharType="begin"/>
      </w:r>
      <w:r>
        <w:instrText xml:space="preserve"> HYPERLINK \l "tab:generation-config" \h </w:instrText>
      </w:r>
      <w:r>
        <w:fldChar w:fldCharType="separate"/>
      </w:r>
      <w:r>
        <w:rPr>
          <w:rStyle w:val="20"/>
        </w:rPr>
        <w:t>5.4</w:t>
      </w:r>
      <w:r>
        <w:rPr>
          <w:rStyle w:val="20"/>
        </w:rPr>
        <w:fldChar w:fldCharType="end"/>
      </w:r>
      <w:r>
        <w:rPr>
          <w:rFonts w:hint="eastAsia"/>
        </w:rPr>
        <w:t>所示。</w:t>
      </w:r>
    </w:p>
    <w:p w14:paraId="6CC45B24">
      <w:pPr>
        <w:pStyle w:val="3"/>
      </w:pPr>
      <w:bookmarkStart w:id="151" w:name="tab:generation-config"/>
      <w:bookmarkEnd w:id="151"/>
    </w:p>
    <w:tbl>
      <w:tblPr>
        <w:tblStyle w:val="41"/>
        <w:tblW w:w="0" w:type="auto"/>
        <w:tblInd w:w="0" w:type="dxa"/>
        <w:tblLayout w:type="autofit"/>
        <w:tblCellMar>
          <w:top w:w="0" w:type="dxa"/>
          <w:left w:w="108" w:type="dxa"/>
          <w:bottom w:w="0" w:type="dxa"/>
          <w:right w:w="108" w:type="dxa"/>
        </w:tblCellMar>
      </w:tblPr>
      <w:tblGrid>
        <w:gridCol w:w="1509"/>
        <w:gridCol w:w="1557"/>
        <w:gridCol w:w="1879"/>
        <w:gridCol w:w="1862"/>
        <w:gridCol w:w="2049"/>
      </w:tblGrid>
      <w:tr w14:paraId="18D3D1A7">
        <w:tblPrEx>
          <w:tblCellMar>
            <w:top w:w="0" w:type="dxa"/>
            <w:left w:w="108" w:type="dxa"/>
            <w:bottom w:w="0" w:type="dxa"/>
            <w:right w:w="108" w:type="dxa"/>
          </w:tblCellMar>
        </w:tblPrEx>
        <w:trPr>
          <w:tblHeader/>
        </w:trPr>
        <w:tc>
          <w:p w14:paraId="5F00C1DA">
            <w:pPr>
              <w:pStyle w:val="24"/>
              <w:jc w:val="left"/>
            </w:pPr>
            <w:bookmarkStart w:id="152" w:name="tab:generation-config"/>
            <w:r>
              <w:rPr>
                <w:rFonts w:hint="eastAsia"/>
                <w:b/>
                <w:bCs/>
              </w:rPr>
              <w:t>模型</w:t>
            </w:r>
            <w:r>
              <w:rPr>
                <w:b/>
                <w:bCs/>
              </w:rPr>
              <w:t xml:space="preserve"> </w:t>
            </w:r>
            <m:oMath>
              <m:r>
                <m:rPr/>
                <m:t>h</m:t>
              </m:r>
            </m:oMath>
          </w:p>
        </w:tc>
        <w:tc>
          <w:p w14:paraId="75663C9C">
            <w:pPr>
              <w:pStyle w:val="24"/>
              <w:jc w:val="left"/>
            </w:pPr>
            <w:r>
              <w:rPr>
                <w:b/>
                <w:bCs/>
              </w:rPr>
              <w:t>KPEDefense</w:t>
            </w:r>
          </w:p>
        </w:tc>
        <w:tc>
          <w:p w14:paraId="057A30AC">
            <w:pPr>
              <w:pStyle w:val="24"/>
              <w:jc w:val="left"/>
            </w:pPr>
            <w:r>
              <w:rPr>
                <w:b/>
                <w:bCs/>
              </w:rPr>
              <w:t>KPEDefense w/o RAG</w:t>
            </w:r>
          </w:p>
        </w:tc>
        <w:tc>
          <w:p w14:paraId="7A57B3F3">
            <w:pPr>
              <w:pStyle w:val="24"/>
              <w:jc w:val="left"/>
            </w:pPr>
            <w:r>
              <w:rPr>
                <w:b/>
                <w:bCs/>
              </w:rPr>
              <w:t>KPEDefense w/o CoT</w:t>
            </w:r>
          </w:p>
        </w:tc>
        <w:tc>
          <w:p w14:paraId="68D4893D">
            <w:pPr>
              <w:pStyle w:val="24"/>
              <w:jc w:val="left"/>
            </w:pPr>
            <w:r>
              <w:rPr>
                <w:b/>
                <w:bCs/>
              </w:rPr>
              <w:t>KPEDefense w/o Feedback</w:t>
            </w:r>
          </w:p>
        </w:tc>
      </w:tr>
      <w:tr w14:paraId="410C4306">
        <w:tblPrEx>
          <w:tblCellMar>
            <w:top w:w="0" w:type="dxa"/>
            <w:left w:w="108" w:type="dxa"/>
            <w:bottom w:w="0" w:type="dxa"/>
            <w:right w:w="108" w:type="dxa"/>
          </w:tblCellMar>
        </w:tblPrEx>
        <w:tc>
          <w:p w14:paraId="7D821D58">
            <w:pPr>
              <w:pStyle w:val="24"/>
              <w:jc w:val="left"/>
            </w:pPr>
            <w:r>
              <w:t>Qwen3-Max</w:t>
            </w:r>
          </w:p>
        </w:tc>
        <w:tc>
          <w:p w14:paraId="547574CA">
            <w:pPr>
              <w:pStyle w:val="24"/>
              <w:jc w:val="left"/>
            </w:pPr>
            <m:oMathPara>
              <m:oMath>
                <m:sSub>
                  <m:sSubPr/>
                  <m:e>
                    <m:r>
                      <m:rPr/>
                      <m:t>g</m:t>
                    </m:r>
                  </m:e>
                  <m:sub>
                    <m:r>
                      <m:rPr/>
                      <m:t>1</m:t>
                    </m:r>
                  </m:sub>
                </m:sSub>
              </m:oMath>
            </m:oMathPara>
          </w:p>
        </w:tc>
        <w:tc>
          <w:p w14:paraId="28A18769">
            <w:pPr>
              <w:pStyle w:val="24"/>
              <w:jc w:val="left"/>
            </w:pPr>
            <m:oMathPara>
              <m:oMath>
                <m:sSub>
                  <m:sSubPr/>
                  <m:e>
                    <m:r>
                      <m:rPr/>
                      <m:t>g</m:t>
                    </m:r>
                  </m:e>
                  <m:sub>
                    <m:r>
                      <m:rPr/>
                      <m:t>2</m:t>
                    </m:r>
                  </m:sub>
                </m:sSub>
              </m:oMath>
            </m:oMathPara>
          </w:p>
        </w:tc>
        <w:tc>
          <w:p w14:paraId="7785ED42">
            <w:pPr>
              <w:pStyle w:val="24"/>
              <w:jc w:val="left"/>
            </w:pPr>
            <m:oMathPara>
              <m:oMath>
                <m:sSub>
                  <m:sSubPr/>
                  <m:e>
                    <m:r>
                      <m:rPr/>
                      <m:t>g</m:t>
                    </m:r>
                  </m:e>
                  <m:sub>
                    <m:r>
                      <m:rPr/>
                      <m:t>3</m:t>
                    </m:r>
                  </m:sub>
                </m:sSub>
              </m:oMath>
            </m:oMathPara>
          </w:p>
        </w:tc>
        <w:tc>
          <w:p w14:paraId="57046E93">
            <w:pPr>
              <w:pStyle w:val="24"/>
              <w:jc w:val="left"/>
            </w:pPr>
            <m:oMathPara>
              <m:oMath>
                <m:sSub>
                  <m:sSubPr/>
                  <m:e>
                    <m:r>
                      <m:rPr/>
                      <m:t>g</m:t>
                    </m:r>
                  </m:e>
                  <m:sub>
                    <m:r>
                      <m:rPr/>
                      <m:t>4</m:t>
                    </m:r>
                  </m:sub>
                </m:sSub>
              </m:oMath>
            </m:oMathPara>
          </w:p>
        </w:tc>
      </w:tr>
      <w:tr w14:paraId="199211A0">
        <w:tblPrEx>
          <w:tblCellMar>
            <w:top w:w="0" w:type="dxa"/>
            <w:left w:w="108" w:type="dxa"/>
            <w:bottom w:w="0" w:type="dxa"/>
            <w:right w:w="108" w:type="dxa"/>
          </w:tblCellMar>
        </w:tblPrEx>
        <w:tc>
          <w:p w14:paraId="3673C636">
            <w:pPr>
              <w:pStyle w:val="24"/>
              <w:jc w:val="left"/>
            </w:pPr>
            <w:r>
              <w:t>DeepSeek-V3.2</w:t>
            </w:r>
          </w:p>
        </w:tc>
        <w:tc>
          <w:p w14:paraId="3E688C99">
            <w:pPr>
              <w:pStyle w:val="24"/>
              <w:jc w:val="left"/>
            </w:pPr>
            <m:oMathPara>
              <m:oMath>
                <m:sSub>
                  <m:sSubPr/>
                  <m:e>
                    <m:r>
                      <m:rPr/>
                      <m:t>g</m:t>
                    </m:r>
                  </m:e>
                  <m:sub>
                    <m:r>
                      <m:rPr/>
                      <m:t>5</m:t>
                    </m:r>
                  </m:sub>
                </m:sSub>
              </m:oMath>
            </m:oMathPara>
          </w:p>
        </w:tc>
        <w:tc>
          <w:p w14:paraId="4CE62B90">
            <w:pPr>
              <w:pStyle w:val="24"/>
              <w:jc w:val="left"/>
            </w:pPr>
            <m:oMathPara>
              <m:oMath>
                <m:sSub>
                  <m:sSubPr/>
                  <m:e>
                    <m:r>
                      <m:rPr/>
                      <m:t>g</m:t>
                    </m:r>
                  </m:e>
                  <m:sub>
                    <m:r>
                      <m:rPr/>
                      <m:t>6</m:t>
                    </m:r>
                  </m:sub>
                </m:sSub>
              </m:oMath>
            </m:oMathPara>
          </w:p>
        </w:tc>
        <w:tc>
          <w:p w14:paraId="3DAC15DD">
            <w:pPr>
              <w:pStyle w:val="24"/>
              <w:jc w:val="left"/>
            </w:pPr>
            <m:oMathPara>
              <m:oMath>
                <m:sSub>
                  <m:sSubPr/>
                  <m:e>
                    <m:r>
                      <m:rPr/>
                      <m:t>g</m:t>
                    </m:r>
                  </m:e>
                  <m:sub>
                    <m:r>
                      <m:rPr/>
                      <m:t>7</m:t>
                    </m:r>
                  </m:sub>
                </m:sSub>
              </m:oMath>
            </m:oMathPara>
          </w:p>
        </w:tc>
        <w:tc>
          <w:p w14:paraId="6869B84C">
            <w:pPr>
              <w:pStyle w:val="24"/>
              <w:jc w:val="left"/>
            </w:pPr>
            <m:oMathPara>
              <m:oMath>
                <m:sSub>
                  <m:sSubPr/>
                  <m:e>
                    <m:r>
                      <m:rPr/>
                      <m:t>g</m:t>
                    </m:r>
                  </m:e>
                  <m:sub>
                    <m:r>
                      <m:rPr/>
                      <m:t>8</m:t>
                    </m:r>
                  </m:sub>
                </m:sSub>
              </m:oMath>
            </m:oMathPara>
          </w:p>
        </w:tc>
      </w:tr>
      <w:tr w14:paraId="3568D68E">
        <w:tblPrEx>
          <w:tblCellMar>
            <w:top w:w="0" w:type="dxa"/>
            <w:left w:w="108" w:type="dxa"/>
            <w:bottom w:w="0" w:type="dxa"/>
            <w:right w:w="108" w:type="dxa"/>
          </w:tblCellMar>
        </w:tblPrEx>
        <w:tc>
          <w:p w14:paraId="467BC1C9">
            <w:pPr>
              <w:pStyle w:val="24"/>
              <w:jc w:val="left"/>
            </w:pPr>
            <w:r>
              <w:t>GPT-5</w:t>
            </w:r>
          </w:p>
        </w:tc>
        <w:tc>
          <w:p w14:paraId="260516AF">
            <w:pPr>
              <w:pStyle w:val="24"/>
              <w:jc w:val="left"/>
            </w:pPr>
            <m:oMathPara>
              <m:oMath>
                <m:sSub>
                  <m:sSubPr/>
                  <m:e>
                    <m:r>
                      <m:rPr/>
                      <m:t>g</m:t>
                    </m:r>
                  </m:e>
                  <m:sub>
                    <m:r>
                      <m:rPr/>
                      <m:t>9</m:t>
                    </m:r>
                  </m:sub>
                </m:sSub>
              </m:oMath>
            </m:oMathPara>
          </w:p>
        </w:tc>
        <w:tc>
          <w:p w14:paraId="3D1C1597">
            <w:pPr>
              <w:pStyle w:val="24"/>
              <w:jc w:val="left"/>
            </w:pPr>
            <m:oMathPara>
              <m:oMath>
                <m:sSub>
                  <m:sSubPr/>
                  <m:e>
                    <m:r>
                      <m:rPr/>
                      <m:t>g</m:t>
                    </m:r>
                  </m:e>
                  <m:sub>
                    <m:r>
                      <m:rPr/>
                      <m:t>10</m:t>
                    </m:r>
                  </m:sub>
                </m:sSub>
              </m:oMath>
            </m:oMathPara>
          </w:p>
        </w:tc>
        <w:tc>
          <w:p w14:paraId="789A5305">
            <w:pPr>
              <w:pStyle w:val="24"/>
              <w:jc w:val="left"/>
            </w:pPr>
            <m:oMathPara>
              <m:oMath>
                <m:sSub>
                  <m:sSubPr/>
                  <m:e>
                    <m:r>
                      <m:rPr/>
                      <m:t>g</m:t>
                    </m:r>
                  </m:e>
                  <m:sub>
                    <m:r>
                      <m:rPr/>
                      <m:t>11</m:t>
                    </m:r>
                  </m:sub>
                </m:sSub>
              </m:oMath>
            </m:oMathPara>
          </w:p>
        </w:tc>
        <w:tc>
          <w:p w14:paraId="53B7D204">
            <w:pPr>
              <w:pStyle w:val="24"/>
              <w:jc w:val="left"/>
            </w:pPr>
            <m:oMathPara>
              <m:oMath>
                <m:sSub>
                  <m:sSubPr/>
                  <m:e>
                    <m:r>
                      <m:rPr/>
                      <m:t>g</m:t>
                    </m:r>
                  </m:e>
                  <m:sub>
                    <m:r>
                      <m:rPr/>
                      <m:t>12</m:t>
                    </m:r>
                  </m:sub>
                </m:sSub>
              </m:oMath>
            </m:oMathPara>
          </w:p>
        </w:tc>
      </w:tr>
      <w:tr w14:paraId="49F141F5">
        <w:tblPrEx>
          <w:tblCellMar>
            <w:top w:w="0" w:type="dxa"/>
            <w:left w:w="108" w:type="dxa"/>
            <w:bottom w:w="0" w:type="dxa"/>
            <w:right w:w="108" w:type="dxa"/>
          </w:tblCellMar>
        </w:tblPrEx>
        <w:tc>
          <w:p w14:paraId="5A523B40">
            <w:pPr>
              <w:pStyle w:val="24"/>
              <w:jc w:val="left"/>
            </w:pPr>
            <w:r>
              <w:t>Grok-4</w:t>
            </w:r>
          </w:p>
        </w:tc>
        <w:tc>
          <w:p w14:paraId="037A6FC0">
            <w:pPr>
              <w:pStyle w:val="24"/>
              <w:jc w:val="left"/>
            </w:pPr>
            <m:oMathPara>
              <m:oMath>
                <m:sSub>
                  <m:sSubPr/>
                  <m:e>
                    <m:r>
                      <m:rPr/>
                      <m:t>g</m:t>
                    </m:r>
                  </m:e>
                  <m:sub>
                    <m:r>
                      <m:rPr/>
                      <m:t>13</m:t>
                    </m:r>
                  </m:sub>
                </m:sSub>
              </m:oMath>
            </m:oMathPara>
          </w:p>
        </w:tc>
        <w:tc>
          <w:p w14:paraId="7322B21D">
            <w:pPr>
              <w:pStyle w:val="24"/>
              <w:jc w:val="left"/>
            </w:pPr>
            <m:oMathPara>
              <m:oMath>
                <m:sSub>
                  <m:sSubPr/>
                  <m:e>
                    <m:r>
                      <m:rPr/>
                      <m:t>g</m:t>
                    </m:r>
                  </m:e>
                  <m:sub>
                    <m:r>
                      <m:rPr/>
                      <m:t>14</m:t>
                    </m:r>
                  </m:sub>
                </m:sSub>
              </m:oMath>
            </m:oMathPara>
          </w:p>
        </w:tc>
        <w:tc>
          <w:p w14:paraId="293AD17D">
            <w:pPr>
              <w:pStyle w:val="24"/>
              <w:jc w:val="left"/>
            </w:pPr>
            <m:oMathPara>
              <m:oMath>
                <m:sSub>
                  <m:sSubPr/>
                  <m:e>
                    <m:r>
                      <m:rPr/>
                      <m:t>g</m:t>
                    </m:r>
                  </m:e>
                  <m:sub>
                    <m:r>
                      <m:rPr/>
                      <m:t>15</m:t>
                    </m:r>
                  </m:sub>
                </m:sSub>
              </m:oMath>
            </m:oMathPara>
          </w:p>
        </w:tc>
        <w:tc>
          <w:p w14:paraId="7C2F4412">
            <w:pPr>
              <w:pStyle w:val="24"/>
              <w:jc w:val="left"/>
            </w:pPr>
            <m:oMathPara>
              <m:oMath>
                <m:sSub>
                  <m:sSubPr/>
                  <m:e>
                    <m:r>
                      <m:rPr/>
                      <m:t>g</m:t>
                    </m:r>
                  </m:e>
                  <m:sub>
                    <m:r>
                      <m:rPr/>
                      <m:t>16</m:t>
                    </m:r>
                  </m:sub>
                </m:sSub>
              </m:oMath>
            </m:oMathPara>
          </w:p>
        </w:tc>
      </w:tr>
      <w:tr w14:paraId="29759212">
        <w:tblPrEx>
          <w:tblCellMar>
            <w:top w:w="0" w:type="dxa"/>
            <w:left w:w="108" w:type="dxa"/>
            <w:bottom w:w="0" w:type="dxa"/>
            <w:right w:w="108" w:type="dxa"/>
          </w:tblCellMar>
        </w:tblPrEx>
        <w:tc>
          <w:p w14:paraId="438B88B1">
            <w:pPr>
              <w:pStyle w:val="24"/>
              <w:jc w:val="left"/>
            </w:pPr>
            <w:r>
              <w:t>GLM-4.5</w:t>
            </w:r>
          </w:p>
        </w:tc>
        <w:tc>
          <w:p w14:paraId="63297B59">
            <w:pPr>
              <w:pStyle w:val="24"/>
              <w:jc w:val="left"/>
            </w:pPr>
            <m:oMathPara>
              <m:oMath>
                <m:sSub>
                  <m:sSubPr/>
                  <m:e>
                    <m:r>
                      <m:rPr/>
                      <m:t>g</m:t>
                    </m:r>
                  </m:e>
                  <m:sub>
                    <m:r>
                      <m:rPr/>
                      <m:t>17</m:t>
                    </m:r>
                  </m:sub>
                </m:sSub>
              </m:oMath>
            </m:oMathPara>
          </w:p>
        </w:tc>
        <w:tc>
          <w:p w14:paraId="50BCB23A">
            <w:pPr>
              <w:pStyle w:val="24"/>
              <w:jc w:val="left"/>
            </w:pPr>
            <m:oMathPara>
              <m:oMath>
                <m:sSub>
                  <m:sSubPr/>
                  <m:e>
                    <m:r>
                      <m:rPr/>
                      <m:t>g</m:t>
                    </m:r>
                  </m:e>
                  <m:sub>
                    <m:r>
                      <m:rPr/>
                      <m:t>18</m:t>
                    </m:r>
                  </m:sub>
                </m:sSub>
              </m:oMath>
            </m:oMathPara>
          </w:p>
        </w:tc>
        <w:tc>
          <w:p w14:paraId="6F9BE285">
            <w:pPr>
              <w:pStyle w:val="24"/>
              <w:jc w:val="left"/>
            </w:pPr>
            <m:oMathPara>
              <m:oMath>
                <m:sSub>
                  <m:sSubPr/>
                  <m:e>
                    <m:r>
                      <m:rPr/>
                      <m:t>g</m:t>
                    </m:r>
                  </m:e>
                  <m:sub>
                    <m:r>
                      <m:rPr/>
                      <m:t>19</m:t>
                    </m:r>
                  </m:sub>
                </m:sSub>
              </m:oMath>
            </m:oMathPara>
          </w:p>
        </w:tc>
        <w:tc>
          <w:p w14:paraId="0F59736B">
            <w:pPr>
              <w:pStyle w:val="24"/>
              <w:jc w:val="left"/>
            </w:pPr>
            <m:oMathPara>
              <m:oMath>
                <m:sSub>
                  <m:sSubPr/>
                  <m:e>
                    <m:r>
                      <m:rPr/>
                      <m:t>g</m:t>
                    </m:r>
                  </m:e>
                  <m:sub>
                    <m:r>
                      <m:rPr/>
                      <m:t>20</m:t>
                    </m:r>
                  </m:sub>
                </m:sSub>
              </m:oMath>
            </m:oMathPara>
          </w:p>
        </w:tc>
      </w:tr>
      <w:bookmarkEnd w:id="152"/>
    </w:tbl>
    <w:p w14:paraId="367CD2D5">
      <w:pPr>
        <w:pStyle w:val="3"/>
      </w:pPr>
      <w:r>
        <w:rPr>
          <w:rFonts w:hint="eastAsia"/>
        </w:rPr>
        <w:t>安全策略评估阶段，将上述五个模型(表</w:t>
      </w:r>
      <w:r>
        <w:fldChar w:fldCharType="begin"/>
      </w:r>
      <w:r>
        <w:instrText xml:space="preserve"> HYPERLINK \l "tab:llm-models-info" \h </w:instrText>
      </w:r>
      <w:r>
        <w:fldChar w:fldCharType="separate"/>
      </w:r>
      <w:r>
        <w:rPr>
          <w:rStyle w:val="20"/>
        </w:rPr>
        <w:t>5.2</w:t>
      </w:r>
      <w:r>
        <w:rPr>
          <w:rStyle w:val="20"/>
        </w:rPr>
        <w:fldChar w:fldCharType="end"/>
      </w:r>
      <w:r>
        <w:rPr>
          <w:rFonts w:hint="eastAsia"/>
        </w:rPr>
        <w:t>)同时作为评审模型，对每个漏洞实例对应的候选策略在三个评价维度上分别进行独立排序，得到该漏洞实例上的共识得分</w:t>
      </w:r>
      <w:r>
        <w:t xml:space="preserve"> </w:t>
      </w:r>
      <m:oMath>
        <m:sSub>
          <m:sSubPr/>
          <m:e>
            <m:acc>
              <m:accPr/>
              <m:e>
                <m:r>
                  <m:rPr/>
                  <m:t>S</m:t>
                </m:r>
              </m:e>
            </m:acc>
          </m:e>
          <m:sub>
            <m:r>
              <m:rPr/>
              <m:t>δ</m:t>
            </m:r>
          </m:sub>
        </m:sSub>
        <m:r>
          <m:rPr>
            <m:sty m:val="p"/>
          </m:rPr>
          <m:t>(</m:t>
        </m:r>
        <m:r>
          <m:rPr/>
          <m:t>π</m:t>
        </m:r>
        <m:r>
          <m:rPr>
            <m:sty m:val="p"/>
          </m:rPr>
          <m:t>)</m:t>
        </m:r>
      </m:oMath>
      <w:r>
        <w:rPr>
          <w:rFonts w:hint="eastAsia"/>
        </w:rPr>
        <w:t>(式</w:t>
      </w:r>
      <w:r>
        <w:fldChar w:fldCharType="begin"/>
      </w:r>
      <w:r>
        <w:instrText xml:space="preserve"> HYPERLINK \l "eq:consensus-score" \h </w:instrText>
      </w:r>
      <w:r>
        <w:fldChar w:fldCharType="separate"/>
      </w:r>
      <w:r>
        <w:rPr>
          <w:rStyle w:val="20"/>
        </w:rPr>
        <w:t>[eq:consensus-score]</w:t>
      </w:r>
      <w:r>
        <w:rPr>
          <w:rStyle w:val="20"/>
        </w:rPr>
        <w:fldChar w:fldCharType="end"/>
      </w:r>
      <w:r>
        <w:rPr>
          <w:rFonts w:hint="eastAsia"/>
        </w:rPr>
        <w:t>)，并据此形成共识排序</w:t>
      </w:r>
      <w:r>
        <w:t xml:space="preserve"> </w:t>
      </w:r>
      <m:oMath>
        <m:sSub>
          <m:sSubPr/>
          <m:e>
            <m:acc>
              <m:accPr>
                <m:chr m:val="‾"/>
              </m:accPr>
              <m:e>
                <m:r>
                  <m:rPr/>
                  <m:t>R</m:t>
                </m:r>
              </m:e>
            </m:acc>
          </m:e>
          <m:sub>
            <m:r>
              <m:rPr/>
              <m:t>δ</m:t>
            </m:r>
          </m:sub>
        </m:sSub>
      </m:oMath>
      <w:r>
        <w:rPr>
          <w:rFonts w:hint="eastAsia"/>
        </w:rPr>
        <w:t>，作为自动评审的最终结果。选择最佳策略用于案例分析。同时针对所有CVE生成的候选安全策略集合进行人工独立评审，以检验自动评审结果与人工判断的一致性。人工评审与自动评审采用相同的评价维度、排序规则和候选展示方式，从而保证两者具有可比性。</w:t>
      </w:r>
    </w:p>
    <w:p w14:paraId="09819917">
      <w:pPr>
        <w:pStyle w:val="3"/>
      </w:pPr>
      <w:r>
        <w:rPr>
          <w:rFonts w:hint="eastAsia"/>
        </w:rPr>
        <w:t>案例分析阶段，基于安全策略评估阶段生成的安全策略，对7个典型CVE进行实际案例分析，包括漏洞复现，安全策略部署和安全策略验证，验证真实场景下KPEDefense生成的安全策略的有效性、无干扰性与可部署性。</w:t>
      </w:r>
    </w:p>
    <w:bookmarkEnd w:id="141"/>
    <w:bookmarkEnd w:id="150"/>
    <w:p w14:paraId="6050E615">
      <w:pPr>
        <w:pStyle w:val="4"/>
      </w:pPr>
      <w:bookmarkStart w:id="153" w:name="结果分析与讨论"/>
      <w:r>
        <w:rPr>
          <w:rFonts w:hint="eastAsia"/>
        </w:rPr>
        <w:t>结果分析与讨论</w:t>
      </w:r>
    </w:p>
    <w:p w14:paraId="3B98603C">
      <w:pPr>
        <w:pStyle w:val="23"/>
      </w:pPr>
      <w:r>
        <w:rPr>
          <w:rFonts w:hint="eastAsia"/>
        </w:rPr>
        <w:t>本节依次从安全策略生成有效性、大模型能力差异、评估方法可信性、方法成本与效率四个方面展开分析。</w:t>
      </w:r>
    </w:p>
    <w:p w14:paraId="60BFFAD9">
      <w:pPr>
        <w:pStyle w:val="5"/>
      </w:pPr>
      <w:bookmarkStart w:id="154" w:name="安全策略生成有效性"/>
      <w:r>
        <w:rPr>
          <w:rFonts w:hint="eastAsia"/>
        </w:rPr>
        <w:t>安全策略生成有效性</w:t>
      </w:r>
    </w:p>
    <w:p w14:paraId="4B4CDA5D">
      <w:pPr>
        <w:pStyle w:val="23"/>
      </w:pPr>
      <w:r>
        <w:rPr>
          <w:rFonts w:hint="eastAsia"/>
        </w:rPr>
        <w:t>现有静态扫描方法对权限提升</w:t>
      </w:r>
      <w:r>
        <w:t xml:space="preserve"> CVE </w:t>
      </w:r>
      <w:r>
        <w:rPr>
          <w:rFonts w:hint="eastAsia"/>
        </w:rPr>
        <w:t>防控的参考价值有限。研究选取四种静态方法作为对照的扫描结果见表</w:t>
      </w:r>
      <w:r>
        <w:t> </w:t>
      </w:r>
      <w:r>
        <w:fldChar w:fldCharType="begin"/>
      </w:r>
      <w:r>
        <w:instrText xml:space="preserve"> HYPERLINK \l "tab:risk-summary-four-tools" \h </w:instrText>
      </w:r>
      <w:r>
        <w:fldChar w:fldCharType="separate"/>
      </w:r>
      <w:r>
        <w:rPr>
          <w:rStyle w:val="20"/>
        </w:rPr>
        <w:t>5.5</w:t>
      </w:r>
      <w:r>
        <w:rPr>
          <w:rStyle w:val="20"/>
        </w:rPr>
        <w:fldChar w:fldCharType="end"/>
      </w:r>
      <w:r>
        <w:rPr>
          <w:rFonts w:hint="eastAsia"/>
        </w:rPr>
        <w:t>。与收集的</w:t>
      </w:r>
      <w:r>
        <w:t xml:space="preserve"> 55 </w:t>
      </w:r>
      <w:r>
        <w:rPr>
          <w:rFonts w:hint="eastAsia"/>
        </w:rPr>
        <w:t>个权限提升漏洞逐一对应时，只有漏洞编号</w:t>
      </w:r>
      <w:r>
        <w:t xml:space="preserve"> CVE-2020-4062 </w:t>
      </w:r>
      <w:r>
        <w:rPr>
          <w:rFonts w:hint="eastAsia"/>
        </w:rPr>
        <w:t>与</w:t>
      </w:r>
      <w:r>
        <w:t xml:space="preserve"> CVE-2024-31989 </w:t>
      </w:r>
      <w:r>
        <w:rPr>
          <w:rFonts w:hint="eastAsia"/>
        </w:rPr>
        <w:t>在报告中出现了较明确的关联线索，且只有网络隔离一种分类类别，分别由</w:t>
      </w:r>
      <w:r>
        <w:t xml:space="preserve"> Kubescape </w:t>
      </w:r>
      <w:r>
        <w:rPr>
          <w:rFonts w:hint="eastAsia"/>
        </w:rPr>
        <w:t>与</w:t>
      </w:r>
      <w:r>
        <w:t xml:space="preserve"> SLI-Kube </w:t>
      </w:r>
      <w:r>
        <w:rPr>
          <w:rFonts w:hint="eastAsia"/>
        </w:rPr>
        <w:t>命中。就补丁窗口期的漏洞防控而言，静态扫描更适合作为安全基线检查与辅助分析手段，而难以直接生成面向具体</w:t>
      </w:r>
      <w:r>
        <w:t xml:space="preserve"> CVE </w:t>
      </w:r>
      <w:r>
        <w:rPr>
          <w:rFonts w:hint="eastAsia"/>
        </w:rPr>
        <w:t>的临时处置策略；KPEDefense</w:t>
      </w:r>
      <w:r>
        <w:t xml:space="preserve"> </w:t>
      </w:r>
      <w:r>
        <w:rPr>
          <w:rFonts w:hint="eastAsia"/>
        </w:rPr>
        <w:t>则更适合提供面向具体漏洞场景的处置建议。</w:t>
      </w:r>
    </w:p>
    <w:p w14:paraId="2DC9F533">
      <w:pPr>
        <w:pStyle w:val="3"/>
      </w:pPr>
      <w:bookmarkStart w:id="155" w:name="tab:risk-summary-four-tools"/>
      <w:bookmarkEnd w:id="155"/>
    </w:p>
    <w:tbl>
      <w:tblPr>
        <w:tblStyle w:val="41"/>
        <w:tblW w:w="4100" w:type="pct"/>
        <w:tblInd w:w="0" w:type="dxa"/>
        <w:tblLayout w:type="fixed"/>
        <w:tblCellMar>
          <w:top w:w="0" w:type="dxa"/>
          <w:left w:w="108" w:type="dxa"/>
          <w:bottom w:w="0" w:type="dxa"/>
          <w:right w:w="108" w:type="dxa"/>
        </w:tblCellMar>
      </w:tblPr>
      <w:tblGrid>
        <w:gridCol w:w="2037"/>
        <w:gridCol w:w="1506"/>
        <w:gridCol w:w="930"/>
        <w:gridCol w:w="930"/>
        <w:gridCol w:w="930"/>
        <w:gridCol w:w="930"/>
      </w:tblGrid>
      <w:tr w14:paraId="2213D845">
        <w:tblPrEx>
          <w:tblCellMar>
            <w:top w:w="0" w:type="dxa"/>
            <w:left w:w="108" w:type="dxa"/>
            <w:bottom w:w="0" w:type="dxa"/>
            <w:right w:w="108" w:type="dxa"/>
          </w:tblCellMar>
        </w:tblPrEx>
        <w:trPr>
          <w:tblHeader/>
        </w:trPr>
        <w:tc>
          <w:p w14:paraId="0527C43E">
            <w:pPr>
              <w:pStyle w:val="24"/>
              <w:jc w:val="left"/>
            </w:pPr>
            <w:bookmarkStart w:id="156" w:name="tab:risk-summary-four-tools"/>
            <w:r>
              <w:rPr>
                <w:rFonts w:hint="eastAsia"/>
              </w:rPr>
              <w:t>风险类型</w:t>
            </w:r>
          </w:p>
        </w:tc>
        <w:tc>
          <w:p w14:paraId="3AFF481E">
            <w:pPr>
              <w:pStyle w:val="24"/>
              <w:jc w:val="left"/>
            </w:pPr>
            <w:r>
              <w:rPr>
                <w:rFonts w:hint="eastAsia"/>
              </w:rPr>
              <w:t>分类</w:t>
            </w:r>
          </w:p>
        </w:tc>
        <w:tc>
          <w:p w14:paraId="4B0EB65C">
            <w:pPr>
              <w:pStyle w:val="24"/>
              <w:jc w:val="left"/>
            </w:pPr>
            <w:r>
              <w:t>Kubescape</w:t>
            </w:r>
          </w:p>
        </w:tc>
        <w:tc>
          <w:p w14:paraId="33C9F5E8">
            <w:pPr>
              <w:pStyle w:val="24"/>
              <w:jc w:val="left"/>
            </w:pPr>
            <w:r>
              <w:t>KubeSec</w:t>
            </w:r>
          </w:p>
        </w:tc>
        <w:tc>
          <w:p w14:paraId="26622B8F">
            <w:pPr>
              <w:pStyle w:val="24"/>
              <w:jc w:val="left"/>
            </w:pPr>
            <w:r>
              <w:t>kube-linter</w:t>
            </w:r>
          </w:p>
        </w:tc>
        <w:tc>
          <w:p w14:paraId="2DEBEEF3">
            <w:pPr>
              <w:pStyle w:val="24"/>
              <w:jc w:val="left"/>
            </w:pPr>
            <w:r>
              <w:t>SLI-Kube</w:t>
            </w:r>
          </w:p>
        </w:tc>
      </w:tr>
      <w:tr w14:paraId="4499DB26">
        <w:tblPrEx>
          <w:tblCellMar>
            <w:top w:w="0" w:type="dxa"/>
            <w:left w:w="108" w:type="dxa"/>
            <w:bottom w:w="0" w:type="dxa"/>
            <w:right w:w="108" w:type="dxa"/>
          </w:tblCellMar>
        </w:tblPrEx>
        <w:tc>
          <w:p w14:paraId="771D6738">
            <w:pPr>
              <w:pStyle w:val="24"/>
              <w:jc w:val="left"/>
            </w:pPr>
            <w:r>
              <w:rPr>
                <w:rFonts w:hint="eastAsia"/>
              </w:rPr>
              <w:t>资源配置缺失</w:t>
            </w:r>
          </w:p>
        </w:tc>
        <w:tc>
          <w:p w14:paraId="3BF6C471">
            <w:pPr>
              <w:pStyle w:val="24"/>
              <w:jc w:val="left"/>
            </w:pPr>
            <w:r>
              <w:rPr>
                <w:rFonts w:hint="eastAsia"/>
              </w:rPr>
              <w:t>配置缺陷</w:t>
            </w:r>
          </w:p>
        </w:tc>
        <w:tc>
          <w:p w14:paraId="164106E3">
            <w:pPr>
              <w:pStyle w:val="24"/>
            </w:pPr>
          </w:p>
        </w:tc>
        <w:tc>
          <w:p w14:paraId="6DFAFDD7">
            <w:pPr>
              <w:pStyle w:val="24"/>
            </w:pPr>
          </w:p>
        </w:tc>
        <w:tc>
          <w:p w14:paraId="41C1E074">
            <w:pPr>
              <w:pStyle w:val="24"/>
            </w:pPr>
          </w:p>
        </w:tc>
        <w:tc>
          <w:p w14:paraId="0A5BF9AD">
            <w:pPr>
              <w:pStyle w:val="24"/>
            </w:pPr>
          </w:p>
        </w:tc>
      </w:tr>
      <w:tr w14:paraId="0FDB6D47">
        <w:tblPrEx>
          <w:tblCellMar>
            <w:top w:w="0" w:type="dxa"/>
            <w:left w:w="108" w:type="dxa"/>
            <w:bottom w:w="0" w:type="dxa"/>
            <w:right w:w="108" w:type="dxa"/>
          </w:tblCellMar>
        </w:tblPrEx>
        <w:tc>
          <w:p w14:paraId="538B9C23">
            <w:pPr>
              <w:pStyle w:val="24"/>
              <w:jc w:val="left"/>
            </w:pPr>
            <w:r>
              <w:rPr>
                <w:rFonts w:hint="eastAsia"/>
              </w:rPr>
              <w:t>非</w:t>
            </w:r>
            <w:r>
              <w:t xml:space="preserve"> Root </w:t>
            </w:r>
            <w:r>
              <w:rPr>
                <w:rFonts w:hint="eastAsia"/>
              </w:rPr>
              <w:t>运行</w:t>
            </w:r>
          </w:p>
        </w:tc>
        <w:tc>
          <w:p w14:paraId="48A492B8">
            <w:pPr>
              <w:pStyle w:val="24"/>
              <w:jc w:val="left"/>
            </w:pPr>
            <w:r>
              <w:rPr>
                <w:rFonts w:hint="eastAsia"/>
              </w:rPr>
              <w:t>配置缺陷</w:t>
            </w:r>
          </w:p>
        </w:tc>
        <w:tc>
          <w:p w14:paraId="33C87AFE">
            <w:pPr>
              <w:pStyle w:val="24"/>
            </w:pPr>
          </w:p>
        </w:tc>
        <w:tc>
          <w:p w14:paraId="6F66ED21">
            <w:pPr>
              <w:pStyle w:val="24"/>
            </w:pPr>
          </w:p>
        </w:tc>
        <w:tc>
          <w:p w14:paraId="7F8378B3">
            <w:pPr>
              <w:pStyle w:val="24"/>
            </w:pPr>
          </w:p>
        </w:tc>
        <w:tc>
          <w:p w14:paraId="059E7ABA">
            <w:pPr>
              <w:pStyle w:val="24"/>
            </w:pPr>
          </w:p>
        </w:tc>
      </w:tr>
      <w:tr w14:paraId="7ABECE91">
        <w:tblPrEx>
          <w:tblCellMar>
            <w:top w:w="0" w:type="dxa"/>
            <w:left w:w="108" w:type="dxa"/>
            <w:bottom w:w="0" w:type="dxa"/>
            <w:right w:w="108" w:type="dxa"/>
          </w:tblCellMar>
        </w:tblPrEx>
        <w:tc>
          <w:p w14:paraId="59A66DBD">
            <w:pPr>
              <w:pStyle w:val="24"/>
              <w:jc w:val="left"/>
            </w:pPr>
            <w:r>
              <w:rPr>
                <w:rFonts w:hint="eastAsia"/>
              </w:rPr>
              <w:t>根文件系统非只读</w:t>
            </w:r>
          </w:p>
        </w:tc>
        <w:tc>
          <w:p w14:paraId="6070DDCD">
            <w:pPr>
              <w:pStyle w:val="24"/>
              <w:jc w:val="left"/>
            </w:pPr>
            <w:r>
              <w:rPr>
                <w:rFonts w:hint="eastAsia"/>
              </w:rPr>
              <w:t>配置缺陷</w:t>
            </w:r>
          </w:p>
        </w:tc>
        <w:tc>
          <w:p w14:paraId="65C938F1">
            <w:pPr>
              <w:pStyle w:val="24"/>
            </w:pPr>
          </w:p>
        </w:tc>
        <w:tc>
          <w:p w14:paraId="496F052A">
            <w:pPr>
              <w:pStyle w:val="24"/>
            </w:pPr>
          </w:p>
        </w:tc>
        <w:tc>
          <w:p w14:paraId="51F5EB75">
            <w:pPr>
              <w:pStyle w:val="24"/>
            </w:pPr>
          </w:p>
        </w:tc>
        <w:tc>
          <w:p w14:paraId="23FD93A7">
            <w:pPr>
              <w:pStyle w:val="24"/>
            </w:pPr>
          </w:p>
        </w:tc>
      </w:tr>
      <w:tr w14:paraId="78912966">
        <w:tblPrEx>
          <w:tblCellMar>
            <w:top w:w="0" w:type="dxa"/>
            <w:left w:w="108" w:type="dxa"/>
            <w:bottom w:w="0" w:type="dxa"/>
            <w:right w:w="108" w:type="dxa"/>
          </w:tblCellMar>
        </w:tblPrEx>
        <w:tc>
          <w:p w14:paraId="36549AC9">
            <w:pPr>
              <w:pStyle w:val="24"/>
              <w:jc w:val="left"/>
            </w:pPr>
            <w:r>
              <w:rPr>
                <w:rFonts w:hint="eastAsia"/>
              </w:rPr>
              <w:t>网络隔离</w:t>
            </w:r>
          </w:p>
        </w:tc>
        <w:tc>
          <w:p w14:paraId="79B1605F">
            <w:pPr>
              <w:pStyle w:val="24"/>
              <w:jc w:val="left"/>
            </w:pPr>
            <w:r>
              <w:rPr>
                <w:rFonts w:hint="eastAsia"/>
              </w:rPr>
              <w:t>配置缺陷</w:t>
            </w:r>
          </w:p>
        </w:tc>
        <w:tc>
          <w:p w14:paraId="72C5A8ED">
            <w:pPr>
              <w:pStyle w:val="24"/>
            </w:pPr>
          </w:p>
        </w:tc>
        <w:tc>
          <w:p w14:paraId="67762787">
            <w:pPr>
              <w:pStyle w:val="24"/>
            </w:pPr>
          </w:p>
        </w:tc>
        <w:tc>
          <w:p w14:paraId="14157640">
            <w:pPr>
              <w:pStyle w:val="24"/>
            </w:pPr>
          </w:p>
        </w:tc>
        <w:tc>
          <w:p w14:paraId="054AE770">
            <w:pPr>
              <w:pStyle w:val="24"/>
            </w:pPr>
          </w:p>
        </w:tc>
      </w:tr>
      <w:tr w14:paraId="04D9F6D4">
        <w:tblPrEx>
          <w:tblCellMar>
            <w:top w:w="0" w:type="dxa"/>
            <w:left w:w="108" w:type="dxa"/>
            <w:bottom w:w="0" w:type="dxa"/>
            <w:right w:w="108" w:type="dxa"/>
          </w:tblCellMar>
        </w:tblPrEx>
        <w:tc>
          <w:p w14:paraId="785FA802">
            <w:pPr>
              <w:pStyle w:val="24"/>
              <w:jc w:val="left"/>
            </w:pPr>
            <w:r>
              <w:rPr>
                <w:rFonts w:hint="eastAsia"/>
              </w:rPr>
              <w:t>特权与权限提升</w:t>
            </w:r>
          </w:p>
        </w:tc>
        <w:tc>
          <w:p w14:paraId="732A4E1B">
            <w:pPr>
              <w:pStyle w:val="24"/>
              <w:jc w:val="left"/>
            </w:pPr>
            <w:r>
              <w:rPr>
                <w:rFonts w:hint="eastAsia"/>
              </w:rPr>
              <w:t>配置缺陷</w:t>
            </w:r>
          </w:p>
        </w:tc>
        <w:tc>
          <w:p w14:paraId="0694E4DE">
            <w:pPr>
              <w:pStyle w:val="24"/>
            </w:pPr>
          </w:p>
        </w:tc>
        <w:tc>
          <w:p w14:paraId="381CF140">
            <w:pPr>
              <w:pStyle w:val="24"/>
            </w:pPr>
          </w:p>
        </w:tc>
        <w:tc>
          <w:p w14:paraId="15477CC3">
            <w:pPr>
              <w:pStyle w:val="24"/>
            </w:pPr>
          </w:p>
        </w:tc>
        <w:tc>
          <w:p w14:paraId="028CC066">
            <w:pPr>
              <w:pStyle w:val="24"/>
            </w:pPr>
          </w:p>
        </w:tc>
      </w:tr>
      <w:tr w14:paraId="508B5B48">
        <w:tblPrEx>
          <w:tblCellMar>
            <w:top w:w="0" w:type="dxa"/>
            <w:left w:w="108" w:type="dxa"/>
            <w:bottom w:w="0" w:type="dxa"/>
            <w:right w:w="108" w:type="dxa"/>
          </w:tblCellMar>
        </w:tblPrEx>
        <w:tc>
          <w:p w14:paraId="1C75A89D">
            <w:pPr>
              <w:pStyle w:val="24"/>
              <w:jc w:val="left"/>
            </w:pPr>
            <w:r>
              <w:rPr>
                <w:rFonts w:hint="eastAsia"/>
              </w:rPr>
              <w:t>主机级暴露</w:t>
            </w:r>
          </w:p>
        </w:tc>
        <w:tc>
          <w:p w14:paraId="251905AD">
            <w:pPr>
              <w:pStyle w:val="24"/>
              <w:jc w:val="left"/>
            </w:pPr>
            <w:r>
              <w:rPr>
                <w:rFonts w:hint="eastAsia"/>
              </w:rPr>
              <w:t>配置缺陷</w:t>
            </w:r>
          </w:p>
        </w:tc>
        <w:tc>
          <w:p w14:paraId="40B7A23C">
            <w:pPr>
              <w:pStyle w:val="24"/>
            </w:pPr>
          </w:p>
        </w:tc>
        <w:tc>
          <w:p w14:paraId="29313F91">
            <w:pPr>
              <w:pStyle w:val="24"/>
            </w:pPr>
          </w:p>
        </w:tc>
        <w:tc>
          <w:p w14:paraId="04AB31F7">
            <w:pPr>
              <w:pStyle w:val="24"/>
            </w:pPr>
          </w:p>
        </w:tc>
        <w:tc>
          <w:p w14:paraId="7876C324">
            <w:pPr>
              <w:pStyle w:val="24"/>
            </w:pPr>
          </w:p>
        </w:tc>
      </w:tr>
      <w:tr w14:paraId="0688D9BF">
        <w:tblPrEx>
          <w:tblCellMar>
            <w:top w:w="0" w:type="dxa"/>
            <w:left w:w="108" w:type="dxa"/>
            <w:bottom w:w="0" w:type="dxa"/>
            <w:right w:w="108" w:type="dxa"/>
          </w:tblCellMar>
        </w:tblPrEx>
        <w:tc>
          <w:p w14:paraId="51856BB8">
            <w:pPr>
              <w:pStyle w:val="24"/>
              <w:jc w:val="left"/>
            </w:pPr>
            <w:r>
              <w:rPr>
                <w:rFonts w:hint="eastAsia"/>
              </w:rPr>
              <w:t>身份与密钥</w:t>
            </w:r>
          </w:p>
        </w:tc>
        <w:tc>
          <w:p w14:paraId="068687AA">
            <w:pPr>
              <w:pStyle w:val="24"/>
              <w:jc w:val="left"/>
            </w:pPr>
            <w:r>
              <w:rPr>
                <w:rFonts w:hint="eastAsia"/>
              </w:rPr>
              <w:t>敏感信息泄露</w:t>
            </w:r>
          </w:p>
        </w:tc>
        <w:tc>
          <w:p w14:paraId="5EA57C4C">
            <w:pPr>
              <w:pStyle w:val="24"/>
            </w:pPr>
          </w:p>
        </w:tc>
        <w:tc>
          <w:p w14:paraId="40DC17C1">
            <w:pPr>
              <w:pStyle w:val="24"/>
            </w:pPr>
          </w:p>
        </w:tc>
        <w:tc>
          <w:p w14:paraId="05C96601">
            <w:pPr>
              <w:pStyle w:val="24"/>
            </w:pPr>
          </w:p>
        </w:tc>
        <w:tc>
          <w:p w14:paraId="29BAE2B8">
            <w:pPr>
              <w:pStyle w:val="24"/>
            </w:pPr>
          </w:p>
        </w:tc>
      </w:tr>
      <w:tr w14:paraId="22CA846D">
        <w:tblPrEx>
          <w:tblCellMar>
            <w:top w:w="0" w:type="dxa"/>
            <w:left w:w="108" w:type="dxa"/>
            <w:bottom w:w="0" w:type="dxa"/>
            <w:right w:w="108" w:type="dxa"/>
          </w:tblCellMar>
        </w:tblPrEx>
        <w:tc>
          <w:p w14:paraId="307DD93A">
            <w:pPr>
              <w:pStyle w:val="24"/>
              <w:jc w:val="left"/>
            </w:pPr>
            <w:r>
              <w:rPr>
                <w:rFonts w:hint="eastAsia"/>
              </w:rPr>
              <w:t>系统调用隔离</w:t>
            </w:r>
          </w:p>
        </w:tc>
        <w:tc>
          <w:p w14:paraId="21FA737F">
            <w:pPr>
              <w:pStyle w:val="24"/>
              <w:jc w:val="left"/>
            </w:pPr>
            <w:r>
              <w:rPr>
                <w:rFonts w:hint="eastAsia"/>
              </w:rPr>
              <w:t>配置缺陷</w:t>
            </w:r>
          </w:p>
        </w:tc>
        <w:tc>
          <w:p w14:paraId="1ABE4F27">
            <w:pPr>
              <w:pStyle w:val="24"/>
            </w:pPr>
          </w:p>
        </w:tc>
        <w:tc>
          <w:p w14:paraId="2E8FEAA6">
            <w:pPr>
              <w:pStyle w:val="24"/>
            </w:pPr>
          </w:p>
        </w:tc>
        <w:tc>
          <w:p w14:paraId="165CA9CA">
            <w:pPr>
              <w:pStyle w:val="24"/>
            </w:pPr>
          </w:p>
        </w:tc>
        <w:tc>
          <w:p w14:paraId="2B51717A">
            <w:pPr>
              <w:pStyle w:val="24"/>
            </w:pPr>
          </w:p>
        </w:tc>
      </w:tr>
      <w:tr w14:paraId="3C9B0223">
        <w:tblPrEx>
          <w:tblCellMar>
            <w:top w:w="0" w:type="dxa"/>
            <w:left w:w="108" w:type="dxa"/>
            <w:bottom w:w="0" w:type="dxa"/>
            <w:right w:w="108" w:type="dxa"/>
          </w:tblCellMar>
        </w:tblPrEx>
        <w:tc>
          <w:p w14:paraId="094E84D7">
            <w:pPr>
              <w:pStyle w:val="24"/>
              <w:jc w:val="left"/>
            </w:pPr>
            <w:r>
              <w:rPr>
                <w:rFonts w:hint="eastAsia"/>
              </w:rPr>
              <w:t>探针配置</w:t>
            </w:r>
          </w:p>
        </w:tc>
        <w:tc>
          <w:p w14:paraId="1C0E68C6">
            <w:pPr>
              <w:pStyle w:val="24"/>
              <w:jc w:val="left"/>
            </w:pPr>
            <w:r>
              <w:rPr>
                <w:rFonts w:hint="eastAsia"/>
              </w:rPr>
              <w:t>配置缺陷</w:t>
            </w:r>
          </w:p>
        </w:tc>
        <w:tc>
          <w:p w14:paraId="2B7AC1AD">
            <w:pPr>
              <w:pStyle w:val="24"/>
            </w:pPr>
          </w:p>
        </w:tc>
        <w:tc>
          <w:p w14:paraId="6AFBBE37">
            <w:pPr>
              <w:pStyle w:val="24"/>
            </w:pPr>
          </w:p>
        </w:tc>
        <w:tc>
          <w:p w14:paraId="03F3038B">
            <w:pPr>
              <w:pStyle w:val="24"/>
            </w:pPr>
          </w:p>
        </w:tc>
        <w:tc>
          <w:p w14:paraId="6CAD244C">
            <w:pPr>
              <w:pStyle w:val="24"/>
            </w:pPr>
          </w:p>
        </w:tc>
      </w:tr>
      <w:bookmarkEnd w:id="156"/>
    </w:tbl>
    <w:p w14:paraId="00E23B70">
      <w:pPr>
        <w:pStyle w:val="3"/>
      </w:pPr>
      <w:r>
        <w:rPr>
          <w:rFonts w:hint="eastAsia"/>
        </w:rPr>
        <w:t>消融实验表明，三个步骤均能提升策略质量，其中反馈优化的影响最为显著。完整工作流</w:t>
      </w:r>
      <w:r>
        <w:t xml:space="preserve"> </w:t>
      </w:r>
      <w:r>
        <w:rPr>
          <w:rFonts w:hint="eastAsia"/>
        </w:rPr>
        <w:t>KPEDefense与三种消融配置</w:t>
      </w:r>
      <w:r>
        <w:t xml:space="preserve"> KPEDefense w/o RAG、KPEDefense w/o CoT、KPEDefense w/o </w:t>
      </w:r>
      <w:r>
        <w:rPr>
          <w:rFonts w:hint="eastAsia"/>
        </w:rPr>
        <w:t>Feedback的三维质量得分见表</w:t>
      </w:r>
      <w:r>
        <w:t> </w:t>
      </w:r>
      <w:r>
        <w:fldChar w:fldCharType="begin"/>
      </w:r>
      <w:r>
        <w:instrText xml:space="preserve"> HYPERLINK \l "tab:ablation-scores" \h </w:instrText>
      </w:r>
      <w:r>
        <w:fldChar w:fldCharType="separate"/>
      </w:r>
      <w:r>
        <w:rPr>
          <w:rStyle w:val="20"/>
        </w:rPr>
        <w:t>5.6</w:t>
      </w:r>
      <w:r>
        <w:rPr>
          <w:rStyle w:val="20"/>
        </w:rPr>
        <w:fldChar w:fldCharType="end"/>
      </w:r>
      <w:r>
        <w:rPr>
          <w:rFonts w:hint="eastAsia"/>
        </w:rPr>
        <w:t>，评价维度为有效性</w:t>
      </w:r>
      <w:r>
        <w:t xml:space="preserve"> </w:t>
      </w:r>
      <m:oMath>
        <m:r>
          <m:rPr/>
          <m:t>E</m:t>
        </m:r>
      </m:oMath>
      <w:r>
        <w:rPr>
          <w:rFonts w:hint="eastAsia"/>
        </w:rPr>
        <w:t>、无干扰性</w:t>
      </w:r>
      <w:r>
        <w:t xml:space="preserve"> </w:t>
      </w:r>
      <m:oMath>
        <m:r>
          <m:rPr/>
          <m:t>I</m:t>
        </m:r>
      </m:oMath>
      <w:r>
        <w:t xml:space="preserve"> </w:t>
      </w:r>
      <w:r>
        <w:rPr>
          <w:rFonts w:hint="eastAsia"/>
        </w:rPr>
        <w:t>与可部署性</w:t>
      </w:r>
      <w:r>
        <w:t xml:space="preserve"> </w:t>
      </w:r>
      <m:oMath>
        <m:r>
          <m:rPr/>
          <m:t>D</m:t>
        </m:r>
      </m:oMath>
      <w:r>
        <w:t xml:space="preserve">。55 </w:t>
      </w:r>
      <w:r>
        <w:rPr>
          <w:rFonts w:hint="eastAsia"/>
        </w:rPr>
        <w:t>个漏洞样本先由五个生成模型产出候选策略，再交由五个评审模型独立排序，最后经等权聚合得到各维度共识得分。其中反馈优化(Feedback)移除后有效性降幅达</w:t>
      </w:r>
      <w:r>
        <w:t xml:space="preserve"> </w:t>
      </w:r>
      <w:r>
        <w:rPr>
          <w:rFonts w:hint="eastAsia"/>
        </w:rPr>
        <w:t>79%，无干扰性与可部署性也同步出现最大下降。多轮反馈迭代对各维度质量的提升作用最为全面，然而代价是更高的词元消耗与时间开销。思维链推理(CoT)的影响则呈现明显的维度分化：移除后有效性降至</w:t>
      </w:r>
      <w:r>
        <w:t xml:space="preserve"> </w:t>
      </w:r>
      <w:r>
        <w:rPr>
          <w:rFonts w:hint="eastAsia"/>
        </w:rPr>
        <w:t>0.234，但可部署性几乎不变(</w:t>
      </w:r>
      <m:oMath>
        <m:r>
          <m:rPr/>
          <m:t>D</m:t>
        </m:r>
        <m:r>
          <m:rPr>
            <m:sty m:val="p"/>
          </m:rPr>
          <m:t>=</m:t>
        </m:r>
        <m:r>
          <m:rPr/>
          <m:t>0.403</m:t>
        </m:r>
      </m:oMath>
      <w:r>
        <w:t xml:space="preserve"> </w:t>
      </w:r>
      <w:r>
        <w:rPr>
          <w:rFonts w:hint="eastAsia"/>
        </w:rPr>
        <w:t>降至</w:t>
      </w:r>
      <w:r>
        <w:t xml:space="preserve"> </w:t>
      </w:r>
      <m:oMath>
        <m:r>
          <m:rPr/>
          <m:t>D</m:t>
        </m:r>
        <m:r>
          <m:rPr>
            <m:sty m:val="p"/>
          </m:rPr>
          <m:t>=</m:t>
        </m:r>
        <m:r>
          <m:rPr/>
          <m:t>0.398</m:t>
        </m:r>
      </m:oMath>
      <w:r>
        <w:rPr>
          <w:rFonts w:hint="eastAsia"/>
        </w:rPr>
        <w:t>)。安全上下文(RAG)的贡献度相对较小，移除后有效性降至</w:t>
      </w:r>
      <w:r>
        <w:t xml:space="preserve"> </w:t>
      </w:r>
      <w:r>
        <w:rPr>
          <w:rFonts w:hint="eastAsia"/>
        </w:rPr>
        <w:t>0.476，降幅约</w:t>
      </w:r>
      <w:r>
        <w:t xml:space="preserve"> </w:t>
      </w:r>
      <w:r>
        <w:rPr>
          <w:rFonts w:hint="eastAsia"/>
        </w:rPr>
        <w:t>18%，无干扰性和可部署性也分别下降约</w:t>
      </w:r>
      <w:r>
        <w:t xml:space="preserve"> 14% </w:t>
      </w:r>
      <w:r>
        <w:rPr>
          <w:rFonts w:hint="eastAsia"/>
        </w:rPr>
        <w:t>与</w:t>
      </w:r>
      <w:r>
        <w:t xml:space="preserve"> </w:t>
      </w:r>
      <w:r>
        <w:rPr>
          <w:rFonts w:hint="eastAsia"/>
        </w:rPr>
        <w:t>20%。一种可能解释是，当前大语言模型的训练语料可能已涵盖部分开源仓库及相关</w:t>
      </w:r>
      <w:r>
        <w:t xml:space="preserve"> CVE </w:t>
      </w:r>
      <w:r>
        <w:rPr>
          <w:rFonts w:hint="eastAsia"/>
        </w:rPr>
        <w:t>记录，使得去除检索模块后模型仍能在一定程度上利用参数化知识感知漏洞相关信息；但该解释仍需通过控制模型训练数据可见性或使用新披露漏洞样本进一步验证。值得一提的是，部分本身进行思维链推理的模型中</w:t>
      </w:r>
      <w:r>
        <w:t xml:space="preserve"> CoT </w:t>
      </w:r>
      <w:r>
        <w:rPr>
          <w:rFonts w:hint="eastAsia"/>
        </w:rPr>
        <w:t>部分的提升较少。</w:t>
      </w:r>
    </w:p>
    <w:p w14:paraId="0837C46C">
      <w:pPr>
        <w:pStyle w:val="3"/>
      </w:pPr>
      <w:bookmarkStart w:id="157" w:name="tab:ablation-scores"/>
      <w:bookmarkEnd w:id="157"/>
    </w:p>
    <w:tbl>
      <w:tblPr>
        <w:tblStyle w:val="41"/>
        <w:tblW w:w="1850" w:type="pct"/>
        <w:tblInd w:w="0" w:type="dxa"/>
        <w:tblLayout w:type="fixed"/>
        <w:tblCellMar>
          <w:top w:w="0" w:type="dxa"/>
          <w:left w:w="108" w:type="dxa"/>
          <w:bottom w:w="0" w:type="dxa"/>
          <w:right w:w="108" w:type="dxa"/>
        </w:tblCellMar>
      </w:tblPr>
      <w:tblGrid>
        <w:gridCol w:w="2394"/>
        <w:gridCol w:w="294"/>
        <w:gridCol w:w="294"/>
        <w:gridCol w:w="294"/>
      </w:tblGrid>
      <w:tr w14:paraId="7CAFCFAF">
        <w:trPr>
          <w:tblHeader/>
        </w:trPr>
        <w:tc>
          <w:p w14:paraId="2C8EA179">
            <w:pPr>
              <w:pStyle w:val="24"/>
              <w:jc w:val="left"/>
            </w:pPr>
            <w:bookmarkStart w:id="158" w:name="tab:ablation-scores"/>
            <w:r>
              <w:rPr>
                <w:rFonts w:hint="eastAsia"/>
                <w:b/>
                <w:bCs/>
              </w:rPr>
              <w:t>方法配置</w:t>
            </w:r>
          </w:p>
        </w:tc>
        <w:tc>
          <w:p w14:paraId="6976176E">
            <w:pPr>
              <w:pStyle w:val="24"/>
              <w:jc w:val="left"/>
            </w:pPr>
            <w:r>
              <w:rPr>
                <w:rFonts w:hint="eastAsia"/>
                <w:b/>
                <w:bCs/>
              </w:rPr>
              <w:t>有效性(</w:t>
            </w:r>
            <m:oMath>
              <m:r>
                <m:rPr/>
                <m:t>E</m:t>
              </m:r>
            </m:oMath>
            <w:r>
              <w:rPr>
                <w:b/>
                <w:bCs/>
              </w:rPr>
              <w:t>)</w:t>
            </w:r>
          </w:p>
        </w:tc>
        <w:tc>
          <w:p w14:paraId="0821D43F">
            <w:pPr>
              <w:pStyle w:val="24"/>
              <w:jc w:val="left"/>
            </w:pPr>
            <w:r>
              <w:rPr>
                <w:rFonts w:hint="eastAsia"/>
                <w:b/>
                <w:bCs/>
              </w:rPr>
              <w:t>无干扰性(</w:t>
            </w:r>
            <m:oMath>
              <m:r>
                <m:rPr/>
                <m:t>I</m:t>
              </m:r>
            </m:oMath>
            <w:r>
              <w:rPr>
                <w:b/>
                <w:bCs/>
              </w:rPr>
              <w:t>)</w:t>
            </w:r>
          </w:p>
        </w:tc>
        <w:tc>
          <w:p w14:paraId="1A723108">
            <w:pPr>
              <w:pStyle w:val="24"/>
              <w:jc w:val="left"/>
            </w:pPr>
            <w:r>
              <w:rPr>
                <w:rFonts w:hint="eastAsia"/>
                <w:b/>
                <w:bCs/>
              </w:rPr>
              <w:t>可部署性(</w:t>
            </w:r>
            <m:oMath>
              <m:r>
                <m:rPr/>
                <m:t>D</m:t>
              </m:r>
            </m:oMath>
            <w:r>
              <w:rPr>
                <w:b/>
                <w:bCs/>
              </w:rPr>
              <w:t>)</w:t>
            </w:r>
          </w:p>
        </w:tc>
      </w:tr>
      <w:tr w14:paraId="1F8BCE61">
        <w:tblPrEx>
          <w:tblCellMar>
            <w:top w:w="0" w:type="dxa"/>
            <w:left w:w="108" w:type="dxa"/>
            <w:bottom w:w="0" w:type="dxa"/>
            <w:right w:w="108" w:type="dxa"/>
          </w:tblCellMar>
        </w:tblPrEx>
        <w:tc>
          <w:p w14:paraId="52D1B343">
            <w:pPr>
              <w:pStyle w:val="24"/>
              <w:jc w:val="left"/>
            </w:pPr>
            <w:r>
              <w:t>KPEDefense</w:t>
            </w:r>
          </w:p>
        </w:tc>
        <w:tc>
          <w:p w14:paraId="15B0225A">
            <w:pPr>
              <w:pStyle w:val="24"/>
              <w:jc w:val="left"/>
            </w:pPr>
            <w:r>
              <w:rPr>
                <w:b/>
                <w:bCs/>
              </w:rPr>
              <w:t>0.581</w:t>
            </w:r>
          </w:p>
        </w:tc>
        <w:tc>
          <w:p w14:paraId="4CACF8DD">
            <w:pPr>
              <w:pStyle w:val="24"/>
              <w:jc w:val="left"/>
            </w:pPr>
            <w:r>
              <w:rPr>
                <w:b/>
                <w:bCs/>
              </w:rPr>
              <w:t>0.431</w:t>
            </w:r>
          </w:p>
        </w:tc>
        <w:tc>
          <w:p w14:paraId="67460F1C">
            <w:pPr>
              <w:pStyle w:val="24"/>
              <w:jc w:val="left"/>
            </w:pPr>
            <w:r>
              <w:rPr>
                <w:b/>
                <w:bCs/>
              </w:rPr>
              <w:t>0.403</w:t>
            </w:r>
          </w:p>
        </w:tc>
      </w:tr>
      <w:tr w14:paraId="3A861ADE">
        <w:tblPrEx>
          <w:tblCellMar>
            <w:top w:w="0" w:type="dxa"/>
            <w:left w:w="108" w:type="dxa"/>
            <w:bottom w:w="0" w:type="dxa"/>
            <w:right w:w="108" w:type="dxa"/>
          </w:tblCellMar>
        </w:tblPrEx>
        <w:tc>
          <w:p w14:paraId="16B749C6">
            <w:pPr>
              <w:pStyle w:val="24"/>
              <w:jc w:val="left"/>
            </w:pPr>
            <w:r>
              <w:t>KPEDefense w/o RAG</w:t>
            </w:r>
          </w:p>
        </w:tc>
        <w:tc>
          <w:p w14:paraId="2C393B70">
            <w:pPr>
              <w:pStyle w:val="24"/>
            </w:pPr>
          </w:p>
        </w:tc>
        <w:tc>
          <w:p w14:paraId="7973E7F4">
            <w:pPr>
              <w:pStyle w:val="24"/>
            </w:pPr>
          </w:p>
        </w:tc>
        <w:tc>
          <w:p w14:paraId="38D19B74">
            <w:pPr>
              <w:pStyle w:val="24"/>
            </w:pPr>
          </w:p>
        </w:tc>
      </w:tr>
      <w:tr w14:paraId="038272C7">
        <w:tblPrEx>
          <w:tblCellMar>
            <w:top w:w="0" w:type="dxa"/>
            <w:left w:w="108" w:type="dxa"/>
            <w:bottom w:w="0" w:type="dxa"/>
            <w:right w:w="108" w:type="dxa"/>
          </w:tblCellMar>
        </w:tblPrEx>
        <w:tc>
          <w:p w14:paraId="6074A1D1">
            <w:pPr>
              <w:pStyle w:val="24"/>
              <w:jc w:val="left"/>
            </w:pPr>
            <w:r>
              <w:t>KPEDefense w/o CoT</w:t>
            </w:r>
          </w:p>
        </w:tc>
        <w:tc>
          <w:p w14:paraId="3A1962F8">
            <w:pPr>
              <w:pStyle w:val="24"/>
            </w:pPr>
          </w:p>
        </w:tc>
        <w:tc>
          <w:p w14:paraId="7A9B1312">
            <w:pPr>
              <w:pStyle w:val="24"/>
            </w:pPr>
          </w:p>
        </w:tc>
        <w:tc>
          <w:p w14:paraId="40A9F94E">
            <w:pPr>
              <w:pStyle w:val="24"/>
            </w:pPr>
          </w:p>
        </w:tc>
      </w:tr>
      <w:tr w14:paraId="78695074">
        <w:tblPrEx>
          <w:tblCellMar>
            <w:top w:w="0" w:type="dxa"/>
            <w:left w:w="108" w:type="dxa"/>
            <w:bottom w:w="0" w:type="dxa"/>
            <w:right w:w="108" w:type="dxa"/>
          </w:tblCellMar>
        </w:tblPrEx>
        <w:tc>
          <w:p w14:paraId="6DBB455F">
            <w:pPr>
              <w:pStyle w:val="24"/>
              <w:jc w:val="left"/>
            </w:pPr>
            <w:r>
              <w:t>KPEDefense w/o Feedback</w:t>
            </w:r>
          </w:p>
        </w:tc>
        <w:tc>
          <w:p w14:paraId="680AEF36">
            <w:pPr>
              <w:pStyle w:val="24"/>
            </w:pPr>
          </w:p>
        </w:tc>
        <w:tc>
          <w:p w14:paraId="5CA13879">
            <w:pPr>
              <w:pStyle w:val="24"/>
            </w:pPr>
          </w:p>
        </w:tc>
        <w:tc>
          <w:p w14:paraId="68F891DF">
            <w:pPr>
              <w:pStyle w:val="24"/>
            </w:pPr>
          </w:p>
        </w:tc>
      </w:tr>
      <w:bookmarkEnd w:id="158"/>
    </w:tbl>
    <w:p w14:paraId="7EA51157">
      <w:pPr>
        <w:pStyle w:val="3"/>
      </w:pPr>
      <w:r>
        <w:rPr>
          <w:rFonts w:hint="eastAsia"/>
        </w:rPr>
        <w:t>为进一步回答策略生成有效性问题，选取</w:t>
      </w:r>
      <w:r>
        <w:t xml:space="preserve"> 7 </w:t>
      </w:r>
      <w:r>
        <w:rPr>
          <w:rFonts w:hint="eastAsia"/>
        </w:rPr>
        <w:t>个典型</w:t>
      </w:r>
      <w:r>
        <w:t xml:space="preserve"> CVE </w:t>
      </w:r>
      <w:r>
        <w:rPr>
          <w:rFonts w:hint="eastAsia"/>
        </w:rPr>
        <w:t>进行案例分析。在隔离</w:t>
      </w:r>
      <w:r>
        <w:t xml:space="preserve"> K8s </w:t>
      </w:r>
      <w:r>
        <w:rPr>
          <w:rFonts w:hint="eastAsia"/>
        </w:rPr>
        <w:t>集群中，对每个</w:t>
      </w:r>
      <w:r>
        <w:t xml:space="preserve"> CVE </w:t>
      </w:r>
      <w:r>
        <w:rPr>
          <w:rFonts w:hint="eastAsia"/>
        </w:rPr>
        <w:t>依次完成漏洞复现、安全策略生成与策略部署验证，以考察</w:t>
      </w:r>
      <w:r>
        <w:t xml:space="preserve"> KPEDefense </w:t>
      </w:r>
      <w:r>
        <w:rPr>
          <w:rFonts w:hint="eastAsia"/>
        </w:rPr>
        <w:t>在真实场景中的防控效果。各案例的验证结果汇总见表</w:t>
      </w:r>
      <w:r>
        <w:t> </w:t>
      </w:r>
      <w:r>
        <w:fldChar w:fldCharType="begin"/>
      </w:r>
      <w:r>
        <w:instrText xml:space="preserve"> HYPERLINK \l "tab:case-validation-summary" \h </w:instrText>
      </w:r>
      <w:r>
        <w:fldChar w:fldCharType="separate"/>
      </w:r>
      <w:r>
        <w:rPr>
          <w:rStyle w:val="20"/>
        </w:rPr>
        <w:t>5.7</w:t>
      </w:r>
      <w:r>
        <w:rPr>
          <w:rStyle w:val="20"/>
        </w:rPr>
        <w:fldChar w:fldCharType="end"/>
      </w:r>
      <w:r>
        <w:rPr>
          <w:rFonts w:hint="eastAsia"/>
        </w:rPr>
        <w:t>，所有案例详细的漏洞复现过程、策略生成与验证分析见附录</w:t>
      </w:r>
      <w:r>
        <w:t> </w:t>
      </w:r>
      <w:r>
        <w:fldChar w:fldCharType="begin"/>
      </w:r>
      <w:r>
        <w:instrText xml:space="preserve"> HYPERLINK \l "app:case-analysis" \h </w:instrText>
      </w:r>
      <w:r>
        <w:fldChar w:fldCharType="separate"/>
      </w:r>
      <w:r>
        <w:rPr>
          <w:rStyle w:val="20"/>
        </w:rPr>
        <w:t>7.2</w:t>
      </w:r>
      <w:r>
        <w:rPr>
          <w:rStyle w:val="20"/>
        </w:rPr>
        <w:fldChar w:fldCharType="end"/>
      </w:r>
      <w:r>
        <w:t>。</w:t>
      </w:r>
    </w:p>
    <w:p w14:paraId="3CB8F49A">
      <w:pPr>
        <w:pStyle w:val="3"/>
      </w:pPr>
      <w:bookmarkStart w:id="159" w:name="tab:case-validation-summary"/>
      <w:bookmarkEnd w:id="159"/>
    </w:p>
    <w:tbl>
      <w:tblPr>
        <w:tblStyle w:val="41"/>
        <w:tblW w:w="0" w:type="auto"/>
        <w:tblInd w:w="0" w:type="dxa"/>
        <w:tblLayout w:type="autofit"/>
        <w:tblCellMar>
          <w:top w:w="0" w:type="dxa"/>
          <w:left w:w="108" w:type="dxa"/>
          <w:bottom w:w="0" w:type="dxa"/>
          <w:right w:w="108" w:type="dxa"/>
        </w:tblCellMar>
      </w:tblPr>
      <w:tblGrid>
        <w:gridCol w:w="1992"/>
        <w:gridCol w:w="1656"/>
        <w:gridCol w:w="1656"/>
        <w:gridCol w:w="1176"/>
        <w:gridCol w:w="936"/>
      </w:tblGrid>
      <w:tr w14:paraId="4A6055BA">
        <w:tblPrEx>
          <w:tblCellMar>
            <w:top w:w="0" w:type="dxa"/>
            <w:left w:w="108" w:type="dxa"/>
            <w:bottom w:w="0" w:type="dxa"/>
            <w:right w:w="108" w:type="dxa"/>
          </w:tblCellMar>
        </w:tblPrEx>
        <w:trPr>
          <w:tblHeader/>
        </w:trPr>
        <w:tc>
          <w:p w14:paraId="3FD07EFE">
            <w:pPr>
              <w:pStyle w:val="24"/>
              <w:jc w:val="left"/>
            </w:pPr>
            <w:bookmarkStart w:id="160" w:name="tab:case-validation-summary"/>
            <w:r>
              <w:rPr>
                <w:b/>
                <w:bCs/>
              </w:rPr>
              <w:t xml:space="preserve">CVE </w:t>
            </w:r>
            <w:r>
              <w:rPr>
                <w:rFonts w:hint="eastAsia"/>
                <w:b/>
                <w:bCs/>
              </w:rPr>
              <w:t>编号</w:t>
            </w:r>
          </w:p>
        </w:tc>
        <w:tc>
          <w:p w14:paraId="034D7C0C">
            <w:pPr>
              <w:pStyle w:val="24"/>
              <w:jc w:val="left"/>
            </w:pPr>
            <w:r>
              <w:rPr>
                <w:rFonts w:hint="eastAsia"/>
                <w:b/>
                <w:bCs/>
              </w:rPr>
              <w:t>一级分类</w:t>
            </w:r>
          </w:p>
        </w:tc>
        <w:tc>
          <w:p w14:paraId="4B66E452">
            <w:pPr>
              <w:pStyle w:val="24"/>
              <w:jc w:val="left"/>
            </w:pPr>
            <w:r>
              <w:rPr>
                <w:rFonts w:hint="eastAsia"/>
                <w:b/>
                <w:bCs/>
              </w:rPr>
              <w:t>二级分类</w:t>
            </w:r>
          </w:p>
        </w:tc>
        <w:tc>
          <w:p w14:paraId="661AB84C">
            <w:pPr>
              <w:pStyle w:val="24"/>
              <w:jc w:val="left"/>
            </w:pPr>
            <w:r>
              <w:rPr>
                <w:rFonts w:hint="eastAsia"/>
                <w:b/>
                <w:bCs/>
              </w:rPr>
              <w:t>有效防控</w:t>
            </w:r>
          </w:p>
        </w:tc>
        <w:tc>
          <w:p w14:paraId="32C7C846">
            <w:pPr>
              <w:pStyle w:val="24"/>
              <w:jc w:val="left"/>
            </w:pPr>
            <w:r>
              <w:rPr>
                <w:rFonts w:hint="eastAsia"/>
                <w:b/>
                <w:bCs/>
              </w:rPr>
              <w:t>干扰性</w:t>
            </w:r>
          </w:p>
        </w:tc>
      </w:tr>
      <w:tr w14:paraId="7C873BCA">
        <w:tblPrEx>
          <w:tblCellMar>
            <w:top w:w="0" w:type="dxa"/>
            <w:left w:w="108" w:type="dxa"/>
            <w:bottom w:w="0" w:type="dxa"/>
            <w:right w:w="108" w:type="dxa"/>
          </w:tblCellMar>
        </w:tblPrEx>
        <w:tc>
          <w:p w14:paraId="6C131276">
            <w:pPr>
              <w:pStyle w:val="24"/>
              <w:jc w:val="left"/>
            </w:pPr>
            <w:r>
              <w:t>CVE-2022-24768</w:t>
            </w:r>
          </w:p>
        </w:tc>
        <w:tc>
          <w:p w14:paraId="0655038A">
            <w:pPr>
              <w:pStyle w:val="24"/>
              <w:jc w:val="left"/>
            </w:pPr>
            <w:r>
              <w:rPr>
                <w:rFonts w:hint="eastAsia"/>
              </w:rPr>
              <w:t>安全逻辑缺陷</w:t>
            </w:r>
          </w:p>
        </w:tc>
        <w:tc>
          <w:p w14:paraId="6B7FC449">
            <w:pPr>
              <w:pStyle w:val="24"/>
              <w:jc w:val="left"/>
            </w:pPr>
            <w:r>
              <w:rPr>
                <w:rFonts w:hint="eastAsia"/>
              </w:rPr>
              <w:t>访问控制缺陷</w:t>
            </w:r>
          </w:p>
        </w:tc>
        <w:tc>
          <w:p w14:paraId="55F2364A">
            <w:pPr>
              <w:pStyle w:val="24"/>
              <w:jc w:val="left"/>
            </w:pPr>
            <m:oMathPara>
              <m:oMath>
                <m:r>
                  <m:rPr>
                    <m:sty m:val="p"/>
                  </m:rPr>
                  <m:t>✓</m:t>
                </m:r>
              </m:oMath>
            </m:oMathPara>
          </w:p>
        </w:tc>
        <w:tc>
          <w:p w14:paraId="6B432F02">
            <w:pPr>
              <w:pStyle w:val="24"/>
              <w:jc w:val="left"/>
            </w:pPr>
            <w:r>
              <w:rPr>
                <w:rFonts w:hint="eastAsia"/>
              </w:rPr>
              <w:t>低</w:t>
            </w:r>
          </w:p>
        </w:tc>
      </w:tr>
      <w:tr w14:paraId="1E496CD9">
        <w:tblPrEx>
          <w:tblCellMar>
            <w:top w:w="0" w:type="dxa"/>
            <w:left w:w="108" w:type="dxa"/>
            <w:bottom w:w="0" w:type="dxa"/>
            <w:right w:w="108" w:type="dxa"/>
          </w:tblCellMar>
        </w:tblPrEx>
        <w:tc>
          <w:p w14:paraId="72C9FF09">
            <w:pPr>
              <w:pStyle w:val="24"/>
              <w:jc w:val="left"/>
            </w:pPr>
            <w:r>
              <w:t>CVE-2025-2241</w:t>
            </w:r>
          </w:p>
        </w:tc>
        <w:tc>
          <w:p w14:paraId="14AD383F">
            <w:pPr>
              <w:pStyle w:val="24"/>
              <w:jc w:val="left"/>
            </w:pPr>
            <w:r>
              <w:rPr>
                <w:rFonts w:hint="eastAsia"/>
              </w:rPr>
              <w:t>敏感信息泄露</w:t>
            </w:r>
          </w:p>
        </w:tc>
        <w:tc>
          <w:p w14:paraId="2B8B6C7D">
            <w:pPr>
              <w:pStyle w:val="24"/>
              <w:jc w:val="left"/>
            </w:pPr>
            <w:r>
              <w:rPr>
                <w:rFonts w:hint="eastAsia"/>
              </w:rPr>
              <w:t>API端口暴露</w:t>
            </w:r>
          </w:p>
        </w:tc>
        <w:tc>
          <w:p w14:paraId="0705A52F">
            <w:pPr>
              <w:pStyle w:val="24"/>
              <w:jc w:val="left"/>
            </w:pPr>
            <m:oMathPara>
              <m:oMath>
                <m:r>
                  <m:rPr>
                    <m:sty m:val="p"/>
                  </m:rPr>
                  <m:t>✓</m:t>
                </m:r>
              </m:oMath>
            </m:oMathPara>
          </w:p>
        </w:tc>
        <w:tc>
          <w:p w14:paraId="474FFAA7">
            <w:pPr>
              <w:pStyle w:val="24"/>
              <w:jc w:val="left"/>
            </w:pPr>
            <w:r>
              <w:rPr>
                <w:rFonts w:hint="eastAsia"/>
              </w:rPr>
              <w:t>低</w:t>
            </w:r>
          </w:p>
        </w:tc>
      </w:tr>
      <w:tr w14:paraId="4D079C53">
        <w:tblPrEx>
          <w:tblCellMar>
            <w:top w:w="0" w:type="dxa"/>
            <w:left w:w="108" w:type="dxa"/>
            <w:bottom w:w="0" w:type="dxa"/>
            <w:right w:w="108" w:type="dxa"/>
          </w:tblCellMar>
        </w:tblPrEx>
        <w:tc>
          <w:p w14:paraId="723EFDA8">
            <w:pPr>
              <w:pStyle w:val="24"/>
              <w:jc w:val="left"/>
            </w:pPr>
            <w:r>
              <w:t>CVE-2023-30512</w:t>
            </w:r>
          </w:p>
        </w:tc>
        <w:tc>
          <w:p w14:paraId="45BFB8F2">
            <w:pPr>
              <w:pStyle w:val="24"/>
              <w:jc w:val="left"/>
            </w:pPr>
            <w:r>
              <w:rPr>
                <w:rFonts w:hint="eastAsia"/>
              </w:rPr>
              <w:t>配置缺陷</w:t>
            </w:r>
          </w:p>
        </w:tc>
        <w:tc>
          <w:p w14:paraId="1F6D3459">
            <w:pPr>
              <w:pStyle w:val="24"/>
              <w:jc w:val="left"/>
            </w:pPr>
            <w:r>
              <w:rPr>
                <w:rFonts w:hint="eastAsia"/>
              </w:rPr>
              <w:t>冗余权限</w:t>
            </w:r>
          </w:p>
        </w:tc>
        <w:tc>
          <w:p w14:paraId="158CE696">
            <w:pPr>
              <w:pStyle w:val="24"/>
              <w:jc w:val="left"/>
            </w:pPr>
            <m:oMathPara>
              <m:oMath>
                <m:r>
                  <m:rPr>
                    <m:sty m:val="p"/>
                  </m:rPr>
                  <m:t>✓</m:t>
                </m:r>
              </m:oMath>
            </m:oMathPara>
          </w:p>
        </w:tc>
        <w:tc>
          <w:p w14:paraId="5B835B47">
            <w:pPr>
              <w:pStyle w:val="24"/>
              <w:jc w:val="left"/>
            </w:pPr>
            <w:r>
              <w:rPr>
                <w:rFonts w:hint="eastAsia"/>
              </w:rPr>
              <w:t>低</w:t>
            </w:r>
          </w:p>
        </w:tc>
      </w:tr>
      <w:tr w14:paraId="67EF4C10">
        <w:tblPrEx>
          <w:tblCellMar>
            <w:top w:w="0" w:type="dxa"/>
            <w:left w:w="108" w:type="dxa"/>
            <w:bottom w:w="0" w:type="dxa"/>
            <w:right w:w="108" w:type="dxa"/>
          </w:tblCellMar>
        </w:tblPrEx>
        <w:tc>
          <w:p w14:paraId="10C08236">
            <w:pPr>
              <w:pStyle w:val="24"/>
              <w:jc w:val="left"/>
            </w:pPr>
            <w:r>
              <w:t>CVE-2020-4062</w:t>
            </w:r>
          </w:p>
        </w:tc>
        <w:tc>
          <w:p w14:paraId="1CA3FFDC">
            <w:pPr>
              <w:pStyle w:val="24"/>
              <w:jc w:val="left"/>
            </w:pPr>
            <w:r>
              <w:rPr>
                <w:rFonts w:hint="eastAsia"/>
              </w:rPr>
              <w:t>配置缺陷</w:t>
            </w:r>
          </w:p>
        </w:tc>
        <w:tc>
          <w:p w14:paraId="3FB6DFB8">
            <w:pPr>
              <w:pStyle w:val="24"/>
              <w:jc w:val="left"/>
            </w:pPr>
            <w:r>
              <w:rPr>
                <w:rFonts w:hint="eastAsia"/>
              </w:rPr>
              <w:t>网络隔离不足</w:t>
            </w:r>
          </w:p>
        </w:tc>
        <w:tc>
          <w:p w14:paraId="5D1B63DD">
            <w:pPr>
              <w:pStyle w:val="24"/>
              <w:jc w:val="left"/>
            </w:pPr>
            <m:oMathPara>
              <m:oMath>
                <m:r>
                  <m:rPr>
                    <m:sty m:val="p"/>
                  </m:rPr>
                  <m:t>✓</m:t>
                </m:r>
              </m:oMath>
            </m:oMathPara>
          </w:p>
        </w:tc>
        <w:tc>
          <w:p w14:paraId="2F752F7C">
            <w:pPr>
              <w:pStyle w:val="24"/>
              <w:jc w:val="left"/>
            </w:pPr>
            <w:r>
              <w:rPr>
                <w:rFonts w:hint="eastAsia"/>
              </w:rPr>
              <w:t>低</w:t>
            </w:r>
          </w:p>
        </w:tc>
      </w:tr>
      <w:tr w14:paraId="501109C0">
        <w:tblPrEx>
          <w:tblCellMar>
            <w:top w:w="0" w:type="dxa"/>
            <w:left w:w="108" w:type="dxa"/>
            <w:bottom w:w="0" w:type="dxa"/>
            <w:right w:w="108" w:type="dxa"/>
          </w:tblCellMar>
        </w:tblPrEx>
        <w:tc>
          <w:p w14:paraId="67156241">
            <w:pPr>
              <w:pStyle w:val="24"/>
              <w:jc w:val="left"/>
            </w:pPr>
            <w:r>
              <w:t>CVE-2022-24877</w:t>
            </w:r>
          </w:p>
        </w:tc>
        <w:tc>
          <w:p w14:paraId="76807479">
            <w:pPr>
              <w:pStyle w:val="24"/>
              <w:jc w:val="left"/>
            </w:pPr>
            <w:r>
              <w:rPr>
                <w:rFonts w:hint="eastAsia"/>
              </w:rPr>
              <w:t>代码注入</w:t>
            </w:r>
          </w:p>
        </w:tc>
        <w:tc>
          <w:p w14:paraId="79CAAA41">
            <w:pPr>
              <w:pStyle w:val="24"/>
              <w:jc w:val="left"/>
            </w:pPr>
            <w:r>
              <w:rPr>
                <w:rFonts w:hint="eastAsia"/>
              </w:rPr>
              <w:t>路径遍历</w:t>
            </w:r>
          </w:p>
        </w:tc>
        <w:tc>
          <w:p w14:paraId="45154354">
            <w:pPr>
              <w:pStyle w:val="24"/>
              <w:jc w:val="left"/>
            </w:pPr>
            <m:oMathPara>
              <m:oMath>
                <m:r>
                  <m:rPr>
                    <m:sty m:val="p"/>
                  </m:rPr>
                  <m:t>✓</m:t>
                </m:r>
              </m:oMath>
            </m:oMathPara>
          </w:p>
        </w:tc>
        <w:tc>
          <w:p w14:paraId="6EA59D6F">
            <w:pPr>
              <w:pStyle w:val="24"/>
              <w:jc w:val="left"/>
            </w:pPr>
            <w:r>
              <w:rPr>
                <w:rFonts w:hint="eastAsia"/>
              </w:rPr>
              <w:t>低</w:t>
            </w:r>
          </w:p>
        </w:tc>
      </w:tr>
      <w:tr w14:paraId="23D8FBCF">
        <w:tblPrEx>
          <w:tblCellMar>
            <w:top w:w="0" w:type="dxa"/>
            <w:left w:w="108" w:type="dxa"/>
            <w:bottom w:w="0" w:type="dxa"/>
            <w:right w:w="108" w:type="dxa"/>
          </w:tblCellMar>
        </w:tblPrEx>
        <w:tc>
          <w:p w14:paraId="6DE371E7">
            <w:pPr>
              <w:pStyle w:val="24"/>
              <w:jc w:val="left"/>
            </w:pPr>
            <w:r>
              <w:t>CVE-2022-29171</w:t>
            </w:r>
          </w:p>
        </w:tc>
        <w:tc>
          <w:p w14:paraId="56840415">
            <w:pPr>
              <w:pStyle w:val="24"/>
              <w:jc w:val="left"/>
            </w:pPr>
            <w:r>
              <w:rPr>
                <w:rFonts w:hint="eastAsia"/>
              </w:rPr>
              <w:t>代码注入</w:t>
            </w:r>
          </w:p>
        </w:tc>
        <w:tc>
          <w:p w14:paraId="60F102B4">
            <w:pPr>
              <w:pStyle w:val="24"/>
              <w:jc w:val="left"/>
            </w:pPr>
            <w:r>
              <w:rPr>
                <w:rFonts w:hint="eastAsia"/>
              </w:rPr>
              <w:t>命令注入</w:t>
            </w:r>
          </w:p>
        </w:tc>
        <w:tc>
          <w:p w14:paraId="03CCB48F">
            <w:pPr>
              <w:pStyle w:val="24"/>
              <w:jc w:val="left"/>
            </w:pPr>
            <m:oMathPara>
              <m:oMath>
                <m:r>
                  <m:rPr>
                    <m:sty m:val="p"/>
                  </m:rPr>
                  <m:t>✓</m:t>
                </m:r>
              </m:oMath>
            </m:oMathPara>
          </w:p>
        </w:tc>
        <w:tc>
          <w:p w14:paraId="48B53861">
            <w:pPr>
              <w:pStyle w:val="24"/>
              <w:jc w:val="left"/>
            </w:pPr>
            <w:r>
              <w:rPr>
                <w:rFonts w:hint="eastAsia"/>
              </w:rPr>
              <w:t>中</w:t>
            </w:r>
          </w:p>
        </w:tc>
      </w:tr>
      <w:tr w14:paraId="1F5AA8D4">
        <w:tblPrEx>
          <w:tblCellMar>
            <w:top w:w="0" w:type="dxa"/>
            <w:left w:w="108" w:type="dxa"/>
            <w:bottom w:w="0" w:type="dxa"/>
            <w:right w:w="108" w:type="dxa"/>
          </w:tblCellMar>
        </w:tblPrEx>
        <w:tc>
          <w:p w14:paraId="6910D00A">
            <w:pPr>
              <w:pStyle w:val="24"/>
              <w:jc w:val="left"/>
            </w:pPr>
            <w:r>
              <w:t>CVE-2023-22482</w:t>
            </w:r>
          </w:p>
        </w:tc>
        <w:tc>
          <w:p w14:paraId="74B1F329">
            <w:pPr>
              <w:pStyle w:val="24"/>
              <w:jc w:val="left"/>
            </w:pPr>
            <w:r>
              <w:rPr>
                <w:rFonts w:hint="eastAsia"/>
              </w:rPr>
              <w:t>安全逻辑缺陷</w:t>
            </w:r>
          </w:p>
        </w:tc>
        <w:tc>
          <w:p w14:paraId="29DC22F0">
            <w:pPr>
              <w:pStyle w:val="24"/>
              <w:jc w:val="left"/>
            </w:pPr>
            <w:r>
              <w:rPr>
                <w:rFonts w:hint="eastAsia"/>
              </w:rPr>
              <w:t>身份验证绕过</w:t>
            </w:r>
          </w:p>
        </w:tc>
        <w:tc>
          <w:p w14:paraId="0FF051D1">
            <w:pPr>
              <w:pStyle w:val="24"/>
              <w:jc w:val="left"/>
            </w:pPr>
            <m:oMathPara>
              <m:oMath>
                <m:r>
                  <m:rPr>
                    <m:sty m:val="p"/>
                  </m:rPr>
                  <m:t>✓</m:t>
                </m:r>
              </m:oMath>
            </m:oMathPara>
          </w:p>
        </w:tc>
        <w:tc>
          <w:p w14:paraId="026771AD">
            <w:pPr>
              <w:pStyle w:val="24"/>
              <w:jc w:val="left"/>
            </w:pPr>
            <w:r>
              <w:rPr>
                <w:rFonts w:hint="eastAsia"/>
              </w:rPr>
              <w:t>低</w:t>
            </w:r>
          </w:p>
        </w:tc>
      </w:tr>
      <w:bookmarkEnd w:id="160"/>
    </w:tbl>
    <w:p w14:paraId="76CD7505">
      <w:pPr>
        <w:pStyle w:val="3"/>
      </w:pPr>
      <w:r>
        <w:rPr>
          <w:rFonts w:hint="eastAsia"/>
        </w:rPr>
        <w:t>案例分析表明，KPEDefense</w:t>
      </w:r>
      <w:r>
        <w:t xml:space="preserve"> </w:t>
      </w:r>
      <w:r>
        <w:rPr>
          <w:rFonts w:hint="eastAsia"/>
        </w:rPr>
        <w:t>生成的最优安全策略可以成功部署到</w:t>
      </w:r>
      <w:r>
        <w:t xml:space="preserve"> K8s </w:t>
      </w:r>
      <w:r>
        <w:rPr>
          <w:rFonts w:hint="eastAsia"/>
        </w:rPr>
        <w:t>集群，并对权限提升攻击提供有效的监控或防护手段。七个案例覆盖了访问控制缺陷、敏感信息泄露、冗余权限、网络隔离不足等不同成因类型。验证结果表明，KPEDefense</w:t>
      </w:r>
      <w:r>
        <w:t xml:space="preserve"> </w:t>
      </w:r>
      <w:r>
        <w:rPr>
          <w:rFonts w:hint="eastAsia"/>
        </w:rPr>
        <w:t>生成的最优策略在所有案例中均能阻断或显著缓解攻击路径，且对业务的干扰性为中低水平。在可部署性方面，所有安全策略成功自动化部署，并可通过声明式文件复用于其他多集群环境。</w:t>
      </w:r>
    </w:p>
    <w:bookmarkEnd w:id="154"/>
    <w:p w14:paraId="0ECBC874">
      <w:pPr>
        <w:pStyle w:val="5"/>
      </w:pPr>
      <w:bookmarkStart w:id="161" w:name="不同生成模型能力评估"/>
      <w:r>
        <w:rPr>
          <w:rFonts w:hint="eastAsia"/>
        </w:rPr>
        <w:t>不同生成模型能力评估</w:t>
      </w:r>
    </w:p>
    <w:p w14:paraId="1B695297">
      <w:pPr>
        <w:pStyle w:val="23"/>
      </w:pPr>
      <w:r>
        <w:rPr>
          <w:rFonts w:hint="eastAsia"/>
        </w:rPr>
        <w:t>本节将讨论对象由工作流模块转向生成模型在三维质量指标和输出稳定性。各模型在有效性</w:t>
      </w:r>
      <w:r>
        <w:t xml:space="preserve"> </w:t>
      </w:r>
      <m:oMath>
        <m:r>
          <m:rPr/>
          <m:t>E</m:t>
        </m:r>
      </m:oMath>
      <w:r>
        <w:rPr>
          <w:rFonts w:hint="eastAsia"/>
        </w:rPr>
        <w:t>、无干扰性</w:t>
      </w:r>
      <w:r>
        <w:t xml:space="preserve"> </w:t>
      </w:r>
      <m:oMath>
        <m:r>
          <m:rPr/>
          <m:t>I</m:t>
        </m:r>
      </m:oMath>
      <w:r>
        <w:t xml:space="preserve"> </w:t>
      </w:r>
      <w:r>
        <w:rPr>
          <w:rFonts w:hint="eastAsia"/>
        </w:rPr>
        <w:t>与可部署性</w:t>
      </w:r>
      <w:r>
        <w:t xml:space="preserve"> </w:t>
      </w:r>
      <m:oMath>
        <m:r>
          <m:rPr/>
          <m:t>D</m:t>
        </m:r>
      </m:oMath>
      <w:r>
        <w:t xml:space="preserve"> </w:t>
      </w:r>
      <w:r>
        <w:rPr>
          <w:rFonts w:hint="eastAsia"/>
        </w:rPr>
        <w:t>三个维度上的得分分布见表</w:t>
      </w:r>
      <w:r>
        <w:t> </w:t>
      </w:r>
      <w:r>
        <w:fldChar w:fldCharType="begin"/>
      </w:r>
      <w:r>
        <w:instrText xml:space="preserve"> HYPERLINK \l "tab:generator-scores" \h </w:instrText>
      </w:r>
      <w:r>
        <w:fldChar w:fldCharType="separate"/>
      </w:r>
      <w:r>
        <w:rPr>
          <w:rStyle w:val="20"/>
        </w:rPr>
        <w:t>5.8</w:t>
      </w:r>
      <w:r>
        <w:rPr>
          <w:rStyle w:val="20"/>
        </w:rPr>
        <w:fldChar w:fldCharType="end"/>
      </w:r>
      <w:r>
        <w:rPr>
          <w:rFonts w:hint="eastAsia"/>
        </w:rPr>
        <w:t>。数据表明，五个生成模型在三个维度上并无统一的优劣排序，不同模型的优势维度存在分化。GPT-5</w:t>
      </w:r>
      <w:r>
        <w:t xml:space="preserve"> </w:t>
      </w:r>
      <w:r>
        <w:rPr>
          <w:rFonts w:hint="eastAsia"/>
        </w:rPr>
        <w:t>在有效性维度上明显领先，得分达到</w:t>
      </w:r>
      <w:r>
        <w:t xml:space="preserve"> </w:t>
      </w:r>
      <m:oMath>
        <m:r>
          <m:rPr/>
          <m:t>E</m:t>
        </m:r>
        <m:r>
          <m:rPr>
            <m:sty m:val="p"/>
          </m:rPr>
          <m:t>=</m:t>
        </m:r>
        <m:r>
          <m:rPr/>
          <m:t>0.814</m:t>
        </m:r>
      </m:oMath>
      <w:r>
        <w:rPr>
          <w:rFonts w:hint="eastAsia"/>
        </w:rPr>
        <w:t>，但无干扰性和可部署性分别只有</w:t>
      </w:r>
      <w:r>
        <w:t xml:space="preserve"> 0.175 </w:t>
      </w:r>
      <w:r>
        <w:rPr>
          <w:rFonts w:hint="eastAsia"/>
        </w:rPr>
        <w:t>和</w:t>
      </w:r>
      <w:r>
        <w:t xml:space="preserve"> </w:t>
      </w:r>
      <w:r>
        <w:rPr>
          <w:rFonts w:hint="eastAsia"/>
        </w:rPr>
        <w:t>0.215，说明它更容易给出约束较强、处置力度较大的方案。DeepSeek</w:t>
      </w:r>
      <w:r>
        <w:t xml:space="preserve"> </w:t>
      </w:r>
      <w:r>
        <w:rPr>
          <w:rFonts w:hint="eastAsia"/>
        </w:rPr>
        <w:t>则呈现出相反倾向，其无干扰性和可部署性分别达到</w:t>
      </w:r>
      <w:r>
        <w:t xml:space="preserve"> </w:t>
      </w:r>
      <m:oMath>
        <m:r>
          <m:rPr/>
          <m:t>I</m:t>
        </m:r>
        <m:r>
          <m:rPr>
            <m:sty m:val="p"/>
          </m:rPr>
          <m:t>=</m:t>
        </m:r>
        <m:r>
          <m:rPr/>
          <m:t>0.497</m:t>
        </m:r>
      </m:oMath>
      <w:r>
        <w:t xml:space="preserve"> </w:t>
      </w:r>
      <w:r>
        <w:rPr>
          <w:rFonts w:hint="eastAsia"/>
        </w:rPr>
        <w:t>和</w:t>
      </w:r>
      <w:r>
        <w:t xml:space="preserve"> </w:t>
      </w:r>
      <m:oMath>
        <m:r>
          <m:rPr/>
          <m:t>D</m:t>
        </m:r>
        <m:r>
          <m:rPr>
            <m:sty m:val="p"/>
          </m:rPr>
          <m:t>=</m:t>
        </m:r>
        <m:r>
          <m:rPr/>
          <m:t>0.605</m:t>
        </m:r>
      </m:oMath>
      <w:r>
        <w:rPr>
          <w:rFonts w:hint="eastAsia"/>
        </w:rPr>
        <w:t>，均为五个模型中最高，但在有效性上并不占优，因此更倾向于生成改动范围较小、部署代价较低的策略。其余模型位于这两种倾向之间。</w:t>
      </w:r>
    </w:p>
    <w:p w14:paraId="0E1B3A88">
      <w:pPr>
        <w:pStyle w:val="3"/>
      </w:pPr>
      <w:bookmarkStart w:id="162" w:name="tab:generator-scores"/>
      <w:bookmarkEnd w:id="162"/>
    </w:p>
    <w:tbl>
      <w:tblPr>
        <w:tblStyle w:val="41"/>
        <w:tblW w:w="1200" w:type="pct"/>
        <w:tblInd w:w="0" w:type="dxa"/>
        <w:tblLayout w:type="fixed"/>
        <w:tblCellMar>
          <w:top w:w="0" w:type="dxa"/>
          <w:left w:w="108" w:type="dxa"/>
          <w:bottom w:w="0" w:type="dxa"/>
          <w:right w:w="108" w:type="dxa"/>
        </w:tblCellMar>
      </w:tblPr>
      <w:tblGrid>
        <w:gridCol w:w="1355"/>
        <w:gridCol w:w="257"/>
        <w:gridCol w:w="257"/>
        <w:gridCol w:w="257"/>
      </w:tblGrid>
      <w:tr w14:paraId="49FA6E00">
        <w:tblPrEx>
          <w:tblCellMar>
            <w:top w:w="0" w:type="dxa"/>
            <w:left w:w="108" w:type="dxa"/>
            <w:bottom w:w="0" w:type="dxa"/>
            <w:right w:w="108" w:type="dxa"/>
          </w:tblCellMar>
        </w:tblPrEx>
        <w:trPr>
          <w:tblHeader/>
        </w:trPr>
        <w:tc>
          <w:p w14:paraId="2F986B30">
            <w:pPr>
              <w:pStyle w:val="24"/>
              <w:jc w:val="left"/>
            </w:pPr>
            <w:bookmarkStart w:id="163" w:name="tab:generator-scores"/>
            <w:r>
              <w:rPr>
                <w:rFonts w:hint="eastAsia"/>
                <w:b/>
                <w:bCs/>
              </w:rPr>
              <w:t>生成模型名称</w:t>
            </w:r>
          </w:p>
        </w:tc>
        <w:tc>
          <w:p w14:paraId="58A9D38E">
            <w:pPr>
              <w:pStyle w:val="24"/>
              <w:jc w:val="left"/>
            </w:pPr>
            <w:r>
              <w:rPr>
                <w:rFonts w:hint="eastAsia"/>
                <w:b/>
                <w:bCs/>
              </w:rPr>
              <w:t>有效性(</w:t>
            </w:r>
            <m:oMath>
              <m:r>
                <m:rPr/>
                <m:t>E</m:t>
              </m:r>
            </m:oMath>
            <w:r>
              <w:rPr>
                <w:b/>
                <w:bCs/>
              </w:rPr>
              <w:t>)</w:t>
            </w:r>
          </w:p>
        </w:tc>
        <w:tc>
          <w:p w14:paraId="33A4C6CC">
            <w:pPr>
              <w:pStyle w:val="24"/>
              <w:jc w:val="left"/>
            </w:pPr>
            <w:r>
              <w:rPr>
                <w:rFonts w:hint="eastAsia"/>
                <w:b/>
                <w:bCs/>
              </w:rPr>
              <w:t>无干扰性(</w:t>
            </w:r>
            <m:oMath>
              <m:r>
                <m:rPr/>
                <m:t>I</m:t>
              </m:r>
            </m:oMath>
            <w:r>
              <w:rPr>
                <w:b/>
                <w:bCs/>
              </w:rPr>
              <w:t>)</w:t>
            </w:r>
          </w:p>
        </w:tc>
        <w:tc>
          <w:p w14:paraId="55C6D27E">
            <w:pPr>
              <w:pStyle w:val="24"/>
              <w:jc w:val="left"/>
            </w:pPr>
            <w:r>
              <w:rPr>
                <w:rFonts w:hint="eastAsia"/>
                <w:b/>
                <w:bCs/>
              </w:rPr>
              <w:t>可部署性(</w:t>
            </w:r>
            <m:oMath>
              <m:r>
                <m:rPr/>
                <m:t>D</m:t>
              </m:r>
            </m:oMath>
            <w:r>
              <w:rPr>
                <w:b/>
                <w:bCs/>
              </w:rPr>
              <w:t>)</w:t>
            </w:r>
          </w:p>
        </w:tc>
      </w:tr>
      <w:tr w14:paraId="6363D4F5">
        <w:tblPrEx>
          <w:tblCellMar>
            <w:top w:w="0" w:type="dxa"/>
            <w:left w:w="108" w:type="dxa"/>
            <w:bottom w:w="0" w:type="dxa"/>
            <w:right w:w="108" w:type="dxa"/>
          </w:tblCellMar>
        </w:tblPrEx>
        <w:tc>
          <w:p w14:paraId="2D4C4634">
            <w:pPr>
              <w:pStyle w:val="24"/>
              <w:jc w:val="left"/>
            </w:pPr>
            <w:r>
              <w:t>GPT-5</w:t>
            </w:r>
          </w:p>
        </w:tc>
        <w:tc>
          <w:p w14:paraId="6390808B">
            <w:pPr>
              <w:pStyle w:val="24"/>
              <w:jc w:val="left"/>
            </w:pPr>
            <w:r>
              <w:rPr>
                <w:b/>
                <w:bCs/>
              </w:rPr>
              <w:t>0.814</w:t>
            </w:r>
          </w:p>
        </w:tc>
        <w:tc>
          <w:p w14:paraId="5A7C4332">
            <w:pPr>
              <w:pStyle w:val="24"/>
            </w:pPr>
          </w:p>
        </w:tc>
        <w:tc>
          <w:p w14:paraId="0D424630">
            <w:pPr>
              <w:pStyle w:val="24"/>
            </w:pPr>
          </w:p>
        </w:tc>
      </w:tr>
      <w:tr w14:paraId="2C106B35">
        <w:tblPrEx>
          <w:tblCellMar>
            <w:top w:w="0" w:type="dxa"/>
            <w:left w:w="108" w:type="dxa"/>
            <w:bottom w:w="0" w:type="dxa"/>
            <w:right w:w="108" w:type="dxa"/>
          </w:tblCellMar>
        </w:tblPrEx>
        <w:tc>
          <w:p w14:paraId="68DC6134">
            <w:pPr>
              <w:pStyle w:val="24"/>
              <w:jc w:val="left"/>
            </w:pPr>
            <w:r>
              <w:t>GLM-4.5</w:t>
            </w:r>
          </w:p>
        </w:tc>
        <w:tc>
          <w:p w14:paraId="50CD1829">
            <w:pPr>
              <w:pStyle w:val="24"/>
            </w:pPr>
          </w:p>
        </w:tc>
        <w:tc>
          <w:p w14:paraId="00786F3C">
            <w:pPr>
              <w:pStyle w:val="24"/>
            </w:pPr>
          </w:p>
        </w:tc>
        <w:tc>
          <w:p w14:paraId="3BEBDBAA">
            <w:pPr>
              <w:pStyle w:val="24"/>
            </w:pPr>
          </w:p>
        </w:tc>
      </w:tr>
      <w:tr w14:paraId="3551BA5E">
        <w:tblPrEx>
          <w:tblCellMar>
            <w:top w:w="0" w:type="dxa"/>
            <w:left w:w="108" w:type="dxa"/>
            <w:bottom w:w="0" w:type="dxa"/>
            <w:right w:w="108" w:type="dxa"/>
          </w:tblCellMar>
        </w:tblPrEx>
        <w:tc>
          <w:p w14:paraId="674ED80C">
            <w:pPr>
              <w:pStyle w:val="24"/>
              <w:jc w:val="left"/>
            </w:pPr>
            <w:r>
              <w:t>DeepSeek-V3.2</w:t>
            </w:r>
          </w:p>
        </w:tc>
        <w:tc>
          <w:p w14:paraId="0F4D666A">
            <w:pPr>
              <w:pStyle w:val="24"/>
            </w:pPr>
          </w:p>
        </w:tc>
        <w:tc>
          <w:p w14:paraId="582760BC">
            <w:pPr>
              <w:pStyle w:val="24"/>
              <w:jc w:val="left"/>
            </w:pPr>
            <w:r>
              <w:rPr>
                <w:b/>
                <w:bCs/>
              </w:rPr>
              <w:t>0.497</w:t>
            </w:r>
          </w:p>
        </w:tc>
        <w:tc>
          <w:p w14:paraId="109D4257">
            <w:pPr>
              <w:pStyle w:val="24"/>
              <w:jc w:val="left"/>
            </w:pPr>
            <w:r>
              <w:rPr>
                <w:b/>
                <w:bCs/>
              </w:rPr>
              <w:t>0.605</w:t>
            </w:r>
          </w:p>
        </w:tc>
      </w:tr>
      <w:tr w14:paraId="32998627">
        <w:tblPrEx>
          <w:tblCellMar>
            <w:top w:w="0" w:type="dxa"/>
            <w:left w:w="108" w:type="dxa"/>
            <w:bottom w:w="0" w:type="dxa"/>
            <w:right w:w="108" w:type="dxa"/>
          </w:tblCellMar>
        </w:tblPrEx>
        <w:tc>
          <w:p w14:paraId="344E284F">
            <w:pPr>
              <w:pStyle w:val="24"/>
              <w:jc w:val="left"/>
            </w:pPr>
            <w:r>
              <w:t>Qwen3-Max</w:t>
            </w:r>
          </w:p>
        </w:tc>
        <w:tc>
          <w:p w14:paraId="6AEC8EAA">
            <w:pPr>
              <w:pStyle w:val="24"/>
            </w:pPr>
          </w:p>
        </w:tc>
        <w:tc>
          <w:p w14:paraId="66E854D6">
            <w:pPr>
              <w:pStyle w:val="24"/>
            </w:pPr>
          </w:p>
        </w:tc>
        <w:tc>
          <w:p w14:paraId="18744EBF">
            <w:pPr>
              <w:pStyle w:val="24"/>
            </w:pPr>
          </w:p>
        </w:tc>
      </w:tr>
      <w:tr w14:paraId="6E36F2E4">
        <w:tblPrEx>
          <w:tblCellMar>
            <w:top w:w="0" w:type="dxa"/>
            <w:left w:w="108" w:type="dxa"/>
            <w:bottom w:w="0" w:type="dxa"/>
            <w:right w:w="108" w:type="dxa"/>
          </w:tblCellMar>
        </w:tblPrEx>
        <w:tc>
          <w:p w14:paraId="4F8AE4FE">
            <w:pPr>
              <w:pStyle w:val="24"/>
              <w:jc w:val="left"/>
            </w:pPr>
            <w:r>
              <w:t>Grok-4</w:t>
            </w:r>
          </w:p>
        </w:tc>
        <w:tc>
          <w:p w14:paraId="5FD907E3">
            <w:pPr>
              <w:pStyle w:val="24"/>
            </w:pPr>
          </w:p>
        </w:tc>
        <w:tc>
          <w:p w14:paraId="78614C8F">
            <w:pPr>
              <w:pStyle w:val="24"/>
            </w:pPr>
          </w:p>
        </w:tc>
        <w:tc>
          <w:p w14:paraId="20649A9C">
            <w:pPr>
              <w:pStyle w:val="24"/>
            </w:pPr>
          </w:p>
        </w:tc>
      </w:tr>
      <w:bookmarkEnd w:id="163"/>
    </w:tbl>
    <w:p w14:paraId="7FD16549">
      <w:pPr>
        <w:pStyle w:val="3"/>
      </w:pPr>
      <w:r>
        <w:rPr>
          <w:rFonts w:hint="eastAsia"/>
        </w:rPr>
        <w:t>在输出稳定性方面，各模型在生成阶段触发重试概率如表</w:t>
      </w:r>
      <w:r>
        <w:t> </w:t>
      </w:r>
      <w:r>
        <w:fldChar w:fldCharType="begin"/>
      </w:r>
      <w:r>
        <w:instrText xml:space="preserve"> HYPERLINK \l "tab:model-retry-stats" \h </w:instrText>
      </w:r>
      <w:r>
        <w:fldChar w:fldCharType="separate"/>
      </w:r>
      <w:r>
        <w:rPr>
          <w:rStyle w:val="20"/>
        </w:rPr>
        <w:t>5.9</w:t>
      </w:r>
      <w:r>
        <w:rPr>
          <w:rStyle w:val="20"/>
        </w:rPr>
        <w:fldChar w:fldCharType="end"/>
      </w:r>
      <w:r>
        <w:rPr>
          <w:rFonts w:hint="eastAsia"/>
        </w:rPr>
        <w:t>所示。重试主要对应三类失败情形：结构化输出中的</w:t>
      </w:r>
      <w:r>
        <w:t xml:space="preserve"> JSON </w:t>
      </w:r>
      <w:r>
        <w:rPr>
          <w:rFonts w:hint="eastAsia"/>
        </w:rPr>
        <w:t>结构错误，生成内容的语法错误，以及内容违规。各模型的输出稳定性差异显著。GPT-5</w:t>
      </w:r>
      <w:r>
        <w:t xml:space="preserve"> </w:t>
      </w:r>
      <w:r>
        <w:rPr>
          <w:rFonts w:hint="eastAsia"/>
        </w:rPr>
        <w:t>在三类错误上均未触发重试，输出最为稳定；Grok-4</w:t>
      </w:r>
      <w:r>
        <w:t xml:space="preserve"> </w:t>
      </w:r>
      <w:r>
        <w:rPr>
          <w:rFonts w:hint="eastAsia"/>
        </w:rPr>
        <w:t>和</w:t>
      </w:r>
      <w:r>
        <w:t xml:space="preserve"> DeepSeek </w:t>
      </w:r>
      <w:r>
        <w:rPr>
          <w:rFonts w:hint="eastAsia"/>
        </w:rPr>
        <w:t>的总失误率也较低(0.99%</w:t>
      </w:r>
      <w:r>
        <w:t xml:space="preserve"> </w:t>
      </w:r>
      <w:r>
        <w:rPr>
          <w:rFonts w:hint="eastAsia"/>
        </w:rPr>
        <w:t>和</w:t>
      </w:r>
      <w:r>
        <w:t xml:space="preserve"> 1.59%)。GLM-4.5 </w:t>
      </w:r>
      <w:r>
        <w:rPr>
          <w:rFonts w:hint="eastAsia"/>
        </w:rPr>
        <w:t>的总失误率最高(8.53%)，主要集中在</w:t>
      </w:r>
      <w:r>
        <w:t xml:space="preserve"> JSON </w:t>
      </w:r>
      <w:r>
        <w:rPr>
          <w:rFonts w:hint="eastAsia"/>
        </w:rPr>
        <w:t>格式错误，且是唯一出现内容违规的模型。</w:t>
      </w:r>
    </w:p>
    <w:p w14:paraId="73E01207">
      <w:pPr>
        <w:pStyle w:val="3"/>
      </w:pPr>
      <w:bookmarkStart w:id="164" w:name="tab:model-retry-stats"/>
      <w:bookmarkEnd w:id="164"/>
    </w:p>
    <w:tbl>
      <w:tblPr>
        <w:tblStyle w:val="41"/>
        <w:tblW w:w="0" w:type="auto"/>
        <w:tblInd w:w="0" w:type="dxa"/>
        <w:tblLayout w:type="autofit"/>
        <w:tblCellMar>
          <w:top w:w="0" w:type="dxa"/>
          <w:left w:w="108" w:type="dxa"/>
          <w:bottom w:w="0" w:type="dxa"/>
          <w:right w:w="108" w:type="dxa"/>
        </w:tblCellMar>
      </w:tblPr>
      <w:tblGrid>
        <w:gridCol w:w="1831"/>
        <w:gridCol w:w="1518"/>
        <w:gridCol w:w="1518"/>
        <w:gridCol w:w="1518"/>
        <w:gridCol w:w="1038"/>
      </w:tblGrid>
      <w:tr w14:paraId="5D34F153">
        <w:tblPrEx>
          <w:tblCellMar>
            <w:top w:w="0" w:type="dxa"/>
            <w:left w:w="108" w:type="dxa"/>
            <w:bottom w:w="0" w:type="dxa"/>
            <w:right w:w="108" w:type="dxa"/>
          </w:tblCellMar>
        </w:tblPrEx>
        <w:trPr>
          <w:tblHeader/>
        </w:trPr>
        <w:tc>
          <w:p w14:paraId="56E145AE">
            <w:pPr>
              <w:pStyle w:val="24"/>
              <w:jc w:val="left"/>
            </w:pPr>
            <w:bookmarkStart w:id="165" w:name="tab:model-retry-stats"/>
            <w:r>
              <w:rPr>
                <w:rFonts w:hint="eastAsia"/>
                <w:b/>
                <w:bCs/>
              </w:rPr>
              <w:t>生成模型名称</w:t>
            </w:r>
          </w:p>
        </w:tc>
        <w:tc>
          <w:p w14:paraId="79317CE8">
            <w:pPr>
              <w:pStyle w:val="24"/>
              <w:jc w:val="left"/>
            </w:pPr>
            <w:r>
              <w:rPr>
                <w:rFonts w:hint="eastAsia"/>
                <w:b/>
                <w:bCs/>
              </w:rPr>
              <w:t>格式错误</w:t>
            </w:r>
            <w:r>
              <w:t>(%)</w:t>
            </w:r>
          </w:p>
        </w:tc>
        <w:tc>
          <w:p w14:paraId="3DB6D258">
            <w:pPr>
              <w:pStyle w:val="24"/>
              <w:jc w:val="left"/>
            </w:pPr>
            <w:r>
              <w:rPr>
                <w:rFonts w:hint="eastAsia"/>
                <w:b/>
                <w:bCs/>
              </w:rPr>
              <w:t>语法错误</w:t>
            </w:r>
            <w:r>
              <w:t>(%)</w:t>
            </w:r>
          </w:p>
        </w:tc>
        <w:tc>
          <w:p w14:paraId="3AB8A3D0">
            <w:pPr>
              <w:pStyle w:val="24"/>
              <w:jc w:val="left"/>
            </w:pPr>
            <w:r>
              <w:rPr>
                <w:rFonts w:hint="eastAsia"/>
                <w:b/>
                <w:bCs/>
              </w:rPr>
              <w:t>内容违规</w:t>
            </w:r>
            <w:r>
              <w:t>(%)</w:t>
            </w:r>
          </w:p>
        </w:tc>
        <w:tc>
          <w:p w14:paraId="05C28B26">
            <w:pPr>
              <w:pStyle w:val="24"/>
              <w:jc w:val="left"/>
            </w:pPr>
            <w:r>
              <w:rPr>
                <w:rFonts w:hint="eastAsia"/>
                <w:b/>
                <w:bCs/>
              </w:rPr>
              <w:t>合计</w:t>
            </w:r>
            <w:r>
              <w:t>(%)</w:t>
            </w:r>
          </w:p>
        </w:tc>
      </w:tr>
      <w:tr w14:paraId="6E8936B8">
        <w:tblPrEx>
          <w:tblCellMar>
            <w:top w:w="0" w:type="dxa"/>
            <w:left w:w="108" w:type="dxa"/>
            <w:bottom w:w="0" w:type="dxa"/>
            <w:right w:w="108" w:type="dxa"/>
          </w:tblCellMar>
        </w:tblPrEx>
        <w:tc>
          <w:p w14:paraId="293DF79C">
            <w:pPr>
              <w:pStyle w:val="24"/>
              <w:jc w:val="left"/>
            </w:pPr>
            <w:r>
              <w:t>DeepSeek-V3.2</w:t>
            </w:r>
          </w:p>
        </w:tc>
        <w:tc>
          <w:p w14:paraId="6F3C335C">
            <w:pPr>
              <w:pStyle w:val="24"/>
            </w:pPr>
          </w:p>
        </w:tc>
        <w:tc>
          <w:p w14:paraId="208C3797">
            <w:pPr>
              <w:pStyle w:val="24"/>
            </w:pPr>
          </w:p>
        </w:tc>
        <w:tc>
          <w:p w14:paraId="69DA38D1">
            <w:pPr>
              <w:pStyle w:val="24"/>
            </w:pPr>
          </w:p>
        </w:tc>
        <w:tc>
          <w:p w14:paraId="418B0A51">
            <w:pPr>
              <w:pStyle w:val="24"/>
            </w:pPr>
          </w:p>
        </w:tc>
      </w:tr>
      <w:tr w14:paraId="71F3BE39">
        <w:tblPrEx>
          <w:tblCellMar>
            <w:top w:w="0" w:type="dxa"/>
            <w:left w:w="108" w:type="dxa"/>
            <w:bottom w:w="0" w:type="dxa"/>
            <w:right w:w="108" w:type="dxa"/>
          </w:tblCellMar>
        </w:tblPrEx>
        <w:tc>
          <w:p w14:paraId="4BA77CD6">
            <w:pPr>
              <w:pStyle w:val="24"/>
              <w:jc w:val="left"/>
            </w:pPr>
            <w:r>
              <w:t>GLM-4.5</w:t>
            </w:r>
          </w:p>
        </w:tc>
        <w:tc>
          <w:p w14:paraId="358A6799">
            <w:pPr>
              <w:pStyle w:val="24"/>
            </w:pPr>
          </w:p>
        </w:tc>
        <w:tc>
          <w:p w14:paraId="29A3C770">
            <w:pPr>
              <w:pStyle w:val="24"/>
            </w:pPr>
          </w:p>
        </w:tc>
        <w:tc>
          <w:p w14:paraId="7FFB7922">
            <w:pPr>
              <w:pStyle w:val="24"/>
            </w:pPr>
          </w:p>
        </w:tc>
        <w:tc>
          <w:p w14:paraId="6132589C">
            <w:pPr>
              <w:pStyle w:val="24"/>
            </w:pPr>
          </w:p>
        </w:tc>
      </w:tr>
      <w:tr w14:paraId="56F7654C">
        <w:tblPrEx>
          <w:tblCellMar>
            <w:top w:w="0" w:type="dxa"/>
            <w:left w:w="108" w:type="dxa"/>
            <w:bottom w:w="0" w:type="dxa"/>
            <w:right w:w="108" w:type="dxa"/>
          </w:tblCellMar>
        </w:tblPrEx>
        <w:tc>
          <w:p w14:paraId="699D32D8">
            <w:pPr>
              <w:pStyle w:val="24"/>
              <w:jc w:val="left"/>
            </w:pPr>
            <w:r>
              <w:t>GPT-5</w:t>
            </w:r>
          </w:p>
        </w:tc>
        <w:tc>
          <w:p w14:paraId="289C96C3">
            <w:pPr>
              <w:pStyle w:val="24"/>
            </w:pPr>
          </w:p>
        </w:tc>
        <w:tc>
          <w:p w14:paraId="265FF991">
            <w:pPr>
              <w:pStyle w:val="24"/>
            </w:pPr>
          </w:p>
        </w:tc>
        <w:tc>
          <w:p w14:paraId="5DD61855">
            <w:pPr>
              <w:pStyle w:val="24"/>
            </w:pPr>
          </w:p>
        </w:tc>
        <w:tc>
          <w:p w14:paraId="2064B82C">
            <w:pPr>
              <w:pStyle w:val="24"/>
            </w:pPr>
          </w:p>
        </w:tc>
      </w:tr>
      <w:tr w14:paraId="74E9FCAA">
        <w:tblPrEx>
          <w:tblCellMar>
            <w:top w:w="0" w:type="dxa"/>
            <w:left w:w="108" w:type="dxa"/>
            <w:bottom w:w="0" w:type="dxa"/>
            <w:right w:w="108" w:type="dxa"/>
          </w:tblCellMar>
        </w:tblPrEx>
        <w:tc>
          <w:p w14:paraId="61B3534E">
            <w:pPr>
              <w:pStyle w:val="24"/>
              <w:jc w:val="left"/>
            </w:pPr>
            <w:r>
              <w:t>Grok-4</w:t>
            </w:r>
          </w:p>
        </w:tc>
        <w:tc>
          <w:p w14:paraId="3E58B59A">
            <w:pPr>
              <w:pStyle w:val="24"/>
            </w:pPr>
          </w:p>
        </w:tc>
        <w:tc>
          <w:p w14:paraId="0D516504">
            <w:pPr>
              <w:pStyle w:val="24"/>
            </w:pPr>
          </w:p>
        </w:tc>
        <w:tc>
          <w:p w14:paraId="3D0E246A">
            <w:pPr>
              <w:pStyle w:val="24"/>
            </w:pPr>
          </w:p>
        </w:tc>
        <w:tc>
          <w:p w14:paraId="56275870">
            <w:pPr>
              <w:pStyle w:val="24"/>
            </w:pPr>
          </w:p>
        </w:tc>
      </w:tr>
      <w:tr w14:paraId="567CBD55">
        <w:tblPrEx>
          <w:tblCellMar>
            <w:top w:w="0" w:type="dxa"/>
            <w:left w:w="108" w:type="dxa"/>
            <w:bottom w:w="0" w:type="dxa"/>
            <w:right w:w="108" w:type="dxa"/>
          </w:tblCellMar>
        </w:tblPrEx>
        <w:tc>
          <w:p w14:paraId="47B3EF8C">
            <w:pPr>
              <w:pStyle w:val="24"/>
              <w:jc w:val="left"/>
            </w:pPr>
            <w:r>
              <w:t>Qwen3-Max</w:t>
            </w:r>
          </w:p>
        </w:tc>
        <w:tc>
          <w:p w14:paraId="6E34995A">
            <w:pPr>
              <w:pStyle w:val="24"/>
            </w:pPr>
          </w:p>
        </w:tc>
        <w:tc>
          <w:p w14:paraId="1069241C">
            <w:pPr>
              <w:pStyle w:val="24"/>
            </w:pPr>
          </w:p>
        </w:tc>
        <w:tc>
          <w:p w14:paraId="6979F5AF">
            <w:pPr>
              <w:pStyle w:val="24"/>
            </w:pPr>
          </w:p>
        </w:tc>
        <w:tc>
          <w:p w14:paraId="1904E317">
            <w:pPr>
              <w:pStyle w:val="24"/>
            </w:pPr>
          </w:p>
        </w:tc>
      </w:tr>
      <w:bookmarkEnd w:id="165"/>
    </w:tbl>
    <w:p w14:paraId="045A351C">
      <w:pPr>
        <w:pStyle w:val="3"/>
      </w:pPr>
      <w:r>
        <w:rPr>
          <w:rFonts w:hint="eastAsia"/>
        </w:rPr>
        <w:t>选型时需根据场景优先级权衡维度侧重。在本文实验设置下，GPT-5</w:t>
      </w:r>
      <w:r>
        <w:t xml:space="preserve"> </w:t>
      </w:r>
      <w:r>
        <w:rPr>
          <w:rFonts w:hint="eastAsia"/>
        </w:rPr>
        <w:t>在有效性维度得分较高且未触发格式、语法或内容重试，说明其更倾向于生成覆盖充分、约束较强的候选策略；但其无干扰性与可部署性得分较低，实际使用时仍需结合业务连续性要求进行人工复核。DeepSeek</w:t>
      </w:r>
      <w:r>
        <w:t xml:space="preserve"> </w:t>
      </w:r>
      <w:r>
        <w:rPr>
          <w:rFonts w:hint="eastAsia"/>
        </w:rPr>
        <w:t>在无干扰性和可部署性上领先，更适合业务连续性要求较高的环境。Qwen3-Max、GLM-4.5</w:t>
      </w:r>
      <w:r>
        <w:t xml:space="preserve"> </w:t>
      </w:r>
      <w:r>
        <w:rPr>
          <w:rFonts w:hint="eastAsia"/>
        </w:rPr>
        <w:t>和</w:t>
      </w:r>
      <w:r>
        <w:t xml:space="preserve"> Grok-4 </w:t>
      </w:r>
      <w:r>
        <w:rPr>
          <w:rFonts w:hint="eastAsia"/>
        </w:rPr>
        <w:t>各维度表现较为均衡，可在不同成本约束下提供可用的折中方案。</w:t>
      </w:r>
    </w:p>
    <w:bookmarkEnd w:id="161"/>
    <w:p w14:paraId="7F625E07">
      <w:pPr>
        <w:pStyle w:val="5"/>
      </w:pPr>
      <w:bookmarkStart w:id="166" w:name="安全策略评估方法可信性"/>
      <w:r>
        <w:rPr>
          <w:rFonts w:hint="eastAsia"/>
        </w:rPr>
        <w:t>安全策略评估方法可信性</w:t>
      </w:r>
    </w:p>
    <w:p w14:paraId="380B6B9E">
      <w:pPr>
        <w:pStyle w:val="23"/>
      </w:pPr>
      <w:r>
        <w:rPr>
          <w:rFonts w:hint="eastAsia"/>
        </w:rPr>
        <w:t>统计结果表明，不同模型针对安全策略评估在有效性、无干扰性和可部署性三个维度上表现出不同程度的一致性。基于多源模型的安全策略评估方法一致性统计见表</w:t>
      </w:r>
      <w:r>
        <w:t> </w:t>
      </w:r>
      <w:r>
        <w:fldChar w:fldCharType="begin"/>
      </w:r>
      <w:r>
        <w:instrText xml:space="preserve"> HYPERLINK \l "tab:judge-consistency-stats" \h </w:instrText>
      </w:r>
      <w:r>
        <w:fldChar w:fldCharType="separate"/>
      </w:r>
      <w:r>
        <w:rPr>
          <w:rStyle w:val="20"/>
        </w:rPr>
        <w:t>5.10</w:t>
      </w:r>
      <w:r>
        <w:rPr>
          <w:rStyle w:val="20"/>
        </w:rPr>
        <w:fldChar w:fldCharType="end"/>
      </w:r>
      <w:r>
        <w:rPr>
          <w:rFonts w:hint="eastAsia"/>
        </w:rPr>
        <w:t>。数据显示，五个大语言模型在有效性维度上的一致性最高，Kendall’s</w:t>
      </w:r>
      <w:r>
        <w:t xml:space="preserve"> </w:t>
      </w:r>
      <m:oMath>
        <m:r>
          <m:rPr/>
          <m:t>W</m:t>
        </m:r>
      </m:oMath>
      <w:r>
        <w:t xml:space="preserve"> </w:t>
      </w:r>
      <w:r>
        <w:rPr>
          <w:rFonts w:hint="eastAsia"/>
        </w:rPr>
        <w:t>达</w:t>
      </w:r>
      <w:r>
        <w:t xml:space="preserve"> </w:t>
      </w:r>
      <w:r>
        <w:rPr>
          <w:rFonts w:hint="eastAsia"/>
        </w:rPr>
        <w:t>0.955，Spearman</w:t>
      </w:r>
      <w:r>
        <w:t xml:space="preserve"> </w:t>
      </w:r>
      <w:r>
        <w:rPr>
          <w:rFonts w:hint="eastAsia"/>
        </w:rPr>
        <w:t>均值为</w:t>
      </w:r>
      <w:r>
        <w:t xml:space="preserve"> </w:t>
      </w:r>
      <w:r>
        <w:rPr>
          <w:rFonts w:hint="eastAsia"/>
        </w:rPr>
        <w:t>0.944，说明有效性维度上的评估一致性较高。无干扰性维度一致性居中且可接受，然而可部署性上的一致性较低(</w:t>
      </w:r>
      <m:oMath>
        <m:r>
          <m:rPr/>
          <m:t>W</m:t>
        </m:r>
        <m:r>
          <m:rPr>
            <m:sty m:val="p"/>
          </m:rPr>
          <m:t>=</m:t>
        </m:r>
        <m:r>
          <m:rPr/>
          <m:t>0.687</m:t>
        </m:r>
      </m:oMath>
      <w:r>
        <w:rPr>
          <w:rFonts w:hint="eastAsia"/>
        </w:rPr>
        <w:t>)，这可能由于各模型对部署步骤复杂度的理解能力差异；在默认权重设置中，可部署性权重相对较低，因此这种分歧在可接受范围内。</w:t>
      </w:r>
    </w:p>
    <w:p w14:paraId="4A388B0B">
      <w:pPr>
        <w:pStyle w:val="3"/>
      </w:pPr>
      <w:bookmarkStart w:id="167" w:name="tab:judge-consistency-stats"/>
      <w:bookmarkEnd w:id="167"/>
    </w:p>
    <w:tbl>
      <w:tblPr>
        <w:tblStyle w:val="41"/>
        <w:tblW w:w="0" w:type="auto"/>
        <w:tblInd w:w="0" w:type="dxa"/>
        <w:tblLayout w:type="autofit"/>
        <w:tblCellMar>
          <w:top w:w="0" w:type="dxa"/>
          <w:left w:w="108" w:type="dxa"/>
          <w:bottom w:w="0" w:type="dxa"/>
          <w:right w:w="108" w:type="dxa"/>
        </w:tblCellMar>
      </w:tblPr>
      <w:tblGrid>
        <w:gridCol w:w="1176"/>
        <w:gridCol w:w="1531"/>
        <w:gridCol w:w="696"/>
        <w:gridCol w:w="936"/>
        <w:gridCol w:w="936"/>
        <w:gridCol w:w="936"/>
      </w:tblGrid>
      <w:tr w14:paraId="5009E598">
        <w:tblPrEx>
          <w:tblCellMar>
            <w:top w:w="0" w:type="dxa"/>
            <w:left w:w="108" w:type="dxa"/>
            <w:bottom w:w="0" w:type="dxa"/>
            <w:right w:w="108" w:type="dxa"/>
          </w:tblCellMar>
        </w:tblPrEx>
        <w:trPr>
          <w:tblHeader/>
        </w:trPr>
        <w:tc>
          <w:p w14:paraId="0843E13A">
            <w:pPr>
              <w:pStyle w:val="24"/>
              <w:jc w:val="left"/>
            </w:pPr>
            <w:bookmarkStart w:id="168" w:name="tab:judge-consistency-stats"/>
            <w:r>
              <w:rPr>
                <w:rFonts w:hint="eastAsia"/>
                <w:b/>
                <w:bCs/>
              </w:rPr>
              <w:t>度量指标</w:t>
            </w:r>
          </w:p>
        </w:tc>
        <w:tc>
          <w:p w14:paraId="75F27D8B">
            <w:pPr>
              <w:pStyle w:val="24"/>
              <w:jc w:val="left"/>
            </w:pPr>
            <w:r>
              <w:rPr>
                <w:b/>
                <w:bCs/>
              </w:rPr>
              <w:t xml:space="preserve">Kendall’s </w:t>
            </w:r>
            <m:oMath>
              <m:r>
                <m:rPr/>
                <m:t>W</m:t>
              </m:r>
            </m:oMath>
          </w:p>
        </w:tc>
        <w:tc>
          <w:p w14:paraId="0253A63B">
            <w:pPr>
              <w:pStyle w:val="24"/>
            </w:pPr>
          </w:p>
        </w:tc>
        <w:tc>
          <w:p w14:paraId="6F747B12">
            <w:pPr>
              <w:pStyle w:val="24"/>
            </w:pPr>
          </w:p>
        </w:tc>
        <w:tc>
          <w:p w14:paraId="28B3D6C1">
            <w:pPr>
              <w:pStyle w:val="24"/>
            </w:pPr>
          </w:p>
        </w:tc>
        <w:tc>
          <w:p w14:paraId="2B6469D2">
            <w:pPr>
              <w:pStyle w:val="24"/>
            </w:pPr>
          </w:p>
        </w:tc>
      </w:tr>
      <w:tr w14:paraId="1814B17D">
        <w:tblPrEx>
          <w:tblCellMar>
            <w:top w:w="0" w:type="dxa"/>
            <w:left w:w="108" w:type="dxa"/>
            <w:bottom w:w="0" w:type="dxa"/>
            <w:right w:w="108" w:type="dxa"/>
          </w:tblCellMar>
        </w:tblPrEx>
        <w:tc>
          <w:p w14:paraId="683AB79E">
            <w:pPr>
              <w:pStyle w:val="24"/>
            </w:pPr>
          </w:p>
        </w:tc>
        <w:tc>
          <w:p w14:paraId="126E9F7A">
            <w:pPr>
              <w:pStyle w:val="24"/>
            </w:pPr>
          </w:p>
        </w:tc>
        <w:tc>
          <w:p w14:paraId="501BFC62">
            <w:pPr>
              <w:pStyle w:val="24"/>
              <w:jc w:val="left"/>
            </w:pPr>
            <w:r>
              <w:rPr>
                <w:rFonts w:hint="eastAsia"/>
                <w:b/>
                <w:bCs/>
              </w:rPr>
              <w:t>均值</w:t>
            </w:r>
          </w:p>
        </w:tc>
        <w:tc>
          <w:p w14:paraId="5901FF9A">
            <w:pPr>
              <w:pStyle w:val="24"/>
              <w:jc w:val="left"/>
            </w:pPr>
            <w:r>
              <w:rPr>
                <w:rFonts w:hint="eastAsia"/>
                <w:b/>
                <w:bCs/>
              </w:rPr>
              <w:t>中位数</w:t>
            </w:r>
          </w:p>
        </w:tc>
        <w:tc>
          <w:p w14:paraId="6D25AFB0">
            <w:pPr>
              <w:pStyle w:val="24"/>
              <w:jc w:val="left"/>
            </w:pPr>
            <w:r>
              <w:rPr>
                <w:rFonts w:hint="eastAsia"/>
                <w:b/>
                <w:bCs/>
              </w:rPr>
              <w:t>最小值</w:t>
            </w:r>
          </w:p>
        </w:tc>
        <w:tc>
          <w:p w14:paraId="6A853233">
            <w:pPr>
              <w:pStyle w:val="24"/>
              <w:jc w:val="left"/>
            </w:pPr>
            <w:r>
              <w:rPr>
                <w:rFonts w:hint="eastAsia"/>
                <w:b/>
                <w:bCs/>
              </w:rPr>
              <w:t>最大值</w:t>
            </w:r>
          </w:p>
        </w:tc>
      </w:tr>
      <w:tr w14:paraId="5F1F1631">
        <w:tblPrEx>
          <w:tblCellMar>
            <w:top w:w="0" w:type="dxa"/>
            <w:left w:w="108" w:type="dxa"/>
            <w:bottom w:w="0" w:type="dxa"/>
            <w:right w:w="108" w:type="dxa"/>
          </w:tblCellMar>
        </w:tblPrEx>
        <w:tc>
          <w:p w14:paraId="6D29A590">
            <w:pPr>
              <w:pStyle w:val="24"/>
              <w:jc w:val="left"/>
            </w:pPr>
            <w:r>
              <w:rPr>
                <w:rFonts w:hint="eastAsia"/>
              </w:rPr>
              <w:t>有效性</w:t>
            </w:r>
          </w:p>
        </w:tc>
        <w:tc>
          <w:p w14:paraId="1C033D83">
            <w:pPr>
              <w:pStyle w:val="24"/>
            </w:pPr>
          </w:p>
        </w:tc>
        <w:tc>
          <w:p w14:paraId="190A48C5">
            <w:pPr>
              <w:pStyle w:val="24"/>
            </w:pPr>
          </w:p>
        </w:tc>
        <w:tc>
          <w:p w14:paraId="792C9238">
            <w:pPr>
              <w:pStyle w:val="24"/>
            </w:pPr>
          </w:p>
        </w:tc>
        <w:tc>
          <w:p w14:paraId="340DB45B">
            <w:pPr>
              <w:pStyle w:val="24"/>
            </w:pPr>
          </w:p>
        </w:tc>
        <w:tc>
          <w:p w14:paraId="49F50368">
            <w:pPr>
              <w:pStyle w:val="24"/>
            </w:pPr>
          </w:p>
        </w:tc>
      </w:tr>
      <w:tr w14:paraId="6151191A">
        <w:tblPrEx>
          <w:tblCellMar>
            <w:top w:w="0" w:type="dxa"/>
            <w:left w:w="108" w:type="dxa"/>
            <w:bottom w:w="0" w:type="dxa"/>
            <w:right w:w="108" w:type="dxa"/>
          </w:tblCellMar>
        </w:tblPrEx>
        <w:tc>
          <w:p w14:paraId="78C67AE7">
            <w:pPr>
              <w:pStyle w:val="24"/>
              <w:jc w:val="left"/>
            </w:pPr>
            <w:r>
              <w:rPr>
                <w:rFonts w:hint="eastAsia"/>
              </w:rPr>
              <w:t>无干扰性</w:t>
            </w:r>
          </w:p>
        </w:tc>
        <w:tc>
          <w:p w14:paraId="66482A4B">
            <w:pPr>
              <w:pStyle w:val="24"/>
            </w:pPr>
          </w:p>
        </w:tc>
        <w:tc>
          <w:p w14:paraId="0C342A31">
            <w:pPr>
              <w:pStyle w:val="24"/>
            </w:pPr>
          </w:p>
        </w:tc>
        <w:tc>
          <w:p w14:paraId="7026F660">
            <w:pPr>
              <w:pStyle w:val="24"/>
            </w:pPr>
          </w:p>
        </w:tc>
        <w:tc>
          <w:p w14:paraId="0A3697FA">
            <w:pPr>
              <w:pStyle w:val="24"/>
            </w:pPr>
          </w:p>
        </w:tc>
        <w:tc>
          <w:p w14:paraId="0E08763C">
            <w:pPr>
              <w:pStyle w:val="24"/>
            </w:pPr>
          </w:p>
        </w:tc>
      </w:tr>
      <w:tr w14:paraId="5A5122E4">
        <w:tblPrEx>
          <w:tblCellMar>
            <w:top w:w="0" w:type="dxa"/>
            <w:left w:w="108" w:type="dxa"/>
            <w:bottom w:w="0" w:type="dxa"/>
            <w:right w:w="108" w:type="dxa"/>
          </w:tblCellMar>
        </w:tblPrEx>
        <w:tc>
          <w:p w14:paraId="402B9B7C">
            <w:pPr>
              <w:pStyle w:val="24"/>
              <w:jc w:val="left"/>
            </w:pPr>
            <w:r>
              <w:rPr>
                <w:rFonts w:hint="eastAsia"/>
              </w:rPr>
              <w:t>可部署性</w:t>
            </w:r>
          </w:p>
        </w:tc>
        <w:tc>
          <w:p w14:paraId="11C3B57E">
            <w:pPr>
              <w:pStyle w:val="24"/>
            </w:pPr>
          </w:p>
        </w:tc>
        <w:tc>
          <w:p w14:paraId="7D1BEEAB">
            <w:pPr>
              <w:pStyle w:val="24"/>
            </w:pPr>
          </w:p>
        </w:tc>
        <w:tc>
          <w:p w14:paraId="5BC3B405">
            <w:pPr>
              <w:pStyle w:val="24"/>
            </w:pPr>
          </w:p>
        </w:tc>
        <w:tc>
          <w:p w14:paraId="28D8E2C0">
            <w:pPr>
              <w:pStyle w:val="24"/>
            </w:pPr>
          </w:p>
        </w:tc>
        <w:tc>
          <w:p w14:paraId="0E8CD729">
            <w:pPr>
              <w:pStyle w:val="24"/>
            </w:pPr>
          </w:p>
        </w:tc>
      </w:tr>
      <w:bookmarkEnd w:id="168"/>
    </w:tbl>
    <w:p w14:paraId="6EB3BDCB">
      <w:pPr>
        <w:pStyle w:val="3"/>
      </w:pPr>
      <w:r>
        <w:rPr>
          <w:rFonts w:hint="eastAsia"/>
        </w:rPr>
        <w:t>与人工评估结果对照显示，在方法层面多源模型评估方法可以在三个维度表征不同方法的优劣。方法配置在人工评测与多源模型评测下的雷达图对比见图</w:t>
      </w:r>
      <w:r>
        <w:t> </w:t>
      </w:r>
      <w:r>
        <w:fldChar w:fldCharType="begin"/>
      </w:r>
      <w:r>
        <w:instrText xml:space="preserve"> HYPERLINK \l "fig:radar-comparison" \h </w:instrText>
      </w:r>
      <w:r>
        <w:fldChar w:fldCharType="separate"/>
      </w:r>
      <w:r>
        <w:rPr>
          <w:rStyle w:val="20"/>
        </w:rPr>
        <w:t>5.1</w:t>
      </w:r>
      <w:r>
        <w:rPr>
          <w:rStyle w:val="20"/>
        </w:rPr>
        <w:fldChar w:fldCharType="end"/>
      </w:r>
      <w:r>
        <w:rPr>
          <w:rFonts w:hint="eastAsia"/>
        </w:rPr>
        <w:t>，两者在总体排名上基本保持一致，进一步说明评估方法在不同工作流下的可信性。</w:t>
      </w:r>
      <w:r>
        <w:rPr>
          <w:rFonts w:hint="eastAsia"/>
          <w:b/>
          <w:bCs/>
        </w:rPr>
        <w:t>这表明该评估流程可作为智能体安全策略生成方法的初步比较基准，但在可部署性判断上仍需结合人工复核和真实环境验证。</w:t>
      </w:r>
    </w:p>
    <w:tbl>
      <w:tblPr>
        <w:tblStyle w:val="18"/>
        <w:tblW w:w="0" w:type="auto"/>
        <w:jc w:val="center"/>
        <w:tblLayout w:type="autofit"/>
        <w:tblCellMar>
          <w:top w:w="0" w:type="dxa"/>
          <w:left w:w="10" w:type="dxa"/>
          <w:bottom w:w="0" w:type="dxa"/>
          <w:right w:w="10" w:type="dxa"/>
        </w:tblCellMar>
      </w:tblPr>
      <w:tblGrid>
        <w:gridCol w:w="7412"/>
      </w:tblGrid>
      <w:tr w14:paraId="72684370">
        <w:tblPrEx>
          <w:tblCellMar>
            <w:top w:w="0" w:type="dxa"/>
            <w:left w:w="10" w:type="dxa"/>
            <w:bottom w:w="0" w:type="dxa"/>
            <w:right w:w="10" w:type="dxa"/>
          </w:tblCellMar>
        </w:tblPrEx>
        <w:trPr>
          <w:jc w:val="center"/>
        </w:trPr>
        <w:tc>
          <w:p w14:paraId="58D1DF82">
            <w:pPr>
              <w:jc w:val="center"/>
            </w:pPr>
            <w:bookmarkStart w:id="169" w:name="fig:radar-comparison"/>
            <w:r>
              <w:drawing>
                <wp:inline distT="0" distB="0" distL="114300" distR="114300">
                  <wp:extent cx="4693920" cy="2199640"/>
                  <wp:effectExtent l="0" t="0" r="0" b="0"/>
                  <wp:docPr id="26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descr="image"/>
                          <pic:cNvPicPr>
                            <a:picLocks noChangeAspect="1" noChangeArrowheads="1"/>
                          </pic:cNvPicPr>
                        </pic:nvPicPr>
                        <pic:blipFill>
                          <a:blip r:embed="rId32"/>
                          <a:stretch>
                            <a:fillRect/>
                          </a:stretch>
                        </pic:blipFill>
                        <pic:spPr>
                          <a:xfrm>
                            <a:off x="0" y="0"/>
                            <a:ext cx="4693920" cy="2200215"/>
                          </a:xfrm>
                          <a:prstGeom prst="rect">
                            <a:avLst/>
                          </a:prstGeom>
                          <a:noFill/>
                          <a:ln w="9525">
                            <a:noFill/>
                          </a:ln>
                        </pic:spPr>
                      </pic:pic>
                    </a:graphicData>
                  </a:graphic>
                </wp:inline>
              </w:drawing>
            </w:r>
            <w:r>
              <w:t xml:space="preserve"> </w:t>
            </w:r>
            <w:bookmarkStart w:id="170" w:name="fig:radar-comparison"/>
            <w:bookmarkEnd w:id="170"/>
          </w:p>
        </w:tc>
      </w:tr>
      <w:bookmarkEnd w:id="166"/>
      <w:bookmarkEnd w:id="169"/>
    </w:tbl>
    <w:p w14:paraId="6470B5B6">
      <w:pPr>
        <w:pStyle w:val="5"/>
      </w:pPr>
      <w:bookmarkStart w:id="171" w:name="时间与经济效率评估"/>
      <w:r>
        <w:rPr>
          <w:rFonts w:hint="eastAsia"/>
        </w:rPr>
        <w:t>时间与经济效率评估</w:t>
      </w:r>
    </w:p>
    <w:p w14:paraId="0060B3E5">
      <w:pPr>
        <w:pStyle w:val="23"/>
      </w:pPr>
      <w:r>
        <w:rPr>
          <w:rFonts w:hint="eastAsia"/>
        </w:rPr>
        <w:t>本节从词元成本与时间开销两个维度考察</w:t>
      </w:r>
      <w:r>
        <w:t xml:space="preserve"> KPEDefense </w:t>
      </w:r>
      <w:r>
        <w:rPr>
          <w:rFonts w:hint="eastAsia"/>
        </w:rPr>
        <w:t>的资源代价。不同方法配置与生成模型下生成所有</w:t>
      </w:r>
      <w:r>
        <w:t xml:space="preserve"> CVE </w:t>
      </w:r>
      <w:r>
        <w:rPr>
          <w:rFonts w:hint="eastAsia"/>
        </w:rPr>
        <w:t>的词元消耗、总成本及平均耗时如表</w:t>
      </w:r>
      <w:r>
        <w:t> </w:t>
      </w:r>
      <w:r>
        <w:fldChar w:fldCharType="begin"/>
      </w:r>
      <w:r>
        <w:instrText xml:space="preserve"> HYPERLINK \l "tab:token_usage_wide" \h </w:instrText>
      </w:r>
      <w:r>
        <w:fldChar w:fldCharType="separate"/>
      </w:r>
      <w:r>
        <w:rPr>
          <w:rStyle w:val="20"/>
        </w:rPr>
        <w:t>[tab:token_usage_wide]</w:t>
      </w:r>
      <w:r>
        <w:rPr>
          <w:rStyle w:val="20"/>
        </w:rPr>
        <w:fldChar w:fldCharType="end"/>
      </w:r>
      <w:r>
        <w:rPr>
          <w:rFonts w:hint="eastAsia"/>
        </w:rPr>
        <w:t>所示。</w:t>
      </w:r>
    </w:p>
    <w:p w14:paraId="73E65FD4">
      <w:pPr>
        <w:pStyle w:val="3"/>
      </w:pPr>
      <w:bookmarkStart w:id="172" w:name="tab:token_usage_wide"/>
      <w:bookmarkEnd w:id="172"/>
    </w:p>
    <w:p w14:paraId="121BC91F">
      <w:pPr>
        <w:pStyle w:val="3"/>
      </w:pPr>
      <w:r>
        <w:t xml:space="preserve">KPEDefense </w:t>
      </w:r>
      <w:r>
        <w:rPr>
          <w:rFonts w:hint="eastAsia"/>
        </w:rPr>
        <w:t>方法的资源消耗与时间开销在总成本与平均耗时方面均表现较好。其中KPEDefense</w:t>
      </w:r>
      <w:r>
        <w:t xml:space="preserve"> w/o </w:t>
      </w:r>
      <w:r>
        <w:rPr>
          <w:rFonts w:hint="eastAsia"/>
        </w:rPr>
        <w:t>Feedback方法相较完整方法的节省最大，可节约完整工作流的</w:t>
      </w:r>
      <w:r>
        <w:t xml:space="preserve"> </w:t>
      </w:r>
      <w:r>
        <w:rPr>
          <w:rFonts w:hint="eastAsia"/>
        </w:rPr>
        <w:t>24%成本，然而前文中Feedback步骤对三维指标贡献较大，因此该开销是可接受的。模型间差异更突出：GPT-5成本最高，共计花费</w:t>
      </w:r>
      <w:r>
        <w:t xml:space="preserve"> 50.40 </w:t>
      </w:r>
      <w:r>
        <w:rPr>
          <w:rFonts w:hint="eastAsia"/>
        </w:rPr>
        <w:t>元，倾向生成篇幅较长的策略文本；GLM-4.5</w:t>
      </w:r>
      <w:r>
        <w:t xml:space="preserve"> </w:t>
      </w:r>
      <w:r>
        <w:rPr>
          <w:rFonts w:hint="eastAsia"/>
        </w:rPr>
        <w:t>和</w:t>
      </w:r>
      <w:r>
        <w:t xml:space="preserve"> Qwen3-Max </w:t>
      </w:r>
      <w:r>
        <w:rPr>
          <w:rFonts w:hint="eastAsia"/>
        </w:rPr>
        <w:t>则分别仅</w:t>
      </w:r>
      <w:r>
        <w:t xml:space="preserve"> 0.49 </w:t>
      </w:r>
      <w:r>
        <w:rPr>
          <w:rFonts w:hint="eastAsia"/>
        </w:rPr>
        <w:t>元和</w:t>
      </w:r>
      <w:r>
        <w:t xml:space="preserve"> 1.50 </w:t>
      </w:r>
      <w:r>
        <w:rPr>
          <w:rFonts w:hint="eastAsia"/>
        </w:rPr>
        <w:t>元，成本显著更低。平均而言，生成单个CVE的安全策略成本最高不超过1元，最低可至0.01元，说明KPEDefense</w:t>
      </w:r>
      <w:r>
        <w:t xml:space="preserve"> </w:t>
      </w:r>
      <w:r>
        <w:rPr>
          <w:rFonts w:hint="eastAsia"/>
        </w:rPr>
        <w:t>方法的经济成本可接受。</w:t>
      </w:r>
    </w:p>
    <w:p w14:paraId="643954BC">
      <w:pPr>
        <w:pStyle w:val="3"/>
      </w:pPr>
      <w:r>
        <w:rPr>
          <w:rFonts w:hint="eastAsia"/>
        </w:rPr>
        <w:t>时间开销方面可满足云原生漏洞防控的及时性需求。最长平均耗时在</w:t>
      </w:r>
      <w:r>
        <w:t xml:space="preserve"> 6 </w:t>
      </w:r>
      <w:r>
        <w:rPr>
          <w:rFonts w:hint="eastAsia"/>
        </w:rPr>
        <w:t>分钟以内，完整工作流方法均值为</w:t>
      </w:r>
      <w:r>
        <w:t xml:space="preserve"> 146.39 </w:t>
      </w:r>
      <w:r>
        <w:rPr>
          <w:rFonts w:hint="eastAsia"/>
        </w:rPr>
        <w:t>秒。模型间时间差异较大，其中</w:t>
      </w:r>
      <w:r>
        <w:t xml:space="preserve"> GPT-5 </w:t>
      </w:r>
      <w:r>
        <w:rPr>
          <w:rFonts w:hint="eastAsia"/>
        </w:rPr>
        <w:t>完整配置下单次耗时</w:t>
      </w:r>
      <w:r>
        <w:t xml:space="preserve"> 354.48 </w:t>
      </w:r>
      <w:r>
        <w:rPr>
          <w:rFonts w:hint="eastAsia"/>
        </w:rPr>
        <w:t>秒，去反馈后仍达</w:t>
      </w:r>
      <w:r>
        <w:t xml:space="preserve"> 228.50 </w:t>
      </w:r>
      <w:r>
        <w:rPr>
          <w:rFonts w:hint="eastAsia"/>
        </w:rPr>
        <w:t>秒；Qwen3-Max</w:t>
      </w:r>
      <w:r>
        <w:t xml:space="preserve"> </w:t>
      </w:r>
      <w:r>
        <w:rPr>
          <w:rFonts w:hint="eastAsia"/>
        </w:rPr>
        <w:t>和</w:t>
      </w:r>
      <w:r>
        <w:t xml:space="preserve"> Grok-4 </w:t>
      </w:r>
      <w:r>
        <w:rPr>
          <w:rFonts w:hint="eastAsia"/>
        </w:rPr>
        <w:t>生成速度较快，在所有配置下均维持在</w:t>
      </w:r>
      <w:r>
        <w:t xml:space="preserve"> </w:t>
      </w:r>
      <w:r>
        <w:rPr>
          <w:rFonts w:hint="eastAsia"/>
        </w:rPr>
        <w:t>15～39</w:t>
      </w:r>
      <w:r>
        <w:t xml:space="preserve"> </w:t>
      </w:r>
      <w:r>
        <w:rPr>
          <w:rFonts w:hint="eastAsia"/>
        </w:rPr>
        <w:t>秒。DeepSeek</w:t>
      </w:r>
      <w:r>
        <w:t xml:space="preserve"> </w:t>
      </w:r>
      <w:r>
        <w:rPr>
          <w:rFonts w:hint="eastAsia"/>
        </w:rPr>
        <w:t>由于自带思维链，耗时较高，为</w:t>
      </w:r>
      <w:r>
        <w:t xml:space="preserve"> 225.20 </w:t>
      </w:r>
      <w:r>
        <w:rPr>
          <w:rFonts w:hint="eastAsia"/>
        </w:rPr>
        <w:t>秒。不同场景可按响应窗口与预算约束进行选型。</w:t>
      </w:r>
    </w:p>
    <w:bookmarkEnd w:id="153"/>
    <w:bookmarkEnd w:id="171"/>
    <w:p w14:paraId="2428CEFF">
      <w:pPr>
        <w:pStyle w:val="4"/>
      </w:pPr>
      <w:bookmarkStart w:id="173" w:name="小结-3"/>
      <w:r>
        <w:rPr>
          <w:rFonts w:hint="eastAsia"/>
        </w:rPr>
        <w:t>小结</w:t>
      </w:r>
    </w:p>
    <w:p w14:paraId="0D3777E0">
      <w:pPr>
        <w:pStyle w:val="23"/>
      </w:pPr>
      <w:r>
        <w:rPr>
          <w:rFonts w:hint="eastAsia"/>
        </w:rPr>
        <w:t>本章围绕</w:t>
      </w:r>
      <w:r>
        <w:t xml:space="preserve"> KPEDefense </w:t>
      </w:r>
      <w:r>
        <w:rPr>
          <w:rFonts w:hint="eastAsia"/>
        </w:rPr>
        <w:t>开展实验验证，从静态扫描方法对比与案例分析、消融实验、生成模型能力、评估方法可信度和资源消耗五个方面进行了分析。实验结果验证了</w:t>
      </w:r>
      <w:r>
        <w:t xml:space="preserve"> KPEDefense </w:t>
      </w:r>
      <w:r>
        <w:rPr>
          <w:rFonts w:hint="eastAsia"/>
        </w:rPr>
        <w:t>在策略生成与评估中的有效性，7</w:t>
      </w:r>
      <w:r>
        <w:t xml:space="preserve"> </w:t>
      </w:r>
      <w:r>
        <w:rPr>
          <w:rFonts w:hint="eastAsia"/>
        </w:rPr>
        <w:t>个典型</w:t>
      </w:r>
      <w:r>
        <w:t xml:space="preserve"> CVE </w:t>
      </w:r>
      <w:r>
        <w:rPr>
          <w:rFonts w:hint="eastAsia"/>
        </w:rPr>
        <w:t>案例的复现与部署验证进一步表明生成策略能够有效阻断或缓解攻击路径，并展示了不同模型与方法在质量和成本上的差异。</w:t>
      </w:r>
    </w:p>
    <w:bookmarkEnd w:id="134"/>
    <w:bookmarkEnd w:id="173"/>
    <w:p w14:paraId="599DED11">
      <w:pPr>
        <w:pStyle w:val="2"/>
      </w:pPr>
      <w:bookmarkStart w:id="174" w:name="chap:conclusion"/>
      <w:r>
        <w:rPr>
          <w:rFonts w:hint="eastAsia"/>
        </w:rPr>
        <w:t>结论与展望</w:t>
      </w:r>
    </w:p>
    <w:p w14:paraId="2986ED4D">
      <w:pPr>
        <w:pStyle w:val="4"/>
      </w:pPr>
      <w:bookmarkStart w:id="175" w:name="总结"/>
      <w:r>
        <w:rPr>
          <w:rFonts w:hint="eastAsia"/>
        </w:rPr>
        <w:t>总结</w:t>
      </w:r>
    </w:p>
    <w:p w14:paraId="36DFB2FA">
      <w:pPr>
        <w:pStyle w:val="23"/>
      </w:pPr>
      <w:r>
        <w:t xml:space="preserve">K8s </w:t>
      </w:r>
      <w:r>
        <w:rPr>
          <w:rFonts w:hint="eastAsia"/>
        </w:rPr>
        <w:t>已成为重要的容器集群编排系统，并在生产环境中广泛应用。K8s</w:t>
      </w:r>
      <w:r>
        <w:t xml:space="preserve"> </w:t>
      </w:r>
      <w:r>
        <w:rPr>
          <w:rFonts w:hint="eastAsia"/>
        </w:rPr>
        <w:t>集群中的第三方开源应用存在以</w:t>
      </w:r>
      <w:r>
        <w:t xml:space="preserve"> CVE </w:t>
      </w:r>
      <w:r>
        <w:rPr>
          <w:rFonts w:hint="eastAsia"/>
        </w:rPr>
        <w:t>形式披露的高危权限提升漏洞，攻击者可借此突破原有权限边界，甚至控制整个集群，而相关漏洞从披露到生产环境完成补丁部署之间存在攻击窗口期。现有</w:t>
      </w:r>
      <w:r>
        <w:t xml:space="preserve"> K8s </w:t>
      </w:r>
      <w:r>
        <w:rPr>
          <w:rFonts w:hint="eastAsia"/>
        </w:rPr>
        <w:t>安全技术针对权限提升高危漏洞的防控方面存在缺陷：一方面关注静态配置风险检测问题，缺乏针对</w:t>
      </w:r>
      <w:r>
        <w:t xml:space="preserve"> CVE </w:t>
      </w:r>
      <w:r>
        <w:rPr>
          <w:rFonts w:hint="eastAsia"/>
        </w:rPr>
        <w:t>的有效性；另一方面动态安全监控和防护工具依赖领域特定语言，缺乏普适性。</w:t>
      </w:r>
    </w:p>
    <w:p w14:paraId="4B909ADB">
      <w:pPr>
        <w:pStyle w:val="3"/>
      </w:pPr>
      <w:r>
        <w:rPr>
          <w:rFonts w:hint="eastAsia"/>
        </w:rPr>
        <w:t>为探索基于大模型的云原生权限提升漏洞防控技术，本文提出一种智能化安全策略生成方法KPEDefense。该方法基于安全知识库构建和多智能体工作流设计，自动生成面向权限提升相关</w:t>
      </w:r>
      <w:r>
        <w:t xml:space="preserve"> CVE </w:t>
      </w:r>
      <w:r>
        <w:rPr>
          <w:rFonts w:hint="eastAsia"/>
        </w:rPr>
        <w:t>监控与防护的安全策略。同时开发了支持工具，并在</w:t>
      </w:r>
      <w:r>
        <w:t xml:space="preserve"> 55 </w:t>
      </w:r>
      <w:r>
        <w:rPr>
          <w:rFonts w:hint="eastAsia"/>
        </w:rPr>
        <w:t>个真实漏洞样本上进行实验研究验证其可行性。主要成果如下。</w:t>
      </w:r>
    </w:p>
    <w:p w14:paraId="647C06CD">
      <w:pPr>
        <w:pStyle w:val="3"/>
      </w:pPr>
      <w:r>
        <w:t>(1)</w:t>
      </w:r>
      <w:r>
        <w:rPr>
          <w:rFonts w:hint="eastAsia"/>
          <w:b/>
          <w:bCs/>
        </w:rPr>
        <w:t>提出一种智能化漏洞防控安全策略生成方法KPEDefense。</w:t>
      </w:r>
      <w:r>
        <w:rPr>
          <w:rFonts w:hint="eastAsia"/>
        </w:rPr>
        <w:t>该方法首先构建面向权限提升漏洞分类框架和相关开源项目安全知识库，基于大模型的多智能体工作流进行安全策略代码生成，并利用安全上下文补充漏洞语义，通过思维链推理和反馈优化提升安全策略代码质量。为筛选最优安全策略并评估智能体方法论，提出基于多源模型排序的三维质量量化评估方法。</w:t>
      </w:r>
    </w:p>
    <w:p w14:paraId="50288319">
      <w:pPr>
        <w:pStyle w:val="3"/>
      </w:pPr>
      <w:r>
        <w:t>(2)</w:t>
      </w:r>
      <w:r>
        <w:rPr>
          <w:rFonts w:hint="eastAsia"/>
          <w:b/>
          <w:bCs/>
        </w:rPr>
        <w:t>开发KPEDefense</w:t>
      </w:r>
      <w:r>
        <w:rPr>
          <w:b/>
          <w:bCs/>
        </w:rPr>
        <w:t xml:space="preserve"> </w:t>
      </w:r>
      <w:r>
        <w:rPr>
          <w:rFonts w:hint="eastAsia"/>
          <w:b/>
          <w:bCs/>
        </w:rPr>
        <w:t>支持工具。</w:t>
      </w:r>
      <w:r>
        <w:rPr>
          <w:rFonts w:hint="eastAsia"/>
        </w:rPr>
        <w:t>该工具集成了</w:t>
      </w:r>
      <w:r>
        <w:t xml:space="preserve"> CVE </w:t>
      </w:r>
      <w:r>
        <w:rPr>
          <w:rFonts w:hint="eastAsia"/>
        </w:rPr>
        <w:t>知识库管理、策略生成工作流、评审反馈交互、专家排序与策略部署等功能模块，能够为安全工程师与专家评审员提供从漏洞分析到策略部署的可操作工具支持。</w:t>
      </w:r>
    </w:p>
    <w:p w14:paraId="156CD430">
      <w:pPr>
        <w:pStyle w:val="3"/>
      </w:pPr>
      <w:r>
        <w:t>(3)</w:t>
      </w:r>
      <w:r>
        <w:rPr>
          <w:rFonts w:hint="eastAsia"/>
          <w:b/>
          <w:bCs/>
        </w:rPr>
        <w:t>实验评估。</w:t>
      </w:r>
      <w:r>
        <w:rPr>
          <w:rFonts w:hint="eastAsia"/>
        </w:rPr>
        <w:t>研究在55个真实云原生权限提升漏洞上开展实验。案例分析中针对多种成因类型下的</w:t>
      </w:r>
      <w:r>
        <w:t xml:space="preserve"> 7 </w:t>
      </w:r>
      <w:r>
        <w:rPr>
          <w:rFonts w:hint="eastAsia"/>
        </w:rPr>
        <w:t>个典型</w:t>
      </w:r>
      <w:r>
        <w:t xml:space="preserve"> </w:t>
      </w:r>
      <w:r>
        <w:rPr>
          <w:rFonts w:hint="eastAsia"/>
        </w:rPr>
        <w:t>CVE，在隔离环境中完成漏洞复现与策略部署，从三个评价维度验证了策略在真实攻击场景下的实际效果，说明了本方法相较现有静态风险扫描方法能针对具体漏洞给出更有效的防控手段；消融实验结果表明多智能体工作流中安全上下文构建(RAG)、思维链推理(CoT)与反馈优化(Feedback)等步骤均对策略质量有正向贡献。此外，基于多源模型排序的多维量化评估方法能够有效评估安全策略质量，缓解安全策略质量评估中的测试预言问题。</w:t>
      </w:r>
    </w:p>
    <w:bookmarkEnd w:id="175"/>
    <w:p w14:paraId="1D4C369B">
      <w:pPr>
        <w:pStyle w:val="4"/>
      </w:pPr>
      <w:bookmarkStart w:id="176" w:name="展望"/>
      <w:r>
        <w:rPr>
          <w:rFonts w:hint="eastAsia"/>
        </w:rPr>
        <w:t>展望</w:t>
      </w:r>
    </w:p>
    <w:p w14:paraId="29528160">
      <w:pPr>
        <w:pStyle w:val="23"/>
      </w:pPr>
      <w:r>
        <w:rPr>
          <w:rFonts w:hint="eastAsia"/>
        </w:rPr>
        <w:t>作为服务计算的关键基础设施，K8s</w:t>
      </w:r>
      <w:r>
        <w:t xml:space="preserve"> </w:t>
      </w:r>
      <w:r>
        <w:rPr>
          <w:rFonts w:hint="eastAsia"/>
        </w:rPr>
        <w:t>的安全问题需要更多的学术界关注。云原生漏洞安全治理可以从如下三个角度进行进一步探索。</w:t>
      </w:r>
    </w:p>
    <w:p w14:paraId="0E34B39F">
      <w:pPr>
        <w:pStyle w:val="3"/>
      </w:pPr>
      <w:r>
        <w:t>(1)</w:t>
      </w:r>
      <w:r>
        <w:rPr>
          <w:rFonts w:hint="eastAsia"/>
          <w:b/>
          <w:bCs/>
        </w:rPr>
        <w:t>高危漏洞披露事件的自动化监控与知识库实时更新</w:t>
      </w:r>
      <w:r>
        <w:rPr>
          <w:rFonts w:hint="eastAsia"/>
        </w:rPr>
        <w:t>。当前知识库采用离线批量构建方式，无法及时响应新披露漏洞。未来可对</w:t>
      </w:r>
      <w:r>
        <w:t xml:space="preserve"> GitHub Security Advisory、NVD </w:t>
      </w:r>
      <w:r>
        <w:rPr>
          <w:rFonts w:hint="eastAsia"/>
        </w:rPr>
        <w:t>等公开数据源建立持续监控与订阅机制，实现增量知识库更新与策略重评估的自动化触发，缩短从漏洞披露到策略交付的响应时间。</w:t>
      </w:r>
    </w:p>
    <w:p w14:paraId="4D9A4B34">
      <w:pPr>
        <w:pStyle w:val="3"/>
      </w:pPr>
      <w:r>
        <w:t>(2)</w:t>
      </w:r>
      <w:r>
        <w:rPr>
          <w:rFonts w:hint="eastAsia"/>
          <w:b/>
          <w:bCs/>
        </w:rPr>
        <w:t>漏洞利用的自动化复现与验证</w:t>
      </w:r>
      <w:r>
        <w:rPr>
          <w:rFonts w:hint="eastAsia"/>
        </w:rPr>
        <w:t>。当前策略验证主要依赖人工模拟或静态推理，缺乏真实利用环境下的自动化验证能力。未来可基于漏洞披露信息自动搭建包含漏洞的</w:t>
      </w:r>
      <w:r>
        <w:t xml:space="preserve"> K8s </w:t>
      </w:r>
      <w:r>
        <w:rPr>
          <w:rFonts w:hint="eastAsia"/>
        </w:rPr>
        <w:t>测试集群，结合</w:t>
      </w:r>
      <w:r>
        <w:t xml:space="preserve"> PoC </w:t>
      </w:r>
      <w:r>
        <w:rPr>
          <w:rFonts w:hint="eastAsia"/>
        </w:rPr>
        <w:t>代码执行攻击重放，量化评估策略的阻断成功率与误报率，为策略质量评价提供更客观的证据支撑。</w:t>
      </w:r>
    </w:p>
    <w:p w14:paraId="2BF9ECD6">
      <w:pPr>
        <w:pStyle w:val="3"/>
      </w:pPr>
      <w:r>
        <w:t>(3)</w:t>
      </w:r>
      <w:r>
        <w:rPr>
          <w:rFonts w:hint="eastAsia"/>
          <w:b/>
          <w:bCs/>
        </w:rPr>
        <w:t>研究范围向其他漏洞类型扩展</w:t>
      </w:r>
      <w:r>
        <w:rPr>
          <w:rFonts w:hint="eastAsia"/>
        </w:rPr>
        <w:t>。当前工作聚焦于权限提升漏洞，未来可将方法体系扩展至拒绝服务漏洞、供应链与镜像安全漏洞等云原生环境中的其他高危类型，通过扩展分类框架与优化评价维度，构建更全面的智能化安全防控能力。</w:t>
      </w:r>
    </w:p>
    <w:bookmarkEnd w:id="174"/>
    <w:bookmarkEnd w:id="176"/>
    <w:p w14:paraId="1E227983">
      <w:pPr>
        <w:pStyle w:val="2"/>
      </w:pPr>
      <w:bookmarkStart w:id="177" w:name="app:appendix"/>
      <w:r>
        <w:rPr>
          <w:rFonts w:hint="eastAsia"/>
        </w:rPr>
        <w:t>附录</w:t>
      </w:r>
    </w:p>
    <w:p w14:paraId="04859160">
      <w:pPr>
        <w:pStyle w:val="4"/>
      </w:pPr>
      <w:bookmarkStart w:id="178" w:name="app:cve-dataset"/>
      <w:r>
        <w:rPr>
          <w:rFonts w:hint="eastAsia"/>
        </w:rPr>
        <w:t>云原生权限提升漏洞数据集</w:t>
      </w:r>
    </w:p>
    <w:tbl>
      <w:tblPr>
        <w:tblStyle w:val="41"/>
        <w:tblW w:w="0" w:type="auto"/>
        <w:tblInd w:w="0" w:type="dxa"/>
        <w:tblLayout w:type="autofit"/>
        <w:tblCellMar>
          <w:top w:w="0" w:type="dxa"/>
          <w:left w:w="108" w:type="dxa"/>
          <w:bottom w:w="0" w:type="dxa"/>
          <w:right w:w="108" w:type="dxa"/>
        </w:tblCellMar>
      </w:tblPr>
      <w:tblGrid>
        <w:gridCol w:w="2251"/>
        <w:gridCol w:w="4189"/>
        <w:gridCol w:w="1896"/>
      </w:tblGrid>
      <w:tr w14:paraId="0D385FDB">
        <w:tblPrEx>
          <w:tblCellMar>
            <w:top w:w="0" w:type="dxa"/>
            <w:left w:w="108" w:type="dxa"/>
            <w:bottom w:w="0" w:type="dxa"/>
            <w:right w:w="108" w:type="dxa"/>
          </w:tblCellMar>
        </w:tblPrEx>
        <w:trPr>
          <w:tblHeader/>
        </w:trPr>
        <w:tc>
          <w:p w14:paraId="22ED110C">
            <w:bookmarkStart w:id="179" w:name="tab:cve-dataset"/>
          </w:p>
        </w:tc>
        <w:tc>
          <w:p w14:paraId="14FD857F">
            <w:pPr>
              <w:pStyle w:val="24"/>
            </w:pPr>
          </w:p>
        </w:tc>
        <w:tc>
          <w:p w14:paraId="13C55611">
            <w:pPr>
              <w:pStyle w:val="24"/>
            </w:pPr>
          </w:p>
        </w:tc>
      </w:tr>
      <w:tr w14:paraId="132E7920">
        <w:tblPrEx>
          <w:tblCellMar>
            <w:top w:w="0" w:type="dxa"/>
            <w:left w:w="108" w:type="dxa"/>
            <w:bottom w:w="0" w:type="dxa"/>
            <w:right w:w="108" w:type="dxa"/>
          </w:tblCellMar>
        </w:tblPrEx>
        <w:tc>
          <w:p w14:paraId="7C638256">
            <w:pPr>
              <w:pStyle w:val="24"/>
              <w:jc w:val="left"/>
            </w:pPr>
            <w:r>
              <w:rPr>
                <w:b/>
                <w:bCs/>
              </w:rPr>
              <w:t xml:space="preserve">CVE </w:t>
            </w:r>
            <w:r>
              <w:rPr>
                <w:rFonts w:hint="eastAsia"/>
                <w:b/>
                <w:bCs/>
              </w:rPr>
              <w:t>编号</w:t>
            </w:r>
          </w:p>
        </w:tc>
        <w:tc>
          <w:p w14:paraId="24AD9B13">
            <w:pPr>
              <w:pStyle w:val="24"/>
              <w:jc w:val="left"/>
            </w:pPr>
            <w:r>
              <w:rPr>
                <w:rFonts w:hint="eastAsia"/>
                <w:b/>
                <w:bCs/>
              </w:rPr>
              <w:t>所属平台/组件</w:t>
            </w:r>
          </w:p>
        </w:tc>
        <w:tc>
          <w:p w14:paraId="5046ED93">
            <w:pPr>
              <w:pStyle w:val="24"/>
              <w:jc w:val="left"/>
            </w:pPr>
            <w:r>
              <w:rPr>
                <w:rFonts w:hint="eastAsia"/>
                <w:b/>
                <w:bCs/>
              </w:rPr>
              <w:t>主要成因</w:t>
            </w:r>
          </w:p>
        </w:tc>
      </w:tr>
      <w:tr w14:paraId="25AB9284">
        <w:tblPrEx>
          <w:tblCellMar>
            <w:top w:w="0" w:type="dxa"/>
            <w:left w:w="108" w:type="dxa"/>
            <w:bottom w:w="0" w:type="dxa"/>
            <w:right w:w="108" w:type="dxa"/>
          </w:tblCellMar>
        </w:tblPrEx>
        <w:tc>
          <w:p w14:paraId="7709D10B">
            <w:pPr>
              <w:pStyle w:val="24"/>
            </w:pPr>
          </w:p>
        </w:tc>
        <w:tc>
          <w:p w14:paraId="0930FBE9">
            <w:pPr>
              <w:pStyle w:val="24"/>
            </w:pPr>
          </w:p>
        </w:tc>
        <w:tc>
          <w:p w14:paraId="1741958B">
            <w:pPr>
              <w:pStyle w:val="24"/>
            </w:pPr>
          </w:p>
        </w:tc>
      </w:tr>
      <w:tr w14:paraId="31C35C25">
        <w:tblPrEx>
          <w:tblCellMar>
            <w:top w:w="0" w:type="dxa"/>
            <w:left w:w="108" w:type="dxa"/>
            <w:bottom w:w="0" w:type="dxa"/>
            <w:right w:w="108" w:type="dxa"/>
          </w:tblCellMar>
        </w:tblPrEx>
        <w:tc>
          <w:p w14:paraId="0451F88D">
            <w:pPr>
              <w:pStyle w:val="24"/>
              <w:jc w:val="left"/>
            </w:pPr>
            <w:r>
              <w:rPr>
                <w:b/>
                <w:bCs/>
              </w:rPr>
              <w:t xml:space="preserve">CVE </w:t>
            </w:r>
            <w:r>
              <w:rPr>
                <w:rFonts w:hint="eastAsia"/>
                <w:b/>
                <w:bCs/>
              </w:rPr>
              <w:t>编号</w:t>
            </w:r>
          </w:p>
        </w:tc>
        <w:tc>
          <w:p w14:paraId="6AB6E8A8">
            <w:pPr>
              <w:pStyle w:val="24"/>
              <w:jc w:val="left"/>
            </w:pPr>
            <w:r>
              <w:rPr>
                <w:rFonts w:hint="eastAsia"/>
                <w:b/>
                <w:bCs/>
              </w:rPr>
              <w:t>所属平台/组件</w:t>
            </w:r>
          </w:p>
        </w:tc>
        <w:tc>
          <w:p w14:paraId="3AAF6A13">
            <w:pPr>
              <w:pStyle w:val="24"/>
              <w:jc w:val="left"/>
            </w:pPr>
            <w:r>
              <w:rPr>
                <w:rFonts w:hint="eastAsia"/>
                <w:b/>
                <w:bCs/>
              </w:rPr>
              <w:t>主要成因</w:t>
            </w:r>
          </w:p>
        </w:tc>
      </w:tr>
      <w:tr w14:paraId="06A4371D">
        <w:tblPrEx>
          <w:tblCellMar>
            <w:top w:w="0" w:type="dxa"/>
            <w:left w:w="108" w:type="dxa"/>
            <w:bottom w:w="0" w:type="dxa"/>
            <w:right w:w="108" w:type="dxa"/>
          </w:tblCellMar>
        </w:tblPrEx>
        <w:tc>
          <w:p w14:paraId="64EF8210">
            <w:pPr>
              <w:pStyle w:val="24"/>
              <w:jc w:val="left"/>
            </w:pPr>
            <w:r>
              <w:t>CVE-2018-0268</w:t>
            </w:r>
          </w:p>
        </w:tc>
        <w:tc>
          <w:p w14:paraId="00F696AC">
            <w:pPr>
              <w:pStyle w:val="24"/>
              <w:jc w:val="left"/>
            </w:pPr>
            <w:r>
              <w:t>Cisco DNA Center</w:t>
            </w:r>
          </w:p>
        </w:tc>
        <w:tc>
          <w:p w14:paraId="54297968">
            <w:pPr>
              <w:pStyle w:val="24"/>
              <w:jc w:val="left"/>
            </w:pPr>
            <w:r>
              <w:rPr>
                <w:rFonts w:hint="eastAsia"/>
              </w:rPr>
              <w:t>网络隔离</w:t>
            </w:r>
          </w:p>
        </w:tc>
      </w:tr>
      <w:tr w14:paraId="49028F4C">
        <w:tblPrEx>
          <w:tblCellMar>
            <w:top w:w="0" w:type="dxa"/>
            <w:left w:w="108" w:type="dxa"/>
            <w:bottom w:w="0" w:type="dxa"/>
            <w:right w:w="108" w:type="dxa"/>
          </w:tblCellMar>
        </w:tblPrEx>
        <w:tc>
          <w:p w14:paraId="6AEE140A">
            <w:pPr>
              <w:pStyle w:val="24"/>
              <w:jc w:val="left"/>
            </w:pPr>
            <w:r>
              <w:t>CVE-2018-1000400</w:t>
            </w:r>
          </w:p>
        </w:tc>
        <w:tc>
          <w:p w14:paraId="5D91954E">
            <w:pPr>
              <w:pStyle w:val="24"/>
              <w:jc w:val="left"/>
            </w:pPr>
            <w:r>
              <w:t>Kubernetes / CRI-O</w:t>
            </w:r>
          </w:p>
        </w:tc>
        <w:tc>
          <w:p w14:paraId="39E698B7">
            <w:pPr>
              <w:pStyle w:val="24"/>
              <w:jc w:val="left"/>
            </w:pPr>
            <w:r>
              <w:rPr>
                <w:rFonts w:hint="eastAsia"/>
              </w:rPr>
              <w:t>内部权限失控</w:t>
            </w:r>
          </w:p>
        </w:tc>
      </w:tr>
      <w:tr w14:paraId="5F48ABE5">
        <w:tblPrEx>
          <w:tblCellMar>
            <w:top w:w="0" w:type="dxa"/>
            <w:left w:w="108" w:type="dxa"/>
            <w:bottom w:w="0" w:type="dxa"/>
            <w:right w:w="108" w:type="dxa"/>
          </w:tblCellMar>
        </w:tblPrEx>
        <w:tc>
          <w:p w14:paraId="073BDD2B">
            <w:pPr>
              <w:pStyle w:val="24"/>
              <w:jc w:val="left"/>
            </w:pPr>
            <w:r>
              <w:t>CVE-2018-5256</w:t>
            </w:r>
          </w:p>
        </w:tc>
        <w:tc>
          <w:p w14:paraId="79D14D91">
            <w:pPr>
              <w:pStyle w:val="24"/>
              <w:jc w:val="left"/>
            </w:pPr>
            <w:r>
              <w:t>CoreOS Tectonic</w:t>
            </w:r>
          </w:p>
        </w:tc>
        <w:tc>
          <w:p w14:paraId="0A2151BA">
            <w:pPr>
              <w:pStyle w:val="24"/>
              <w:jc w:val="left"/>
            </w:pPr>
            <w:r>
              <w:rPr>
                <w:rFonts w:hint="eastAsia"/>
              </w:rPr>
              <w:t>内部权限失控</w:t>
            </w:r>
          </w:p>
        </w:tc>
      </w:tr>
      <w:tr w14:paraId="1D44FD7A">
        <w:tblPrEx>
          <w:tblCellMar>
            <w:top w:w="0" w:type="dxa"/>
            <w:left w:w="108" w:type="dxa"/>
            <w:bottom w:w="0" w:type="dxa"/>
            <w:right w:w="108" w:type="dxa"/>
          </w:tblCellMar>
        </w:tblPrEx>
        <w:tc>
          <w:p w14:paraId="07510B23">
            <w:pPr>
              <w:pStyle w:val="24"/>
              <w:jc w:val="left"/>
            </w:pPr>
            <w:r>
              <w:t>CVE-2019-10165</w:t>
            </w:r>
          </w:p>
        </w:tc>
        <w:tc>
          <w:p w14:paraId="77FE89EE">
            <w:pPr>
              <w:pStyle w:val="24"/>
              <w:jc w:val="left"/>
            </w:pPr>
            <w:r>
              <w:t>OpenShift</w:t>
            </w:r>
          </w:p>
        </w:tc>
        <w:tc>
          <w:p w14:paraId="17EE7B23">
            <w:pPr>
              <w:pStyle w:val="24"/>
              <w:jc w:val="left"/>
            </w:pPr>
            <w:r>
              <w:rPr>
                <w:rFonts w:hint="eastAsia"/>
              </w:rPr>
              <w:t>敏感信息泄露</w:t>
            </w:r>
          </w:p>
        </w:tc>
      </w:tr>
      <w:tr w14:paraId="5E1F154C">
        <w:tblPrEx>
          <w:tblCellMar>
            <w:top w:w="0" w:type="dxa"/>
            <w:left w:w="108" w:type="dxa"/>
            <w:bottom w:w="0" w:type="dxa"/>
            <w:right w:w="108" w:type="dxa"/>
          </w:tblCellMar>
        </w:tblPrEx>
        <w:tc>
          <w:p w14:paraId="5D958D0D">
            <w:pPr>
              <w:pStyle w:val="24"/>
              <w:jc w:val="left"/>
            </w:pPr>
            <w:r>
              <w:t>CVE-2019-11247</w:t>
            </w:r>
          </w:p>
        </w:tc>
        <w:tc>
          <w:p w14:paraId="694B9F65">
            <w:pPr>
              <w:pStyle w:val="24"/>
              <w:jc w:val="left"/>
            </w:pPr>
            <w:r>
              <w:t>Kubernetes</w:t>
            </w:r>
          </w:p>
        </w:tc>
        <w:tc>
          <w:p w14:paraId="193DB24D">
            <w:pPr>
              <w:pStyle w:val="24"/>
              <w:jc w:val="left"/>
            </w:pPr>
            <w:r>
              <w:rPr>
                <w:rFonts w:hint="eastAsia"/>
              </w:rPr>
              <w:t>过度权限配置</w:t>
            </w:r>
          </w:p>
        </w:tc>
      </w:tr>
      <w:tr w14:paraId="36F58380">
        <w:tblPrEx>
          <w:tblCellMar>
            <w:top w:w="0" w:type="dxa"/>
            <w:left w:w="108" w:type="dxa"/>
            <w:bottom w:w="0" w:type="dxa"/>
            <w:right w:w="108" w:type="dxa"/>
          </w:tblCellMar>
        </w:tblPrEx>
        <w:tc>
          <w:p w14:paraId="6A22B043">
            <w:pPr>
              <w:pStyle w:val="24"/>
              <w:jc w:val="left"/>
            </w:pPr>
            <w:r>
              <w:t>CVE-2019-3869</w:t>
            </w:r>
          </w:p>
        </w:tc>
        <w:tc>
          <w:p w14:paraId="43EBFAE5">
            <w:pPr>
              <w:pStyle w:val="24"/>
              <w:jc w:val="left"/>
            </w:pPr>
            <w:r>
              <w:t>Ansible Tower</w:t>
            </w:r>
          </w:p>
        </w:tc>
        <w:tc>
          <w:p w14:paraId="63B51ED4">
            <w:pPr>
              <w:pStyle w:val="24"/>
              <w:jc w:val="left"/>
            </w:pPr>
            <w:r>
              <w:rPr>
                <w:rFonts w:hint="eastAsia"/>
              </w:rPr>
              <w:t>内部权限失控</w:t>
            </w:r>
          </w:p>
        </w:tc>
      </w:tr>
      <w:tr w14:paraId="57B573A1">
        <w:tblPrEx>
          <w:tblCellMar>
            <w:top w:w="0" w:type="dxa"/>
            <w:left w:w="108" w:type="dxa"/>
            <w:bottom w:w="0" w:type="dxa"/>
            <w:right w:w="108" w:type="dxa"/>
          </w:tblCellMar>
        </w:tblPrEx>
        <w:tc>
          <w:p w14:paraId="5487111C">
            <w:pPr>
              <w:pStyle w:val="24"/>
              <w:jc w:val="left"/>
            </w:pPr>
            <w:r>
              <w:t>CVE-2020-15257</w:t>
            </w:r>
          </w:p>
        </w:tc>
        <w:tc>
          <w:p w14:paraId="05BEEE6C">
            <w:pPr>
              <w:pStyle w:val="24"/>
              <w:jc w:val="left"/>
            </w:pPr>
            <w:r>
              <w:t>containerd</w:t>
            </w:r>
          </w:p>
        </w:tc>
        <w:tc>
          <w:p w14:paraId="4FE2DF8C">
            <w:pPr>
              <w:pStyle w:val="24"/>
              <w:jc w:val="left"/>
            </w:pPr>
            <w:r>
              <w:rPr>
                <w:rFonts w:hint="eastAsia"/>
              </w:rPr>
              <w:t>容器运行时漏洞</w:t>
            </w:r>
          </w:p>
        </w:tc>
      </w:tr>
      <w:tr w14:paraId="48D127CB">
        <w:tblPrEx>
          <w:tblCellMar>
            <w:top w:w="0" w:type="dxa"/>
            <w:left w:w="108" w:type="dxa"/>
            <w:bottom w:w="0" w:type="dxa"/>
            <w:right w:w="108" w:type="dxa"/>
          </w:tblCellMar>
        </w:tblPrEx>
        <w:tc>
          <w:p w14:paraId="706AB3F9">
            <w:pPr>
              <w:pStyle w:val="24"/>
              <w:jc w:val="left"/>
            </w:pPr>
            <w:r>
              <w:t>CVE-2020-1742</w:t>
            </w:r>
          </w:p>
        </w:tc>
        <w:tc>
          <w:p w14:paraId="408033B0">
            <w:pPr>
              <w:pStyle w:val="24"/>
              <w:jc w:val="left"/>
            </w:pPr>
            <w:r>
              <w:t>nmstate/kubernetes-nmstate-handler</w:t>
            </w:r>
          </w:p>
        </w:tc>
        <w:tc>
          <w:p w14:paraId="535EAA7E">
            <w:pPr>
              <w:pStyle w:val="24"/>
              <w:jc w:val="left"/>
            </w:pPr>
            <w:r>
              <w:rPr>
                <w:rFonts w:hint="eastAsia"/>
              </w:rPr>
              <w:t>代码注入</w:t>
            </w:r>
          </w:p>
        </w:tc>
      </w:tr>
      <w:tr w14:paraId="55EA7E12">
        <w:tblPrEx>
          <w:tblCellMar>
            <w:top w:w="0" w:type="dxa"/>
            <w:left w:w="108" w:type="dxa"/>
            <w:bottom w:w="0" w:type="dxa"/>
            <w:right w:w="108" w:type="dxa"/>
          </w:tblCellMar>
        </w:tblPrEx>
        <w:tc>
          <w:p w14:paraId="302F76A3">
            <w:pPr>
              <w:pStyle w:val="24"/>
              <w:jc w:val="left"/>
            </w:pPr>
            <w:r>
              <w:t>CVE-2020-4062</w:t>
            </w:r>
          </w:p>
        </w:tc>
        <w:tc>
          <w:p w14:paraId="2567BC81">
            <w:pPr>
              <w:pStyle w:val="24"/>
              <w:jc w:val="left"/>
            </w:pPr>
            <w:r>
              <w:t>Conjur OSS</w:t>
            </w:r>
          </w:p>
        </w:tc>
        <w:tc>
          <w:p w14:paraId="39C5B1A0">
            <w:pPr>
              <w:pStyle w:val="24"/>
              <w:jc w:val="left"/>
            </w:pPr>
            <w:r>
              <w:rPr>
                <w:rFonts w:hint="eastAsia"/>
              </w:rPr>
              <w:t>网络隔离</w:t>
            </w:r>
          </w:p>
        </w:tc>
      </w:tr>
      <w:tr w14:paraId="74B6801F">
        <w:tblPrEx>
          <w:tblCellMar>
            <w:top w:w="0" w:type="dxa"/>
            <w:left w:w="108" w:type="dxa"/>
            <w:bottom w:w="0" w:type="dxa"/>
            <w:right w:w="108" w:type="dxa"/>
          </w:tblCellMar>
        </w:tblPrEx>
        <w:tc>
          <w:p w14:paraId="03AE0D02">
            <w:pPr>
              <w:pStyle w:val="24"/>
              <w:jc w:val="left"/>
            </w:pPr>
            <w:r>
              <w:t>CVE-2020-8559</w:t>
            </w:r>
          </w:p>
        </w:tc>
        <w:tc>
          <w:p w14:paraId="580D5765">
            <w:pPr>
              <w:pStyle w:val="24"/>
              <w:jc w:val="left"/>
            </w:pPr>
            <w:r>
              <w:t>Kubernetes</w:t>
            </w:r>
          </w:p>
        </w:tc>
        <w:tc>
          <w:p w14:paraId="3547CE30">
            <w:pPr>
              <w:pStyle w:val="24"/>
              <w:jc w:val="left"/>
            </w:pPr>
            <w:r>
              <w:rPr>
                <w:rFonts w:hint="eastAsia"/>
              </w:rPr>
              <w:t>敏感信息泄露</w:t>
            </w:r>
          </w:p>
        </w:tc>
      </w:tr>
      <w:tr w14:paraId="447159B1">
        <w:tc>
          <w:p w14:paraId="417F3E42">
            <w:pPr>
              <w:pStyle w:val="24"/>
              <w:jc w:val="left"/>
            </w:pPr>
            <w:r>
              <w:t>CVE-2021-41254</w:t>
            </w:r>
          </w:p>
        </w:tc>
        <w:tc>
          <w:p w14:paraId="56EBF78A">
            <w:pPr>
              <w:pStyle w:val="24"/>
              <w:jc w:val="left"/>
            </w:pPr>
            <w:r>
              <w:t>kustomize-controller (Flux2)</w:t>
            </w:r>
          </w:p>
        </w:tc>
        <w:tc>
          <w:p w14:paraId="4331FEA5">
            <w:pPr>
              <w:pStyle w:val="24"/>
              <w:jc w:val="left"/>
            </w:pPr>
            <w:r>
              <w:rPr>
                <w:rFonts w:hint="eastAsia"/>
              </w:rPr>
              <w:t>代码注入</w:t>
            </w:r>
          </w:p>
        </w:tc>
      </w:tr>
      <w:tr w14:paraId="689D8DB7">
        <w:tblPrEx>
          <w:tblCellMar>
            <w:top w:w="0" w:type="dxa"/>
            <w:left w:w="108" w:type="dxa"/>
            <w:bottom w:w="0" w:type="dxa"/>
            <w:right w:w="108" w:type="dxa"/>
          </w:tblCellMar>
        </w:tblPrEx>
        <w:tc>
          <w:p w14:paraId="073C00A8">
            <w:pPr>
              <w:pStyle w:val="24"/>
              <w:jc w:val="left"/>
            </w:pPr>
            <w:r>
              <w:t>CVE-2021-43858</w:t>
            </w:r>
          </w:p>
        </w:tc>
        <w:tc>
          <w:p w14:paraId="09777583">
            <w:pPr>
              <w:pStyle w:val="24"/>
              <w:jc w:val="left"/>
            </w:pPr>
            <w:r>
              <w:t>MinIO</w:t>
            </w:r>
          </w:p>
        </w:tc>
        <w:tc>
          <w:p w14:paraId="63C5C75A">
            <w:pPr>
              <w:pStyle w:val="24"/>
              <w:jc w:val="left"/>
            </w:pPr>
            <w:r>
              <w:rPr>
                <w:rFonts w:hint="eastAsia"/>
              </w:rPr>
              <w:t>内部权限失控</w:t>
            </w:r>
          </w:p>
        </w:tc>
      </w:tr>
      <w:tr w14:paraId="2E53EF45">
        <w:tblPrEx>
          <w:tblCellMar>
            <w:top w:w="0" w:type="dxa"/>
            <w:left w:w="108" w:type="dxa"/>
            <w:bottom w:w="0" w:type="dxa"/>
            <w:right w:w="108" w:type="dxa"/>
          </w:tblCellMar>
        </w:tblPrEx>
        <w:tc>
          <w:p w14:paraId="3AB91761">
            <w:pPr>
              <w:pStyle w:val="24"/>
              <w:jc w:val="left"/>
            </w:pPr>
            <w:r>
              <w:t>CVE-2022-1902</w:t>
            </w:r>
          </w:p>
        </w:tc>
        <w:tc>
          <w:p w14:paraId="58B131C8">
            <w:pPr>
              <w:pStyle w:val="24"/>
              <w:jc w:val="left"/>
            </w:pPr>
            <w:r>
              <w:t>Red Hat Advanced Cluster Security</w:t>
            </w:r>
          </w:p>
        </w:tc>
        <w:tc>
          <w:p w14:paraId="2B61B1F7">
            <w:pPr>
              <w:pStyle w:val="24"/>
              <w:jc w:val="left"/>
            </w:pPr>
            <w:r>
              <w:rPr>
                <w:rFonts w:hint="eastAsia"/>
              </w:rPr>
              <w:t>敏感信息泄露</w:t>
            </w:r>
          </w:p>
        </w:tc>
      </w:tr>
      <w:tr w14:paraId="508F7AC0">
        <w:tblPrEx>
          <w:tblCellMar>
            <w:top w:w="0" w:type="dxa"/>
            <w:left w:w="108" w:type="dxa"/>
            <w:bottom w:w="0" w:type="dxa"/>
            <w:right w:w="108" w:type="dxa"/>
          </w:tblCellMar>
        </w:tblPrEx>
        <w:tc>
          <w:p w14:paraId="6ABF478E">
            <w:pPr>
              <w:pStyle w:val="24"/>
              <w:jc w:val="left"/>
            </w:pPr>
            <w:r>
              <w:t>CVE-2022-21701</w:t>
            </w:r>
          </w:p>
        </w:tc>
        <w:tc>
          <w:p w14:paraId="4C52562C">
            <w:pPr>
              <w:pStyle w:val="24"/>
              <w:jc w:val="left"/>
            </w:pPr>
            <w:r>
              <w:t>Istio</w:t>
            </w:r>
          </w:p>
        </w:tc>
        <w:tc>
          <w:p w14:paraId="2F39A424">
            <w:pPr>
              <w:pStyle w:val="24"/>
              <w:jc w:val="left"/>
            </w:pPr>
            <w:r>
              <w:rPr>
                <w:rFonts w:hint="eastAsia"/>
              </w:rPr>
              <w:t>内部权限失控</w:t>
            </w:r>
          </w:p>
        </w:tc>
      </w:tr>
      <w:tr w14:paraId="1DA248C8">
        <w:tblPrEx>
          <w:tblCellMar>
            <w:top w:w="0" w:type="dxa"/>
            <w:left w:w="108" w:type="dxa"/>
            <w:bottom w:w="0" w:type="dxa"/>
            <w:right w:w="108" w:type="dxa"/>
          </w:tblCellMar>
        </w:tblPrEx>
        <w:tc>
          <w:p w14:paraId="4A918055">
            <w:pPr>
              <w:pStyle w:val="24"/>
              <w:jc w:val="left"/>
            </w:pPr>
            <w:r>
              <w:t>CVE-2022-23652</w:t>
            </w:r>
          </w:p>
        </w:tc>
        <w:tc>
          <w:p w14:paraId="7538D557">
            <w:pPr>
              <w:pStyle w:val="24"/>
              <w:jc w:val="left"/>
            </w:pPr>
            <w:r>
              <w:t>capsule-proxy</w:t>
            </w:r>
          </w:p>
        </w:tc>
        <w:tc>
          <w:p w14:paraId="449E6227">
            <w:pPr>
              <w:pStyle w:val="24"/>
              <w:jc w:val="left"/>
            </w:pPr>
            <w:r>
              <w:rPr>
                <w:rFonts w:hint="eastAsia"/>
              </w:rPr>
              <w:t>内部权限失控</w:t>
            </w:r>
          </w:p>
        </w:tc>
      </w:tr>
      <w:tr w14:paraId="2BF828D8">
        <w:tblPrEx>
          <w:tblCellMar>
            <w:top w:w="0" w:type="dxa"/>
            <w:left w:w="108" w:type="dxa"/>
            <w:bottom w:w="0" w:type="dxa"/>
            <w:right w:w="108" w:type="dxa"/>
          </w:tblCellMar>
        </w:tblPrEx>
        <w:tc>
          <w:p w14:paraId="446642B3">
            <w:pPr>
              <w:pStyle w:val="24"/>
              <w:jc w:val="left"/>
            </w:pPr>
            <w:r>
              <w:t>CVE-2022-24730</w:t>
            </w:r>
          </w:p>
        </w:tc>
        <w:tc>
          <w:p w14:paraId="79305650">
            <w:pPr>
              <w:pStyle w:val="24"/>
              <w:jc w:val="left"/>
            </w:pPr>
            <w:r>
              <w:t>Argo CD</w:t>
            </w:r>
          </w:p>
        </w:tc>
        <w:tc>
          <w:p w14:paraId="2ACBFBEC">
            <w:pPr>
              <w:pStyle w:val="24"/>
              <w:jc w:val="left"/>
            </w:pPr>
            <w:r>
              <w:rPr>
                <w:rFonts w:hint="eastAsia"/>
              </w:rPr>
              <w:t>敏感信息泄露</w:t>
            </w:r>
          </w:p>
        </w:tc>
      </w:tr>
      <w:tr w14:paraId="3956748F">
        <w:tblPrEx>
          <w:tblCellMar>
            <w:top w:w="0" w:type="dxa"/>
            <w:left w:w="108" w:type="dxa"/>
            <w:bottom w:w="0" w:type="dxa"/>
            <w:right w:w="108" w:type="dxa"/>
          </w:tblCellMar>
        </w:tblPrEx>
        <w:tc>
          <w:p w14:paraId="2468BEDA">
            <w:pPr>
              <w:pStyle w:val="24"/>
              <w:jc w:val="left"/>
            </w:pPr>
            <w:r>
              <w:t>CVE-2022-24768</w:t>
            </w:r>
          </w:p>
        </w:tc>
        <w:tc>
          <w:p w14:paraId="3DE8020F">
            <w:pPr>
              <w:pStyle w:val="24"/>
              <w:jc w:val="left"/>
            </w:pPr>
            <w:r>
              <w:t>Argo CD</w:t>
            </w:r>
          </w:p>
        </w:tc>
        <w:tc>
          <w:p w14:paraId="0B06D255">
            <w:pPr>
              <w:pStyle w:val="24"/>
              <w:jc w:val="left"/>
            </w:pPr>
            <w:r>
              <w:rPr>
                <w:rFonts w:hint="eastAsia"/>
              </w:rPr>
              <w:t>内部权限失控</w:t>
            </w:r>
          </w:p>
        </w:tc>
      </w:tr>
      <w:tr w14:paraId="741AD920">
        <w:tblPrEx>
          <w:tblCellMar>
            <w:top w:w="0" w:type="dxa"/>
            <w:left w:w="108" w:type="dxa"/>
            <w:bottom w:w="0" w:type="dxa"/>
            <w:right w:w="108" w:type="dxa"/>
          </w:tblCellMar>
        </w:tblPrEx>
        <w:tc>
          <w:p w14:paraId="08D3CB57">
            <w:pPr>
              <w:pStyle w:val="24"/>
              <w:jc w:val="left"/>
            </w:pPr>
            <w:r>
              <w:t>CVE-2022-24817</w:t>
            </w:r>
          </w:p>
        </w:tc>
        <w:tc>
          <w:p w14:paraId="76BD1661">
            <w:pPr>
              <w:pStyle w:val="24"/>
              <w:jc w:val="left"/>
            </w:pPr>
            <w:r>
              <w:t>Flux2 / helm-controller</w:t>
            </w:r>
          </w:p>
        </w:tc>
        <w:tc>
          <w:p w14:paraId="4A711592">
            <w:pPr>
              <w:pStyle w:val="24"/>
              <w:jc w:val="left"/>
            </w:pPr>
            <w:r>
              <w:rPr>
                <w:rFonts w:hint="eastAsia"/>
              </w:rPr>
              <w:t>代码注入</w:t>
            </w:r>
          </w:p>
        </w:tc>
      </w:tr>
      <w:tr w14:paraId="550EF5B5">
        <w:tblPrEx>
          <w:tblCellMar>
            <w:top w:w="0" w:type="dxa"/>
            <w:left w:w="108" w:type="dxa"/>
            <w:bottom w:w="0" w:type="dxa"/>
            <w:right w:w="108" w:type="dxa"/>
          </w:tblCellMar>
        </w:tblPrEx>
        <w:tc>
          <w:p w14:paraId="06D74C76">
            <w:pPr>
              <w:pStyle w:val="24"/>
              <w:jc w:val="left"/>
            </w:pPr>
            <w:r>
              <w:t>CVE-2022-24877</w:t>
            </w:r>
          </w:p>
        </w:tc>
        <w:tc>
          <w:p w14:paraId="1F9A9B41">
            <w:pPr>
              <w:pStyle w:val="24"/>
              <w:jc w:val="left"/>
            </w:pPr>
            <w:r>
              <w:t>Flux / kustomize-controller</w:t>
            </w:r>
          </w:p>
        </w:tc>
        <w:tc>
          <w:p w14:paraId="22201A56">
            <w:pPr>
              <w:pStyle w:val="24"/>
              <w:jc w:val="left"/>
            </w:pPr>
            <w:r>
              <w:rPr>
                <w:rFonts w:hint="eastAsia"/>
              </w:rPr>
              <w:t>代码注入</w:t>
            </w:r>
          </w:p>
        </w:tc>
      </w:tr>
      <w:tr w14:paraId="5FE52914">
        <w:tblPrEx>
          <w:tblCellMar>
            <w:top w:w="0" w:type="dxa"/>
            <w:left w:w="108" w:type="dxa"/>
            <w:bottom w:w="0" w:type="dxa"/>
            <w:right w:w="108" w:type="dxa"/>
          </w:tblCellMar>
        </w:tblPrEx>
        <w:tc>
          <w:p w14:paraId="1F8B770B">
            <w:pPr>
              <w:pStyle w:val="24"/>
              <w:jc w:val="left"/>
            </w:pPr>
            <w:r>
              <w:t>CVE-2022-29165</w:t>
            </w:r>
          </w:p>
        </w:tc>
        <w:tc>
          <w:p w14:paraId="46D966C9">
            <w:pPr>
              <w:pStyle w:val="24"/>
              <w:jc w:val="left"/>
            </w:pPr>
            <w:r>
              <w:t>Argo CD</w:t>
            </w:r>
          </w:p>
        </w:tc>
        <w:tc>
          <w:p w14:paraId="58FA6F8B">
            <w:pPr>
              <w:pStyle w:val="24"/>
              <w:jc w:val="left"/>
            </w:pPr>
            <w:r>
              <w:rPr>
                <w:rFonts w:hint="eastAsia"/>
              </w:rPr>
              <w:t>内部权限失控</w:t>
            </w:r>
          </w:p>
        </w:tc>
      </w:tr>
      <w:tr w14:paraId="1569612B">
        <w:tblPrEx>
          <w:tblCellMar>
            <w:top w:w="0" w:type="dxa"/>
            <w:left w:w="108" w:type="dxa"/>
            <w:bottom w:w="0" w:type="dxa"/>
            <w:right w:w="108" w:type="dxa"/>
          </w:tblCellMar>
        </w:tblPrEx>
        <w:tc>
          <w:p w14:paraId="404A8F51">
            <w:pPr>
              <w:pStyle w:val="24"/>
              <w:jc w:val="left"/>
            </w:pPr>
            <w:r>
              <w:t>CVE-2022-29171</w:t>
            </w:r>
          </w:p>
        </w:tc>
        <w:tc>
          <w:p w14:paraId="57C2CDBE">
            <w:pPr>
              <w:pStyle w:val="24"/>
              <w:jc w:val="left"/>
            </w:pPr>
            <w:r>
              <w:t>Sourcegraph</w:t>
            </w:r>
          </w:p>
        </w:tc>
        <w:tc>
          <w:p w14:paraId="01A9A24E">
            <w:pPr>
              <w:pStyle w:val="24"/>
              <w:jc w:val="left"/>
            </w:pPr>
            <w:r>
              <w:rPr>
                <w:rFonts w:hint="eastAsia"/>
              </w:rPr>
              <w:t>代码注入</w:t>
            </w:r>
          </w:p>
        </w:tc>
      </w:tr>
      <w:tr w14:paraId="6F34FF69">
        <w:tblPrEx>
          <w:tblCellMar>
            <w:top w:w="0" w:type="dxa"/>
            <w:left w:w="108" w:type="dxa"/>
            <w:bottom w:w="0" w:type="dxa"/>
            <w:right w:w="108" w:type="dxa"/>
          </w:tblCellMar>
        </w:tblPrEx>
        <w:tc>
          <w:p w14:paraId="24BBBA86">
            <w:pPr>
              <w:pStyle w:val="24"/>
              <w:jc w:val="left"/>
            </w:pPr>
            <w:r>
              <w:t>CVE-2022-29179</w:t>
            </w:r>
          </w:p>
        </w:tc>
        <w:tc>
          <w:p w14:paraId="3F03640B">
            <w:pPr>
              <w:pStyle w:val="24"/>
              <w:jc w:val="left"/>
            </w:pPr>
            <w:r>
              <w:t>Cilium</w:t>
            </w:r>
          </w:p>
        </w:tc>
        <w:tc>
          <w:p w14:paraId="44BDF0F3">
            <w:pPr>
              <w:pStyle w:val="24"/>
              <w:jc w:val="left"/>
            </w:pPr>
            <w:r>
              <w:rPr>
                <w:rFonts w:hint="eastAsia"/>
              </w:rPr>
              <w:t>过度权限配置</w:t>
            </w:r>
          </w:p>
        </w:tc>
      </w:tr>
      <w:tr w14:paraId="0CBF4BAC">
        <w:tblPrEx>
          <w:tblCellMar>
            <w:top w:w="0" w:type="dxa"/>
            <w:left w:w="108" w:type="dxa"/>
            <w:bottom w:w="0" w:type="dxa"/>
            <w:right w:w="108" w:type="dxa"/>
          </w:tblCellMar>
        </w:tblPrEx>
        <w:tc>
          <w:p w14:paraId="4798B9BC">
            <w:pPr>
              <w:pStyle w:val="24"/>
              <w:jc w:val="left"/>
            </w:pPr>
            <w:r>
              <w:t>CVE-2022-31102</w:t>
            </w:r>
          </w:p>
        </w:tc>
        <w:tc>
          <w:p w14:paraId="0CF62A7E">
            <w:pPr>
              <w:pStyle w:val="24"/>
              <w:jc w:val="left"/>
            </w:pPr>
            <w:r>
              <w:t>Argo CD</w:t>
            </w:r>
          </w:p>
        </w:tc>
        <w:tc>
          <w:p w14:paraId="6EF3212A">
            <w:pPr>
              <w:pStyle w:val="24"/>
              <w:jc w:val="left"/>
            </w:pPr>
            <w:r>
              <w:rPr>
                <w:rFonts w:hint="eastAsia"/>
              </w:rPr>
              <w:t>代码注入</w:t>
            </w:r>
          </w:p>
        </w:tc>
      </w:tr>
      <w:tr w14:paraId="76AD96D7">
        <w:tblPrEx>
          <w:tblCellMar>
            <w:top w:w="0" w:type="dxa"/>
            <w:left w:w="108" w:type="dxa"/>
            <w:bottom w:w="0" w:type="dxa"/>
            <w:right w:w="108" w:type="dxa"/>
          </w:tblCellMar>
        </w:tblPrEx>
        <w:tc>
          <w:p w14:paraId="76B19DB9">
            <w:pPr>
              <w:pStyle w:val="24"/>
              <w:jc w:val="left"/>
            </w:pPr>
            <w:r>
              <w:t>CVE-2022-37968</w:t>
            </w:r>
          </w:p>
        </w:tc>
        <w:tc>
          <w:p w14:paraId="42DFFFEB">
            <w:pPr>
              <w:pStyle w:val="24"/>
              <w:jc w:val="left"/>
            </w:pPr>
            <w:r>
              <w:t>Azure Arc-enabled Kubernetes</w:t>
            </w:r>
          </w:p>
        </w:tc>
        <w:tc>
          <w:p w14:paraId="6F010391">
            <w:pPr>
              <w:pStyle w:val="24"/>
              <w:jc w:val="left"/>
            </w:pPr>
            <w:r>
              <w:rPr>
                <w:rFonts w:hint="eastAsia"/>
              </w:rPr>
              <w:t>内部权限失控</w:t>
            </w:r>
          </w:p>
        </w:tc>
      </w:tr>
      <w:tr w14:paraId="1CB18DB6">
        <w:tblPrEx>
          <w:tblCellMar>
            <w:top w:w="0" w:type="dxa"/>
            <w:left w:w="108" w:type="dxa"/>
            <w:bottom w:w="0" w:type="dxa"/>
            <w:right w:w="108" w:type="dxa"/>
          </w:tblCellMar>
        </w:tblPrEx>
        <w:tc>
          <w:p w14:paraId="00335B8F">
            <w:pPr>
              <w:pStyle w:val="24"/>
              <w:jc w:val="left"/>
            </w:pPr>
            <w:r>
              <w:t>CVE-2022-46167</w:t>
            </w:r>
          </w:p>
        </w:tc>
        <w:tc>
          <w:p w14:paraId="749ACFC3">
            <w:pPr>
              <w:pStyle w:val="24"/>
              <w:jc w:val="left"/>
            </w:pPr>
            <w:r>
              <w:t>Capsule</w:t>
            </w:r>
          </w:p>
        </w:tc>
        <w:tc>
          <w:p w14:paraId="689B4E73">
            <w:pPr>
              <w:pStyle w:val="24"/>
              <w:jc w:val="left"/>
            </w:pPr>
            <w:r>
              <w:rPr>
                <w:rFonts w:hint="eastAsia"/>
              </w:rPr>
              <w:t>过度权限配置</w:t>
            </w:r>
          </w:p>
        </w:tc>
      </w:tr>
      <w:tr w14:paraId="665AFC54">
        <w:tblPrEx>
          <w:tblCellMar>
            <w:top w:w="0" w:type="dxa"/>
            <w:left w:w="108" w:type="dxa"/>
            <w:bottom w:w="0" w:type="dxa"/>
            <w:right w:w="108" w:type="dxa"/>
          </w:tblCellMar>
        </w:tblPrEx>
        <w:tc>
          <w:p w14:paraId="6DAA2BFD">
            <w:pPr>
              <w:pStyle w:val="24"/>
              <w:jc w:val="left"/>
            </w:pPr>
            <w:r>
              <w:t>CVE-2023-22482</w:t>
            </w:r>
          </w:p>
        </w:tc>
        <w:tc>
          <w:p w14:paraId="66E9F3D2">
            <w:pPr>
              <w:pStyle w:val="24"/>
              <w:jc w:val="left"/>
            </w:pPr>
            <w:r>
              <w:t>Argo CD</w:t>
            </w:r>
          </w:p>
        </w:tc>
        <w:tc>
          <w:p w14:paraId="496D55EB">
            <w:pPr>
              <w:pStyle w:val="24"/>
              <w:jc w:val="left"/>
            </w:pPr>
            <w:r>
              <w:rPr>
                <w:rFonts w:hint="eastAsia"/>
              </w:rPr>
              <w:t>内部权限失控</w:t>
            </w:r>
          </w:p>
        </w:tc>
      </w:tr>
      <w:tr w14:paraId="64BC33AC">
        <w:tblPrEx>
          <w:tblCellMar>
            <w:top w:w="0" w:type="dxa"/>
            <w:left w:w="108" w:type="dxa"/>
            <w:bottom w:w="0" w:type="dxa"/>
            <w:right w:w="108" w:type="dxa"/>
          </w:tblCellMar>
        </w:tblPrEx>
        <w:tc>
          <w:p w14:paraId="2488831A">
            <w:pPr>
              <w:pStyle w:val="24"/>
              <w:jc w:val="left"/>
            </w:pPr>
            <w:r>
              <w:t>CVE-2023-22645</w:t>
            </w:r>
          </w:p>
        </w:tc>
        <w:tc>
          <w:p w14:paraId="4F3D73CB">
            <w:pPr>
              <w:pStyle w:val="24"/>
              <w:jc w:val="left"/>
            </w:pPr>
            <w:r>
              <w:t>SUSE kubewarden</w:t>
            </w:r>
          </w:p>
        </w:tc>
        <w:tc>
          <w:p w14:paraId="11E3F08C">
            <w:pPr>
              <w:pStyle w:val="24"/>
              <w:jc w:val="left"/>
            </w:pPr>
            <w:r>
              <w:rPr>
                <w:rFonts w:hint="eastAsia"/>
              </w:rPr>
              <w:t>过度权限配置</w:t>
            </w:r>
          </w:p>
        </w:tc>
      </w:tr>
      <w:tr w14:paraId="38BDE80A">
        <w:tblPrEx>
          <w:tblCellMar>
            <w:top w:w="0" w:type="dxa"/>
            <w:left w:w="108" w:type="dxa"/>
            <w:bottom w:w="0" w:type="dxa"/>
            <w:right w:w="108" w:type="dxa"/>
          </w:tblCellMar>
        </w:tblPrEx>
        <w:tc>
          <w:p w14:paraId="6A7F8B72">
            <w:pPr>
              <w:pStyle w:val="24"/>
              <w:jc w:val="left"/>
            </w:pPr>
            <w:r>
              <w:t>CVE-2023-22651</w:t>
            </w:r>
          </w:p>
        </w:tc>
        <w:tc>
          <w:p w14:paraId="166AE16B">
            <w:pPr>
              <w:pStyle w:val="24"/>
              <w:jc w:val="left"/>
            </w:pPr>
            <w:r>
              <w:t>SUSE Rancher</w:t>
            </w:r>
          </w:p>
        </w:tc>
        <w:tc>
          <w:p w14:paraId="757C1802">
            <w:pPr>
              <w:pStyle w:val="24"/>
              <w:jc w:val="left"/>
            </w:pPr>
            <w:r>
              <w:rPr>
                <w:rFonts w:hint="eastAsia"/>
              </w:rPr>
              <w:t>内部权限失控</w:t>
            </w:r>
          </w:p>
        </w:tc>
      </w:tr>
      <w:tr w14:paraId="158925F3">
        <w:tblPrEx>
          <w:tblCellMar>
            <w:top w:w="0" w:type="dxa"/>
            <w:left w:w="108" w:type="dxa"/>
            <w:bottom w:w="0" w:type="dxa"/>
            <w:right w:w="108" w:type="dxa"/>
          </w:tblCellMar>
        </w:tblPrEx>
        <w:tc>
          <w:p w14:paraId="6257C2E9">
            <w:pPr>
              <w:pStyle w:val="24"/>
              <w:jc w:val="left"/>
            </w:pPr>
            <w:r>
              <w:t>CVE-2023-23947</w:t>
            </w:r>
          </w:p>
        </w:tc>
        <w:tc>
          <w:p w14:paraId="114F7485">
            <w:pPr>
              <w:pStyle w:val="24"/>
              <w:jc w:val="left"/>
            </w:pPr>
            <w:r>
              <w:t>Argo CD</w:t>
            </w:r>
          </w:p>
        </w:tc>
        <w:tc>
          <w:p w14:paraId="664D75BD">
            <w:pPr>
              <w:pStyle w:val="24"/>
              <w:jc w:val="left"/>
            </w:pPr>
            <w:r>
              <w:rPr>
                <w:rFonts w:hint="eastAsia"/>
              </w:rPr>
              <w:t>代码注入</w:t>
            </w:r>
          </w:p>
        </w:tc>
      </w:tr>
      <w:tr w14:paraId="18559266">
        <w:tc>
          <w:p w14:paraId="29D72CE8">
            <w:pPr>
              <w:pStyle w:val="24"/>
              <w:jc w:val="left"/>
            </w:pPr>
            <w:r>
              <w:t>CVE-2023-2250</w:t>
            </w:r>
          </w:p>
        </w:tc>
        <w:tc>
          <w:p w14:paraId="2D8DD8A0">
            <w:pPr>
              <w:pStyle w:val="24"/>
              <w:jc w:val="left"/>
            </w:pPr>
            <w:r>
              <w:t>Open Cluster Management</w:t>
            </w:r>
          </w:p>
        </w:tc>
        <w:tc>
          <w:p w14:paraId="72FB5C41">
            <w:pPr>
              <w:pStyle w:val="24"/>
              <w:jc w:val="left"/>
            </w:pPr>
            <w:r>
              <w:rPr>
                <w:rFonts w:hint="eastAsia"/>
              </w:rPr>
              <w:t>过度权限配置</w:t>
            </w:r>
          </w:p>
        </w:tc>
      </w:tr>
      <w:tr w14:paraId="6583226B">
        <w:tblPrEx>
          <w:tblCellMar>
            <w:top w:w="0" w:type="dxa"/>
            <w:left w:w="108" w:type="dxa"/>
            <w:bottom w:w="0" w:type="dxa"/>
            <w:right w:w="108" w:type="dxa"/>
          </w:tblCellMar>
        </w:tblPrEx>
        <w:tc>
          <w:p w14:paraId="3064BEAA">
            <w:pPr>
              <w:pStyle w:val="24"/>
              <w:jc w:val="left"/>
            </w:pPr>
            <w:r>
              <w:t>CVE-2023-26484</w:t>
            </w:r>
          </w:p>
        </w:tc>
        <w:tc>
          <w:p w14:paraId="0CB7BF3A">
            <w:pPr>
              <w:pStyle w:val="24"/>
              <w:jc w:val="left"/>
            </w:pPr>
            <w:r>
              <w:t>KubeVirt</w:t>
            </w:r>
          </w:p>
        </w:tc>
        <w:tc>
          <w:p w14:paraId="12A446E2">
            <w:pPr>
              <w:pStyle w:val="24"/>
              <w:jc w:val="left"/>
            </w:pPr>
            <w:r>
              <w:rPr>
                <w:rFonts w:hint="eastAsia"/>
              </w:rPr>
              <w:t>过度权限配置</w:t>
            </w:r>
          </w:p>
        </w:tc>
      </w:tr>
      <w:tr w14:paraId="5A6BFEEA">
        <w:tblPrEx>
          <w:tblCellMar>
            <w:top w:w="0" w:type="dxa"/>
            <w:left w:w="108" w:type="dxa"/>
            <w:bottom w:w="0" w:type="dxa"/>
            <w:right w:w="108" w:type="dxa"/>
          </w:tblCellMar>
        </w:tblPrEx>
        <w:tc>
          <w:p w14:paraId="412B6DE5">
            <w:pPr>
              <w:pStyle w:val="24"/>
              <w:jc w:val="left"/>
            </w:pPr>
            <w:r>
              <w:t>CVE-2023-29018</w:t>
            </w:r>
          </w:p>
        </w:tc>
        <w:tc>
          <w:p w14:paraId="5584C5CE">
            <w:pPr>
              <w:pStyle w:val="24"/>
              <w:jc w:val="left"/>
            </w:pPr>
            <w:r>
              <w:t>OpenFeature Operator</w:t>
            </w:r>
          </w:p>
        </w:tc>
        <w:tc>
          <w:p w14:paraId="2C306A5C">
            <w:pPr>
              <w:pStyle w:val="24"/>
              <w:jc w:val="left"/>
            </w:pPr>
            <w:r>
              <w:rPr>
                <w:rFonts w:hint="eastAsia"/>
              </w:rPr>
              <w:t>过度权限配置</w:t>
            </w:r>
          </w:p>
        </w:tc>
      </w:tr>
      <w:tr w14:paraId="4719BC9A">
        <w:tblPrEx>
          <w:tblCellMar>
            <w:top w:w="0" w:type="dxa"/>
            <w:left w:w="108" w:type="dxa"/>
            <w:bottom w:w="0" w:type="dxa"/>
            <w:right w:w="108" w:type="dxa"/>
          </w:tblCellMar>
        </w:tblPrEx>
        <w:tc>
          <w:p w14:paraId="4D82E9D9">
            <w:pPr>
              <w:pStyle w:val="24"/>
              <w:jc w:val="left"/>
            </w:pPr>
            <w:r>
              <w:t>CVE-2023-30512</w:t>
            </w:r>
          </w:p>
        </w:tc>
        <w:tc>
          <w:p w14:paraId="28A9EF62">
            <w:pPr>
              <w:pStyle w:val="24"/>
              <w:jc w:val="left"/>
            </w:pPr>
            <w:r>
              <w:t>CubeFS</w:t>
            </w:r>
          </w:p>
        </w:tc>
        <w:tc>
          <w:p w14:paraId="719616FF">
            <w:pPr>
              <w:pStyle w:val="24"/>
              <w:jc w:val="left"/>
            </w:pPr>
            <w:r>
              <w:rPr>
                <w:rFonts w:hint="eastAsia"/>
              </w:rPr>
              <w:t>过度权限配置</w:t>
            </w:r>
          </w:p>
        </w:tc>
      </w:tr>
      <w:tr w14:paraId="62DF9699">
        <w:tblPrEx>
          <w:tblCellMar>
            <w:top w:w="0" w:type="dxa"/>
            <w:left w:w="108" w:type="dxa"/>
            <w:bottom w:w="0" w:type="dxa"/>
            <w:right w:w="108" w:type="dxa"/>
          </w:tblCellMar>
        </w:tblPrEx>
        <w:tc>
          <w:p w14:paraId="27D66C6F">
            <w:pPr>
              <w:pStyle w:val="24"/>
              <w:jc w:val="left"/>
            </w:pPr>
            <w:r>
              <w:t>CVE-2023-30617</w:t>
            </w:r>
          </w:p>
        </w:tc>
        <w:tc>
          <w:p w14:paraId="78DC42D9">
            <w:pPr>
              <w:pStyle w:val="24"/>
              <w:jc w:val="left"/>
            </w:pPr>
            <w:r>
              <w:t>Kruise</w:t>
            </w:r>
          </w:p>
        </w:tc>
        <w:tc>
          <w:p w14:paraId="725DFE3A">
            <w:pPr>
              <w:pStyle w:val="24"/>
              <w:jc w:val="left"/>
            </w:pPr>
            <w:r>
              <w:rPr>
                <w:rFonts w:hint="eastAsia"/>
              </w:rPr>
              <w:t>过度权限配置</w:t>
            </w:r>
          </w:p>
        </w:tc>
      </w:tr>
      <w:tr w14:paraId="00398BD9">
        <w:tblPrEx>
          <w:tblCellMar>
            <w:top w:w="0" w:type="dxa"/>
            <w:left w:w="108" w:type="dxa"/>
            <w:bottom w:w="0" w:type="dxa"/>
            <w:right w:w="108" w:type="dxa"/>
          </w:tblCellMar>
        </w:tblPrEx>
        <w:tc>
          <w:p w14:paraId="6EBC6B4E">
            <w:pPr>
              <w:pStyle w:val="24"/>
              <w:jc w:val="left"/>
            </w:pPr>
            <w:r>
              <w:t>CVE-2023-30622</w:t>
            </w:r>
          </w:p>
        </w:tc>
        <w:tc>
          <w:p w14:paraId="332A32BC">
            <w:pPr>
              <w:pStyle w:val="24"/>
              <w:jc w:val="left"/>
            </w:pPr>
            <w:r>
              <w:t>Clusternet</w:t>
            </w:r>
          </w:p>
        </w:tc>
        <w:tc>
          <w:p w14:paraId="60A6709E">
            <w:pPr>
              <w:pStyle w:val="24"/>
              <w:jc w:val="left"/>
            </w:pPr>
            <w:r>
              <w:rPr>
                <w:rFonts w:hint="eastAsia"/>
              </w:rPr>
              <w:t>内部权限失控</w:t>
            </w:r>
          </w:p>
        </w:tc>
      </w:tr>
      <w:tr w14:paraId="21C74E3B">
        <w:tblPrEx>
          <w:tblCellMar>
            <w:top w:w="0" w:type="dxa"/>
            <w:left w:w="108" w:type="dxa"/>
            <w:bottom w:w="0" w:type="dxa"/>
            <w:right w:w="108" w:type="dxa"/>
          </w:tblCellMar>
        </w:tblPrEx>
        <w:tc>
          <w:p w14:paraId="1FF98AE0">
            <w:pPr>
              <w:pStyle w:val="24"/>
              <w:jc w:val="left"/>
            </w:pPr>
            <w:r>
              <w:t>CVE-2023-30840</w:t>
            </w:r>
          </w:p>
        </w:tc>
        <w:tc>
          <w:p w14:paraId="27F11427">
            <w:pPr>
              <w:pStyle w:val="24"/>
              <w:jc w:val="left"/>
            </w:pPr>
            <w:r>
              <w:t>Fluid</w:t>
            </w:r>
          </w:p>
        </w:tc>
        <w:tc>
          <w:p w14:paraId="0C513C57">
            <w:pPr>
              <w:pStyle w:val="24"/>
              <w:jc w:val="left"/>
            </w:pPr>
            <w:r>
              <w:rPr>
                <w:rFonts w:hint="eastAsia"/>
              </w:rPr>
              <w:t>过度权限配置</w:t>
            </w:r>
          </w:p>
        </w:tc>
      </w:tr>
      <w:tr w14:paraId="2197C30B">
        <w:tblPrEx>
          <w:tblCellMar>
            <w:top w:w="0" w:type="dxa"/>
            <w:left w:w="108" w:type="dxa"/>
            <w:bottom w:w="0" w:type="dxa"/>
            <w:right w:w="108" w:type="dxa"/>
          </w:tblCellMar>
        </w:tblPrEx>
        <w:tc>
          <w:p w14:paraId="60FF7B42">
            <w:pPr>
              <w:pStyle w:val="24"/>
              <w:jc w:val="left"/>
            </w:pPr>
            <w:r>
              <w:t>CVE-2023-3676</w:t>
            </w:r>
          </w:p>
        </w:tc>
        <w:tc>
          <w:p w14:paraId="0020AF9F">
            <w:pPr>
              <w:pStyle w:val="24"/>
              <w:jc w:val="left"/>
            </w:pPr>
            <w:r>
              <w:t>Kubernetes (Windows)</w:t>
            </w:r>
          </w:p>
        </w:tc>
        <w:tc>
          <w:p w14:paraId="3057EC6E">
            <w:pPr>
              <w:pStyle w:val="24"/>
              <w:jc w:val="left"/>
            </w:pPr>
            <w:r>
              <w:rPr>
                <w:rFonts w:hint="eastAsia"/>
              </w:rPr>
              <w:t>内部权限失控</w:t>
            </w:r>
          </w:p>
        </w:tc>
      </w:tr>
      <w:tr w14:paraId="0C123495">
        <w:tblPrEx>
          <w:tblCellMar>
            <w:top w:w="0" w:type="dxa"/>
            <w:left w:w="108" w:type="dxa"/>
            <w:bottom w:w="0" w:type="dxa"/>
            <w:right w:w="108" w:type="dxa"/>
          </w:tblCellMar>
        </w:tblPrEx>
        <w:tc>
          <w:p w14:paraId="5264F57B">
            <w:pPr>
              <w:pStyle w:val="24"/>
              <w:jc w:val="left"/>
            </w:pPr>
            <w:r>
              <w:t>CVE-2023-3893</w:t>
            </w:r>
          </w:p>
        </w:tc>
        <w:tc>
          <w:p w14:paraId="0EF6785D">
            <w:pPr>
              <w:pStyle w:val="24"/>
              <w:jc w:val="left"/>
            </w:pPr>
            <w:r>
              <w:t>Kubernetes / kubernetes-csi-proxy</w:t>
            </w:r>
          </w:p>
        </w:tc>
        <w:tc>
          <w:p w14:paraId="1DA52327">
            <w:pPr>
              <w:pStyle w:val="24"/>
              <w:jc w:val="left"/>
            </w:pPr>
            <w:r>
              <w:rPr>
                <w:rFonts w:hint="eastAsia"/>
              </w:rPr>
              <w:t>内部权限失控</w:t>
            </w:r>
          </w:p>
        </w:tc>
      </w:tr>
      <w:tr w14:paraId="24051040">
        <w:tblPrEx>
          <w:tblCellMar>
            <w:top w:w="0" w:type="dxa"/>
            <w:left w:w="108" w:type="dxa"/>
            <w:bottom w:w="0" w:type="dxa"/>
            <w:right w:w="108" w:type="dxa"/>
          </w:tblCellMar>
        </w:tblPrEx>
        <w:tc>
          <w:p w14:paraId="2CC9C354">
            <w:pPr>
              <w:pStyle w:val="24"/>
              <w:jc w:val="left"/>
            </w:pPr>
            <w:r>
              <w:t>CVE-2023-3955</w:t>
            </w:r>
          </w:p>
        </w:tc>
        <w:tc>
          <w:p w14:paraId="399A6CD0">
            <w:pPr>
              <w:pStyle w:val="24"/>
              <w:jc w:val="left"/>
            </w:pPr>
            <w:r>
              <w:t>Kubernetes (Windows)</w:t>
            </w:r>
          </w:p>
        </w:tc>
        <w:tc>
          <w:p w14:paraId="2CB80243">
            <w:pPr>
              <w:pStyle w:val="24"/>
              <w:jc w:val="left"/>
            </w:pPr>
            <w:r>
              <w:rPr>
                <w:rFonts w:hint="eastAsia"/>
              </w:rPr>
              <w:t>内部权限失控</w:t>
            </w:r>
          </w:p>
        </w:tc>
      </w:tr>
      <w:tr w14:paraId="22C6166C">
        <w:tblPrEx>
          <w:tblCellMar>
            <w:top w:w="0" w:type="dxa"/>
            <w:left w:w="108" w:type="dxa"/>
            <w:bottom w:w="0" w:type="dxa"/>
            <w:right w:w="108" w:type="dxa"/>
          </w:tblCellMar>
        </w:tblPrEx>
        <w:tc>
          <w:p w14:paraId="334E3286">
            <w:pPr>
              <w:pStyle w:val="24"/>
              <w:jc w:val="left"/>
            </w:pPr>
            <w:r>
              <w:t>CVE-2023-46254</w:t>
            </w:r>
          </w:p>
        </w:tc>
        <w:tc>
          <w:p w14:paraId="43895927">
            <w:pPr>
              <w:pStyle w:val="24"/>
              <w:jc w:val="left"/>
            </w:pPr>
            <w:r>
              <w:t>capsule-proxy</w:t>
            </w:r>
          </w:p>
        </w:tc>
        <w:tc>
          <w:p w14:paraId="056CB09B">
            <w:pPr>
              <w:pStyle w:val="24"/>
              <w:jc w:val="left"/>
            </w:pPr>
            <w:r>
              <w:rPr>
                <w:rFonts w:hint="eastAsia"/>
              </w:rPr>
              <w:t>内部权限失控</w:t>
            </w:r>
          </w:p>
        </w:tc>
      </w:tr>
      <w:tr w14:paraId="3E9948E3">
        <w:tc>
          <w:p w14:paraId="27AD31FD">
            <w:pPr>
              <w:pStyle w:val="24"/>
              <w:jc w:val="left"/>
            </w:pPr>
            <w:r>
              <w:t>CVE-2023-48312</w:t>
            </w:r>
          </w:p>
        </w:tc>
        <w:tc>
          <w:p w14:paraId="401946BB">
            <w:pPr>
              <w:pStyle w:val="24"/>
              <w:jc w:val="left"/>
            </w:pPr>
            <w:r>
              <w:t>capsule-proxy</w:t>
            </w:r>
          </w:p>
        </w:tc>
        <w:tc>
          <w:p w14:paraId="77A97200">
            <w:pPr>
              <w:pStyle w:val="24"/>
              <w:jc w:val="left"/>
            </w:pPr>
            <w:r>
              <w:rPr>
                <w:rFonts w:hint="eastAsia"/>
              </w:rPr>
              <w:t>内部权限失控</w:t>
            </w:r>
          </w:p>
        </w:tc>
      </w:tr>
      <w:tr w14:paraId="235C6BE8">
        <w:tblPrEx>
          <w:tblCellMar>
            <w:top w:w="0" w:type="dxa"/>
            <w:left w:w="108" w:type="dxa"/>
            <w:bottom w:w="0" w:type="dxa"/>
            <w:right w:w="108" w:type="dxa"/>
          </w:tblCellMar>
        </w:tblPrEx>
        <w:tc>
          <w:p w14:paraId="69BCEF2F">
            <w:pPr>
              <w:pStyle w:val="24"/>
              <w:jc w:val="left"/>
            </w:pPr>
            <w:r>
              <w:t>CVE-2023-50726</w:t>
            </w:r>
          </w:p>
        </w:tc>
        <w:tc>
          <w:p w14:paraId="2FE5264A">
            <w:pPr>
              <w:pStyle w:val="24"/>
              <w:jc w:val="left"/>
            </w:pPr>
            <w:r>
              <w:t>Argo CD</w:t>
            </w:r>
          </w:p>
        </w:tc>
        <w:tc>
          <w:p w14:paraId="23374F03">
            <w:pPr>
              <w:pStyle w:val="24"/>
              <w:jc w:val="left"/>
            </w:pPr>
            <w:r>
              <w:rPr>
                <w:rFonts w:hint="eastAsia"/>
              </w:rPr>
              <w:t>内部权限失控</w:t>
            </w:r>
          </w:p>
        </w:tc>
      </w:tr>
      <w:tr w14:paraId="37B5B13A">
        <w:tblPrEx>
          <w:tblCellMar>
            <w:top w:w="0" w:type="dxa"/>
            <w:left w:w="108" w:type="dxa"/>
            <w:bottom w:w="0" w:type="dxa"/>
            <w:right w:w="108" w:type="dxa"/>
          </w:tblCellMar>
        </w:tblPrEx>
        <w:tc>
          <w:p w14:paraId="70D403DF">
            <w:pPr>
              <w:pStyle w:val="24"/>
              <w:jc w:val="left"/>
            </w:pPr>
            <w:r>
              <w:t>CVE-2023-5408</w:t>
            </w:r>
          </w:p>
        </w:tc>
        <w:tc>
          <w:p w14:paraId="47E57932">
            <w:pPr>
              <w:pStyle w:val="24"/>
              <w:jc w:val="left"/>
            </w:pPr>
            <w:r>
              <w:t>OpenShift</w:t>
            </w:r>
          </w:p>
        </w:tc>
        <w:tc>
          <w:p w14:paraId="3F9C929B">
            <w:pPr>
              <w:pStyle w:val="24"/>
              <w:jc w:val="left"/>
            </w:pPr>
            <w:r>
              <w:rPr>
                <w:rFonts w:hint="eastAsia"/>
              </w:rPr>
              <w:t>内部权限失控</w:t>
            </w:r>
          </w:p>
        </w:tc>
      </w:tr>
      <w:tr w14:paraId="7B7B5CF1">
        <w:tblPrEx>
          <w:tblCellMar>
            <w:top w:w="0" w:type="dxa"/>
            <w:left w:w="108" w:type="dxa"/>
            <w:bottom w:w="0" w:type="dxa"/>
            <w:right w:w="108" w:type="dxa"/>
          </w:tblCellMar>
        </w:tblPrEx>
        <w:tc>
          <w:p w14:paraId="7A1B4101">
            <w:pPr>
              <w:pStyle w:val="24"/>
              <w:jc w:val="left"/>
            </w:pPr>
            <w:r>
              <w:t>CVE-2023-5528</w:t>
            </w:r>
          </w:p>
        </w:tc>
        <w:tc>
          <w:p w14:paraId="088A12D0">
            <w:pPr>
              <w:pStyle w:val="24"/>
              <w:jc w:val="left"/>
            </w:pPr>
            <w:r>
              <w:t>Kubernetes (Windows)</w:t>
            </w:r>
          </w:p>
        </w:tc>
        <w:tc>
          <w:p w14:paraId="58893B85">
            <w:pPr>
              <w:pStyle w:val="24"/>
              <w:jc w:val="left"/>
            </w:pPr>
            <w:r>
              <w:rPr>
                <w:rFonts w:hint="eastAsia"/>
              </w:rPr>
              <w:t>内部权限失控</w:t>
            </w:r>
          </w:p>
        </w:tc>
      </w:tr>
      <w:tr w14:paraId="265152EF">
        <w:tblPrEx>
          <w:tblCellMar>
            <w:top w:w="0" w:type="dxa"/>
            <w:left w:w="108" w:type="dxa"/>
            <w:bottom w:w="0" w:type="dxa"/>
            <w:right w:w="108" w:type="dxa"/>
          </w:tblCellMar>
        </w:tblPrEx>
        <w:tc>
          <w:p w14:paraId="777B3B8E">
            <w:pPr>
              <w:pStyle w:val="24"/>
              <w:jc w:val="left"/>
            </w:pPr>
            <w:r>
              <w:t>CVE-2024-31989</w:t>
            </w:r>
          </w:p>
        </w:tc>
        <w:tc>
          <w:p w14:paraId="392EB892">
            <w:pPr>
              <w:pStyle w:val="24"/>
              <w:jc w:val="left"/>
            </w:pPr>
            <w:r>
              <w:t>Argo CD</w:t>
            </w:r>
          </w:p>
        </w:tc>
        <w:tc>
          <w:p w14:paraId="4FA416B0">
            <w:pPr>
              <w:pStyle w:val="24"/>
              <w:jc w:val="left"/>
            </w:pPr>
            <w:r>
              <w:rPr>
                <w:rFonts w:hint="eastAsia"/>
              </w:rPr>
              <w:t>网络隔离</w:t>
            </w:r>
          </w:p>
        </w:tc>
      </w:tr>
      <w:tr w14:paraId="76711BC3">
        <w:tblPrEx>
          <w:tblCellMar>
            <w:top w:w="0" w:type="dxa"/>
            <w:left w:w="108" w:type="dxa"/>
            <w:bottom w:w="0" w:type="dxa"/>
            <w:right w:w="108" w:type="dxa"/>
          </w:tblCellMar>
        </w:tblPrEx>
        <w:tc>
          <w:p w14:paraId="44C898B6">
            <w:pPr>
              <w:pStyle w:val="24"/>
              <w:jc w:val="left"/>
            </w:pPr>
            <w:r>
              <w:t>CVE-2024-33522</w:t>
            </w:r>
          </w:p>
        </w:tc>
        <w:tc>
          <w:p w14:paraId="0BA44214">
            <w:pPr>
              <w:pStyle w:val="24"/>
              <w:jc w:val="left"/>
            </w:pPr>
            <w:r>
              <w:t>Calico</w:t>
            </w:r>
          </w:p>
        </w:tc>
        <w:tc>
          <w:p w14:paraId="0742331D">
            <w:pPr>
              <w:pStyle w:val="24"/>
              <w:jc w:val="left"/>
            </w:pPr>
            <w:r>
              <w:rPr>
                <w:rFonts w:hint="eastAsia"/>
              </w:rPr>
              <w:t>代码注入</w:t>
            </w:r>
          </w:p>
        </w:tc>
      </w:tr>
      <w:tr w14:paraId="7D3E6473">
        <w:tblPrEx>
          <w:tblCellMar>
            <w:top w:w="0" w:type="dxa"/>
            <w:left w:w="108" w:type="dxa"/>
            <w:bottom w:w="0" w:type="dxa"/>
            <w:right w:w="108" w:type="dxa"/>
          </w:tblCellMar>
        </w:tblPrEx>
        <w:tc>
          <w:p w14:paraId="25520280">
            <w:pPr>
              <w:pStyle w:val="24"/>
              <w:jc w:val="left"/>
            </w:pPr>
            <w:r>
              <w:t>CVE-2024-40628</w:t>
            </w:r>
          </w:p>
        </w:tc>
        <w:tc>
          <w:p w14:paraId="1D1C2EFE">
            <w:pPr>
              <w:pStyle w:val="24"/>
              <w:jc w:val="left"/>
            </w:pPr>
            <w:r>
              <w:t>JumpServer</w:t>
            </w:r>
          </w:p>
        </w:tc>
        <w:tc>
          <w:p w14:paraId="187A8929">
            <w:pPr>
              <w:pStyle w:val="24"/>
              <w:jc w:val="left"/>
            </w:pPr>
            <w:r>
              <w:rPr>
                <w:rFonts w:hint="eastAsia"/>
              </w:rPr>
              <w:t>内部权限失控</w:t>
            </w:r>
          </w:p>
        </w:tc>
      </w:tr>
      <w:tr w14:paraId="00F6D0EE">
        <w:tblPrEx>
          <w:tblCellMar>
            <w:top w:w="0" w:type="dxa"/>
            <w:left w:w="108" w:type="dxa"/>
            <w:bottom w:w="0" w:type="dxa"/>
            <w:right w:w="108" w:type="dxa"/>
          </w:tblCellMar>
        </w:tblPrEx>
        <w:tc>
          <w:p w14:paraId="57769A4A">
            <w:pPr>
              <w:pStyle w:val="24"/>
              <w:jc w:val="left"/>
            </w:pPr>
            <w:r>
              <w:t>CVE-2024-40629</w:t>
            </w:r>
          </w:p>
        </w:tc>
        <w:tc>
          <w:p w14:paraId="292116CD">
            <w:pPr>
              <w:pStyle w:val="24"/>
              <w:jc w:val="left"/>
            </w:pPr>
            <w:r>
              <w:t>JumpServer</w:t>
            </w:r>
          </w:p>
        </w:tc>
        <w:tc>
          <w:p w14:paraId="119C4FBC">
            <w:pPr>
              <w:pStyle w:val="24"/>
              <w:jc w:val="left"/>
            </w:pPr>
            <w:r>
              <w:rPr>
                <w:rFonts w:hint="eastAsia"/>
              </w:rPr>
              <w:t>内部权限失控</w:t>
            </w:r>
          </w:p>
        </w:tc>
      </w:tr>
      <w:tr w14:paraId="59348275">
        <w:tblPrEx>
          <w:tblCellMar>
            <w:top w:w="0" w:type="dxa"/>
            <w:left w:w="108" w:type="dxa"/>
            <w:bottom w:w="0" w:type="dxa"/>
            <w:right w:w="108" w:type="dxa"/>
          </w:tblCellMar>
        </w:tblPrEx>
        <w:tc>
          <w:p w14:paraId="51EDB900">
            <w:pPr>
              <w:pStyle w:val="24"/>
              <w:jc w:val="left"/>
            </w:pPr>
            <w:r>
              <w:t>CVE-2024-43403</w:t>
            </w:r>
          </w:p>
        </w:tc>
        <w:tc>
          <w:p w14:paraId="1646202C">
            <w:pPr>
              <w:pStyle w:val="24"/>
              <w:jc w:val="left"/>
            </w:pPr>
            <w:r>
              <w:t>Kanister</w:t>
            </w:r>
          </w:p>
        </w:tc>
        <w:tc>
          <w:p w14:paraId="02E45D4D">
            <w:pPr>
              <w:pStyle w:val="24"/>
              <w:jc w:val="left"/>
            </w:pPr>
            <w:r>
              <w:rPr>
                <w:rFonts w:hint="eastAsia"/>
              </w:rPr>
              <w:t>过度权限配置</w:t>
            </w:r>
          </w:p>
        </w:tc>
      </w:tr>
      <w:tr w14:paraId="1CB7C9B6">
        <w:tblPrEx>
          <w:tblCellMar>
            <w:top w:w="0" w:type="dxa"/>
            <w:left w:w="108" w:type="dxa"/>
            <w:bottom w:w="0" w:type="dxa"/>
            <w:right w:w="108" w:type="dxa"/>
          </w:tblCellMar>
        </w:tblPrEx>
        <w:tc>
          <w:p w14:paraId="21532BF3">
            <w:pPr>
              <w:pStyle w:val="24"/>
              <w:jc w:val="left"/>
            </w:pPr>
            <w:r>
              <w:t>CVE-2024-43803</w:t>
            </w:r>
          </w:p>
        </w:tc>
        <w:tc>
          <w:p w14:paraId="1D8397E5">
            <w:pPr>
              <w:pStyle w:val="24"/>
              <w:jc w:val="left"/>
            </w:pPr>
            <w:r>
              <w:t>Bare Metal Operator</w:t>
            </w:r>
          </w:p>
        </w:tc>
        <w:tc>
          <w:p w14:paraId="3288BEC8">
            <w:pPr>
              <w:pStyle w:val="24"/>
              <w:jc w:val="left"/>
            </w:pPr>
            <w:r>
              <w:rPr>
                <w:rFonts w:hint="eastAsia"/>
              </w:rPr>
              <w:t>过度权限配置</w:t>
            </w:r>
          </w:p>
        </w:tc>
      </w:tr>
      <w:tr w14:paraId="7B5B8030">
        <w:tblPrEx>
          <w:tblCellMar>
            <w:top w:w="0" w:type="dxa"/>
            <w:left w:w="108" w:type="dxa"/>
            <w:bottom w:w="0" w:type="dxa"/>
            <w:right w:w="108" w:type="dxa"/>
          </w:tblCellMar>
        </w:tblPrEx>
        <w:tc>
          <w:p w14:paraId="16216FE2">
            <w:pPr>
              <w:pStyle w:val="24"/>
              <w:jc w:val="left"/>
            </w:pPr>
            <w:r>
              <w:t>CVE-2024-48921</w:t>
            </w:r>
          </w:p>
        </w:tc>
        <w:tc>
          <w:p w14:paraId="4B14A9C9">
            <w:pPr>
              <w:pStyle w:val="24"/>
              <w:jc w:val="left"/>
            </w:pPr>
            <w:r>
              <w:t>Kyverno</w:t>
            </w:r>
          </w:p>
        </w:tc>
        <w:tc>
          <w:p w14:paraId="2EDB42D4">
            <w:pPr>
              <w:pStyle w:val="24"/>
              <w:jc w:val="left"/>
            </w:pPr>
            <w:r>
              <w:rPr>
                <w:rFonts w:hint="eastAsia"/>
              </w:rPr>
              <w:t>内部权限失控</w:t>
            </w:r>
          </w:p>
        </w:tc>
      </w:tr>
      <w:tr w14:paraId="7EF991D7">
        <w:tblPrEx>
          <w:tblCellMar>
            <w:top w:w="0" w:type="dxa"/>
            <w:left w:w="108" w:type="dxa"/>
            <w:bottom w:w="0" w:type="dxa"/>
            <w:right w:w="108" w:type="dxa"/>
          </w:tblCellMar>
        </w:tblPrEx>
        <w:tc>
          <w:p w14:paraId="7D87BFF5">
            <w:pPr>
              <w:pStyle w:val="24"/>
              <w:jc w:val="left"/>
            </w:pPr>
            <w:r>
              <w:t>CVE-2024-56513</w:t>
            </w:r>
          </w:p>
        </w:tc>
        <w:tc>
          <w:p w14:paraId="01E5E5A2">
            <w:pPr>
              <w:pStyle w:val="24"/>
              <w:jc w:val="left"/>
            </w:pPr>
            <w:r>
              <w:t>Karmada</w:t>
            </w:r>
          </w:p>
        </w:tc>
        <w:tc>
          <w:p w14:paraId="0880F020">
            <w:pPr>
              <w:pStyle w:val="24"/>
              <w:jc w:val="left"/>
            </w:pPr>
            <w:r>
              <w:rPr>
                <w:rFonts w:hint="eastAsia"/>
              </w:rPr>
              <w:t>过度权限配置</w:t>
            </w:r>
          </w:p>
        </w:tc>
      </w:tr>
      <w:tr w14:paraId="565E51E5">
        <w:tblPrEx>
          <w:tblCellMar>
            <w:top w:w="0" w:type="dxa"/>
            <w:left w:w="108" w:type="dxa"/>
            <w:bottom w:w="0" w:type="dxa"/>
            <w:right w:w="108" w:type="dxa"/>
          </w:tblCellMar>
        </w:tblPrEx>
        <w:tc>
          <w:p w14:paraId="4D02D882">
            <w:pPr>
              <w:pStyle w:val="24"/>
              <w:jc w:val="left"/>
            </w:pPr>
            <w:r>
              <w:t>CVE-2025-2241</w:t>
            </w:r>
          </w:p>
        </w:tc>
        <w:tc>
          <w:p w14:paraId="6B236F95">
            <w:pPr>
              <w:pStyle w:val="24"/>
              <w:jc w:val="left"/>
            </w:pPr>
            <w:r>
              <w:t>Hive (ACM/MCE)</w:t>
            </w:r>
          </w:p>
        </w:tc>
        <w:tc>
          <w:p w14:paraId="4CC6F011">
            <w:pPr>
              <w:pStyle w:val="24"/>
              <w:jc w:val="left"/>
            </w:pPr>
            <w:r>
              <w:rPr>
                <w:rFonts w:hint="eastAsia"/>
              </w:rPr>
              <w:t>敏感信息泄露</w:t>
            </w:r>
          </w:p>
        </w:tc>
      </w:tr>
      <w:tr w14:paraId="61B673BB">
        <w:tblPrEx>
          <w:tblCellMar>
            <w:top w:w="0" w:type="dxa"/>
            <w:left w:w="108" w:type="dxa"/>
            <w:bottom w:w="0" w:type="dxa"/>
            <w:right w:w="108" w:type="dxa"/>
          </w:tblCellMar>
        </w:tblPrEx>
        <w:tc>
          <w:p w14:paraId="54A09F30">
            <w:pPr>
              <w:pStyle w:val="24"/>
              <w:jc w:val="left"/>
            </w:pPr>
            <w:r>
              <w:t>CVE-2025-24784</w:t>
            </w:r>
          </w:p>
        </w:tc>
        <w:tc>
          <w:p w14:paraId="538227A8">
            <w:pPr>
              <w:pStyle w:val="24"/>
              <w:jc w:val="left"/>
            </w:pPr>
            <w:r>
              <w:t>kubewarden-controller</w:t>
            </w:r>
          </w:p>
        </w:tc>
        <w:tc>
          <w:p w14:paraId="381C3410">
            <w:pPr>
              <w:pStyle w:val="24"/>
              <w:jc w:val="left"/>
            </w:pPr>
            <w:r>
              <w:rPr>
                <w:rFonts w:hint="eastAsia"/>
              </w:rPr>
              <w:t>内部权限失控</w:t>
            </w:r>
          </w:p>
        </w:tc>
      </w:tr>
      <w:tr w14:paraId="2906DF4D">
        <w:tblPrEx>
          <w:tblCellMar>
            <w:top w:w="0" w:type="dxa"/>
            <w:left w:w="108" w:type="dxa"/>
            <w:bottom w:w="0" w:type="dxa"/>
            <w:right w:w="108" w:type="dxa"/>
          </w:tblCellMar>
        </w:tblPrEx>
        <w:tc>
          <w:p w14:paraId="33E8B102">
            <w:pPr>
              <w:pStyle w:val="24"/>
              <w:jc w:val="left"/>
            </w:pPr>
            <w:r>
              <w:t>CVE-2025-32445</w:t>
            </w:r>
          </w:p>
        </w:tc>
        <w:tc>
          <w:p w14:paraId="63E01627">
            <w:pPr>
              <w:pStyle w:val="24"/>
              <w:jc w:val="left"/>
            </w:pPr>
            <w:r>
              <w:t>Argo Events</w:t>
            </w:r>
          </w:p>
        </w:tc>
        <w:tc>
          <w:p w14:paraId="53ADCDC8">
            <w:pPr>
              <w:pStyle w:val="24"/>
              <w:jc w:val="left"/>
            </w:pPr>
            <w:r>
              <w:rPr>
                <w:rFonts w:hint="eastAsia"/>
              </w:rPr>
              <w:t>内部权限失控</w:t>
            </w:r>
          </w:p>
        </w:tc>
      </w:tr>
      <w:bookmarkEnd w:id="178"/>
      <w:bookmarkEnd w:id="179"/>
    </w:tbl>
    <w:p w14:paraId="1CAA3BFA">
      <w:pPr>
        <w:pStyle w:val="4"/>
      </w:pPr>
      <w:bookmarkStart w:id="180" w:name="app:case-analysis"/>
      <w:r>
        <w:rPr>
          <w:rFonts w:hint="eastAsia"/>
        </w:rPr>
        <w:t>典型</w:t>
      </w:r>
      <w:r>
        <w:t xml:space="preserve"> CVE </w:t>
      </w:r>
      <w:r>
        <w:rPr>
          <w:rFonts w:hint="eastAsia"/>
        </w:rPr>
        <w:t>案例分析与安全策略</w:t>
      </w:r>
    </w:p>
    <w:p w14:paraId="63975693">
      <w:pPr>
        <w:pStyle w:val="5"/>
      </w:pPr>
      <w:bookmarkStart w:id="181" w:name="案例一cve-2022-24768-访问控制缺陷"/>
      <w:r>
        <w:rPr>
          <w:rFonts w:hint="eastAsia"/>
        </w:rPr>
        <w:t>案例一：CVE-2022-24768</w:t>
      </w:r>
      <w:r>
        <w:t xml:space="preserve"> </w:t>
      </w:r>
      <w:r>
        <w:rPr>
          <w:rFonts w:hint="eastAsia"/>
        </w:rPr>
        <w:t>访问控制缺陷</w:t>
      </w:r>
    </w:p>
    <w:p w14:paraId="7F7B50F3">
      <w:pPr>
        <w:pStyle w:val="6"/>
      </w:pPr>
      <w:bookmarkStart w:id="182" w:name="漏洞复现"/>
      <w:r>
        <w:rPr>
          <w:rFonts w:hint="eastAsia"/>
        </w:rPr>
        <w:t>漏洞复现</w:t>
      </w:r>
    </w:p>
    <w:p w14:paraId="656E31B1">
      <w:pPr>
        <w:pStyle w:val="23"/>
      </w:pPr>
      <w:r>
        <w:t xml:space="preserve">Argo CD </w:t>
      </w:r>
      <w:r>
        <w:rPr>
          <w:rFonts w:hint="eastAsia"/>
        </w:rPr>
        <w:t>是</w:t>
      </w:r>
      <w:r>
        <w:t xml:space="preserve"> K8s </w:t>
      </w:r>
      <w:r>
        <w:rPr>
          <w:rFonts w:hint="eastAsia"/>
        </w:rPr>
        <w:t>生态中广泛使用的声明式</w:t>
      </w:r>
      <w:r>
        <w:t xml:space="preserve"> GitOps </w:t>
      </w:r>
      <w:r>
        <w:rPr>
          <w:rFonts w:hint="eastAsia"/>
        </w:rPr>
        <w:t>持续交付工具。其典型部署形态是由</w:t>
      </w:r>
      <w:r>
        <w:t xml:space="preserve"> Argo CD </w:t>
      </w:r>
      <w:r>
        <w:rPr>
          <w:rFonts w:hint="eastAsia"/>
        </w:rPr>
        <w:t>控制平面以相对高权限身份持续对齐</w:t>
      </w:r>
      <w:r>
        <w:t xml:space="preserve"> Git </w:t>
      </w:r>
      <w:r>
        <w:rPr>
          <w:rFonts w:hint="eastAsia"/>
        </w:rPr>
        <w:t>仓库中的期望状态，即对集群资源拥有创建、更新与删除能力。该架构提升交付一致性的同时，也引入了新的安全风险：一旦普通用户能够影响</w:t>
      </w:r>
      <w:r>
        <w:t xml:space="preserve"> Argo CD </w:t>
      </w:r>
      <w:r>
        <w:rPr>
          <w:rFonts w:hint="eastAsia"/>
        </w:rPr>
        <w:t>的控制决策，便可能借助控制平面权限放大自身权限边界。</w:t>
      </w:r>
    </w:p>
    <w:p w14:paraId="40701FFC">
      <w:pPr>
        <w:pStyle w:val="3"/>
      </w:pPr>
      <w:r>
        <w:rPr>
          <w:b/>
          <w:bCs/>
        </w:rPr>
        <w:t xml:space="preserve">CVE </w:t>
      </w:r>
      <w:r>
        <w:rPr>
          <w:rFonts w:hint="eastAsia"/>
          <w:b/>
          <w:bCs/>
        </w:rPr>
        <w:t>描述</w:t>
      </w:r>
      <w:r>
        <w:rPr>
          <w:rFonts w:hint="eastAsia"/>
        </w:rPr>
        <w:t>：CVE-2022-24768</w:t>
      </w:r>
      <w:r>
        <w:t xml:space="preserve"> </w:t>
      </w:r>
      <w:r>
        <w:rPr>
          <w:rFonts w:hint="eastAsia"/>
        </w:rPr>
        <w:t>为</w:t>
      </w:r>
      <w:r>
        <w:t xml:space="preserve"> Argo CD </w:t>
      </w:r>
      <w:r>
        <w:rPr>
          <w:rFonts w:hint="eastAsia"/>
        </w:rPr>
        <w:t>的不当访问控制漏洞。自</w:t>
      </w:r>
      <w:r>
        <w:t xml:space="preserve"> 1.0.0 </w:t>
      </w:r>
      <w:r>
        <w:rPr>
          <w:rFonts w:hint="eastAsia"/>
        </w:rPr>
        <w:t>起所有未修复版本均存在风险，0.5.x</w:t>
      </w:r>
      <w:r>
        <w:t xml:space="preserve"> </w:t>
      </w:r>
      <w:r>
        <w:rPr>
          <w:rFonts w:hint="eastAsia"/>
        </w:rPr>
        <w:t>与</w:t>
      </w:r>
      <w:r>
        <w:t xml:space="preserve"> 0.8.x </w:t>
      </w:r>
      <w:r>
        <w:rPr>
          <w:rFonts w:hint="eastAsia"/>
        </w:rPr>
        <w:t>系列中也包含该问题的受限版本。攻击者需要满足以下前置条件之一：</w:t>
      </w:r>
      <w:r>
        <w:t xml:space="preserve"> </w:t>
      </w:r>
      <w:r>
        <w:rPr>
          <w:rFonts w:hint="eastAsia"/>
        </w:rPr>
        <w:t>(i)对某个</w:t>
      </w:r>
      <w:r>
        <w:t xml:space="preserve"> Application </w:t>
      </w:r>
      <w:r>
        <w:rPr>
          <w:rFonts w:hint="eastAsia"/>
        </w:rPr>
        <w:t>的源</w:t>
      </w:r>
      <w:r>
        <w:t xml:space="preserve"> Git/Helm </w:t>
      </w:r>
      <w:r>
        <w:rPr>
          <w:rFonts w:hint="eastAsia"/>
        </w:rPr>
        <w:t>仓库具备</w:t>
      </w:r>
      <w:r>
        <w:t xml:space="preserve"> push </w:t>
      </w:r>
      <w:r>
        <w:rPr>
          <w:rFonts w:hint="eastAsia"/>
        </w:rPr>
        <w:t>权限；或(ii)在</w:t>
      </w:r>
      <w:r>
        <w:t xml:space="preserve"> Argo CD </w:t>
      </w:r>
      <w:r>
        <w:rPr>
          <w:rFonts w:hint="eastAsia"/>
        </w:rPr>
        <w:t>中对该</w:t>
      </w:r>
      <w:r>
        <w:t xml:space="preserve"> Application </w:t>
      </w:r>
      <w:r>
        <w:rPr>
          <w:rFonts w:hint="eastAsia"/>
        </w:rPr>
        <w:t>具备</w:t>
      </w:r>
      <w:r>
        <w:t xml:space="preserve"> sync </w:t>
      </w:r>
      <w:r>
        <w:rPr>
          <w:rFonts w:hint="eastAsia"/>
        </w:rPr>
        <w:t>与</w:t>
      </w:r>
      <w:r>
        <w:t xml:space="preserve"> override </w:t>
      </w:r>
      <w:r>
        <w:rPr>
          <w:rFonts w:hint="eastAsia"/>
        </w:rPr>
        <w:t>权限。满足条件后，攻击者可通过构造/修改仓库内容或应用配置，诱导</w:t>
      </w:r>
      <w:r>
        <w:t xml:space="preserve"> Argo CD </w:t>
      </w:r>
      <w:r>
        <w:rPr>
          <w:rFonts w:hint="eastAsia"/>
        </w:rPr>
        <w:t>以其控制平面权限执行超出攻击者原始</w:t>
      </w:r>
      <w:r>
        <w:t xml:space="preserve"> RBAC </w:t>
      </w:r>
      <w:r>
        <w:rPr>
          <w:rFonts w:hint="eastAsia"/>
        </w:rPr>
        <w:t>边界的操作，进而可获得管理员权限。官方已在</w:t>
      </w:r>
      <w:r>
        <w:t xml:space="preserve"> Argo CD </w:t>
      </w:r>
      <w:r>
        <w:rPr>
          <w:b/>
          <w:bCs/>
        </w:rPr>
        <w:t>2.1.14、2.2.8、2.3.2</w:t>
      </w:r>
      <w:r>
        <w:t xml:space="preserve"> </w:t>
      </w:r>
      <w:r>
        <w:rPr>
          <w:rFonts w:hint="eastAsia"/>
        </w:rPr>
        <w:t>中发布补丁。</w:t>
      </w:r>
    </w:p>
    <w:p w14:paraId="115E3A46">
      <w:pPr>
        <w:pStyle w:val="3"/>
      </w:pPr>
      <w:r>
        <w:rPr>
          <w:rFonts w:hint="eastAsia"/>
          <w:b/>
          <w:bCs/>
        </w:rPr>
        <w:t>主要成因分类</w:t>
      </w:r>
      <w:r>
        <w:rPr>
          <w:rFonts w:hint="eastAsia"/>
        </w:rPr>
        <w:t>：安全逻辑缺陷</w:t>
      </w:r>
      <w:r>
        <w:t xml:space="preserve"> / </w:t>
      </w:r>
      <w:r>
        <w:rPr>
          <w:rFonts w:hint="eastAsia"/>
        </w:rPr>
        <w:t>访问控制缺陷，表现为已授权用户的权限被放大。</w:t>
      </w:r>
      <w:r>
        <w:t xml:space="preserve"> </w:t>
      </w:r>
      <w:r>
        <w:rPr>
          <w:rFonts w:hint="eastAsia"/>
          <w:b/>
          <w:bCs/>
        </w:rPr>
        <w:t>攻击链条描述</w:t>
      </w:r>
      <w:r>
        <w:rPr>
          <w:rFonts w:hint="eastAsia"/>
        </w:rPr>
        <w:t>：攻击链可概括为：</w:t>
      </w:r>
    </w:p>
    <w:p w14:paraId="4814FF49">
      <w:pPr>
        <w:numPr>
          <w:ilvl w:val="0"/>
          <w:numId w:val="9"/>
        </w:numPr>
      </w:pPr>
      <w:r>
        <w:rPr>
          <w:rFonts w:hint="eastAsia"/>
          <w:b/>
          <w:bCs/>
        </w:rPr>
        <w:t>合法身份阶段</w:t>
      </w:r>
      <w:r>
        <w:rPr>
          <w:rFonts w:hint="eastAsia"/>
        </w:rPr>
        <w:t>：攻击者以普通</w:t>
      </w:r>
      <w:r>
        <w:t xml:space="preserve"> Argo CD </w:t>
      </w:r>
      <w:r>
        <w:rPr>
          <w:rFonts w:hint="eastAsia"/>
        </w:rPr>
        <w:t>用户身份登录；</w:t>
      </w:r>
    </w:p>
    <w:p w14:paraId="7BC6A42D">
      <w:pPr>
        <w:numPr>
          <w:ilvl w:val="0"/>
          <w:numId w:val="9"/>
        </w:numPr>
      </w:pPr>
      <w:r>
        <w:rPr>
          <w:rFonts w:hint="eastAsia"/>
          <w:b/>
          <w:bCs/>
        </w:rPr>
        <w:t>配置影响阶段</w:t>
      </w:r>
      <w:r>
        <w:rPr>
          <w:rFonts w:hint="eastAsia"/>
        </w:rPr>
        <w:t>：凭借对</w:t>
      </w:r>
      <w:r>
        <w:t xml:space="preserve"> Application </w:t>
      </w:r>
      <w:r>
        <w:rPr>
          <w:rFonts w:hint="eastAsia"/>
        </w:rPr>
        <w:t>的</w:t>
      </w:r>
      <w:r>
        <w:t xml:space="preserve"> sync+override </w:t>
      </w:r>
      <w:r>
        <w:rPr>
          <w:rFonts w:hint="eastAsia"/>
        </w:rPr>
        <w:t>或对源码仓库的</w:t>
      </w:r>
      <w:r>
        <w:t xml:space="preserve"> push </w:t>
      </w:r>
      <w:r>
        <w:rPr>
          <w:rFonts w:hint="eastAsia"/>
        </w:rPr>
        <w:t>权限，注入恶意资源清单；</w:t>
      </w:r>
    </w:p>
    <w:p w14:paraId="7EC520B5">
      <w:pPr>
        <w:numPr>
          <w:ilvl w:val="0"/>
          <w:numId w:val="9"/>
        </w:numPr>
      </w:pPr>
      <w:r>
        <w:rPr>
          <w:rFonts w:hint="eastAsia"/>
          <w:b/>
          <w:bCs/>
        </w:rPr>
        <w:t>控制平面滥用阶段</w:t>
      </w:r>
      <w:r>
        <w:rPr>
          <w:rFonts w:hint="eastAsia"/>
        </w:rPr>
        <w:t>：Argo</w:t>
      </w:r>
      <w:r>
        <w:t xml:space="preserve"> CD </w:t>
      </w:r>
      <w:r>
        <w:rPr>
          <w:rFonts w:hint="eastAsia"/>
        </w:rPr>
        <w:t>按</w:t>
      </w:r>
      <w:r>
        <w:t xml:space="preserve"> GitOps </w:t>
      </w:r>
      <w:r>
        <w:rPr>
          <w:rFonts w:hint="eastAsia"/>
        </w:rPr>
        <w:t>同步逻辑将恶意资源应用到集群；</w:t>
      </w:r>
    </w:p>
    <w:p w14:paraId="3C3D5A05">
      <w:pPr>
        <w:numPr>
          <w:ilvl w:val="0"/>
          <w:numId w:val="9"/>
        </w:numPr>
      </w:pPr>
      <w:r>
        <w:rPr>
          <w:rFonts w:hint="eastAsia"/>
          <w:b/>
          <w:bCs/>
        </w:rPr>
        <w:t>权限提升阶段</w:t>
      </w:r>
      <w:r>
        <w:rPr>
          <w:rFonts w:hint="eastAsia"/>
        </w:rPr>
        <w:t>：借助被创建的高权限</w:t>
      </w:r>
      <w:r>
        <w:t xml:space="preserve"> RBAC </w:t>
      </w:r>
      <w:r>
        <w:rPr>
          <w:rFonts w:hint="eastAsia"/>
        </w:rPr>
        <w:t>绑定获得集群级管理员能力。</w:t>
      </w:r>
    </w:p>
    <w:p w14:paraId="4D7E02D3">
      <w:pPr>
        <w:pStyle w:val="23"/>
      </w:pPr>
      <w:r>
        <w:rPr>
          <w:rFonts w:hint="eastAsia"/>
        </w:rPr>
        <w:t>实验部署受影响版本</w:t>
      </w:r>
      <w:r>
        <w:t xml:space="preserve"> Argo CD </w:t>
      </w:r>
      <w:r>
        <w:rPr>
          <w:rFonts w:hint="eastAsia"/>
        </w:rPr>
        <w:t>v2.3.1，并配置</w:t>
      </w:r>
      <w:r>
        <w:t xml:space="preserve"> K8s </w:t>
      </w:r>
      <w:r>
        <w:rPr>
          <w:rFonts w:hint="eastAsia"/>
        </w:rPr>
        <w:t>测试集群，以低权用户</w:t>
      </w:r>
      <w:r>
        <w:t xml:space="preserve"> bob </w:t>
      </w:r>
      <w:r>
        <w:rPr>
          <w:rFonts w:hint="eastAsia"/>
        </w:rPr>
        <w:t>身份接入；bob</w:t>
      </w:r>
      <w:r>
        <w:t xml:space="preserve"> </w:t>
      </w:r>
      <w:r>
        <w:rPr>
          <w:rFonts w:hint="eastAsia"/>
        </w:rPr>
        <w:t>仅在特定项目范围内持有</w:t>
      </w:r>
      <w:r>
        <w:t xml:space="preserve"> sync </w:t>
      </w:r>
      <w:r>
        <w:rPr>
          <w:rFonts w:hint="eastAsia"/>
        </w:rPr>
        <w:t>与</w:t>
      </w:r>
      <w:r>
        <w:t xml:space="preserve"> override </w:t>
      </w:r>
      <w:r>
        <w:rPr>
          <w:rFonts w:hint="eastAsia"/>
        </w:rPr>
        <w:t>权限，对集群级资源无直接写入能力。测试仓库</w:t>
      </w:r>
      <w:r>
        <w:t xml:space="preserve"> </w:t>
      </w:r>
      <w:r>
        <w:fldChar w:fldCharType="begin"/>
      </w:r>
      <w:r>
        <w:instrText xml:space="preserve"> HYPERLINK "https://github.com/Ivanbeethoven/bad_repo" \h </w:instrText>
      </w:r>
      <w:r>
        <w:fldChar w:fldCharType="separate"/>
      </w:r>
      <w:r>
        <w:rPr>
          <w:rStyle w:val="20"/>
        </w:rPr>
        <w:t>https://github.com/Ivanbeethoven/bad_repo</w:t>
      </w:r>
      <w:r>
        <w:rPr>
          <w:rStyle w:val="20"/>
        </w:rPr>
        <w:fldChar w:fldCharType="end"/>
      </w:r>
      <w:r>
        <w:t xml:space="preserve"> </w:t>
      </w:r>
      <w:r>
        <w:rPr>
          <w:rFonts w:hint="eastAsia"/>
        </w:rPr>
        <w:t>中含正常业务资源</w:t>
      </w:r>
      <w:r>
        <w:t xml:space="preserve"> app.yaml </w:t>
      </w:r>
      <w:r>
        <w:rPr>
          <w:rFonts w:hint="eastAsia"/>
        </w:rPr>
        <w:t>与恶意</w:t>
      </w:r>
      <w:r>
        <w:t xml:space="preserve"> ClusterRoleBinding </w:t>
      </w:r>
      <w:r>
        <w:rPr>
          <w:rFonts w:hint="eastAsia"/>
        </w:rPr>
        <w:t>hack-admin.yaml，二者均处于</w:t>
      </w:r>
      <w:r>
        <w:t xml:space="preserve"> Argo CD </w:t>
      </w:r>
      <w:r>
        <w:rPr>
          <w:rFonts w:hint="eastAsia"/>
        </w:rPr>
        <w:t>同步路径下。bob</w:t>
      </w:r>
      <w:r>
        <w:t xml:space="preserve"> </w:t>
      </w:r>
      <w:r>
        <w:rPr>
          <w:rFonts w:hint="eastAsia"/>
        </w:rPr>
        <w:t>账户触发</w:t>
      </w:r>
      <w:r>
        <w:t xml:space="preserve"> Application </w:t>
      </w:r>
      <w:r>
        <w:rPr>
          <w:rFonts w:hint="eastAsia"/>
        </w:rPr>
        <w:t>同步后，Argo</w:t>
      </w:r>
      <w:r>
        <w:t xml:space="preserve"> CD </w:t>
      </w:r>
      <w:r>
        <w:rPr>
          <w:rFonts w:hint="eastAsia"/>
        </w:rPr>
        <w:t>控制平面将恶意</w:t>
      </w:r>
      <w:r>
        <w:t xml:space="preserve"> ClusterRoleBinding </w:t>
      </w:r>
      <w:r>
        <w:rPr>
          <w:rFonts w:hint="eastAsia"/>
        </w:rPr>
        <w:t>一并应用至集群，以</w:t>
      </w:r>
      <w:r>
        <w:t xml:space="preserve"> –as bob </w:t>
      </w:r>
      <w:r>
        <w:rPr>
          <w:rFonts w:hint="eastAsia"/>
        </w:rPr>
        <w:t>执行</w:t>
      </w:r>
      <w:r>
        <w:t xml:space="preserve"> kubectl auth can-i ’*’ ’*’ </w:t>
      </w:r>
      <w:r>
        <w:rPr>
          <w:rFonts w:hint="eastAsia"/>
        </w:rPr>
        <w:t>返回</w:t>
      </w:r>
      <w:r>
        <w:t xml:space="preserve"> </w:t>
      </w:r>
      <w:r>
        <w:rPr>
          <w:rFonts w:hint="eastAsia"/>
        </w:rPr>
        <w:t>yes，低权身份提升至集群管理员级别，权限边界放大经实验证实。关键命令与清单如下。</w:t>
      </w:r>
    </w:p>
    <w:p w14:paraId="7FD233E1">
      <w:pPr>
        <w:pStyle w:val="3"/>
      </w:pPr>
      <w:r>
        <w:rPr>
          <w:rFonts w:hint="eastAsia"/>
          <w:b/>
          <w:bCs/>
        </w:rPr>
        <w:t>步骤</w:t>
      </w:r>
      <w:r>
        <w:rPr>
          <w:b/>
          <w:bCs/>
        </w:rPr>
        <w:t xml:space="preserve"> </w:t>
      </w:r>
      <w:r>
        <w:rPr>
          <w:rFonts w:hint="eastAsia"/>
          <w:b/>
          <w:bCs/>
        </w:rPr>
        <w:t>1：部署漏洞版本</w:t>
      </w:r>
      <w:r>
        <w:rPr>
          <w:b/>
          <w:bCs/>
        </w:rPr>
        <w:t xml:space="preserve"> Argo CD(v2.3.1)</w:t>
      </w:r>
    </w:p>
    <w:p w14:paraId="58BBABB6">
      <w:pPr>
        <w:pStyle w:val="3"/>
      </w:pPr>
      <w:r>
        <w:t>kubectl create namespace argocd kubectl apply -n argocd -f https://raw.githubusercontent.com/argoproj/argo-cd/v2.3.1/manifests/install.yaml kubectl rollout status deployment/argocd-server -n argocd</w:t>
      </w:r>
    </w:p>
    <w:p w14:paraId="7AC3BD32">
      <w:pPr>
        <w:pStyle w:val="3"/>
      </w:pPr>
      <w:r>
        <w:rPr>
          <w:rFonts w:hint="eastAsia"/>
          <w:b/>
          <w:bCs/>
        </w:rPr>
        <w:t>步骤</w:t>
      </w:r>
      <w:r>
        <w:rPr>
          <w:b/>
          <w:bCs/>
        </w:rPr>
        <w:t xml:space="preserve"> </w:t>
      </w:r>
      <w:r>
        <w:rPr>
          <w:rFonts w:hint="eastAsia"/>
          <w:b/>
          <w:bCs/>
        </w:rPr>
        <w:t>2：获取初始管理员密码并登录</w:t>
      </w:r>
      <w:r>
        <w:rPr>
          <w:b/>
          <w:bCs/>
        </w:rPr>
        <w:t xml:space="preserve"> UI/CLI</w:t>
      </w:r>
    </w:p>
    <w:p w14:paraId="3488C4DF">
      <w:pPr>
        <w:pStyle w:val="3"/>
      </w:pPr>
      <w:r>
        <w:t>kubectl -n argocd get secret argocd-initial-admin-secret -o jsonpath=".data.password" | base64 -d &amp;&amp; echo kubectl port-forward svc/argocd-server -n argocd 8080:443</w:t>
      </w:r>
    </w:p>
    <w:p w14:paraId="6AE25467">
      <w:pPr>
        <w:pStyle w:val="3"/>
      </w:pPr>
      <w:r>
        <w:rPr>
          <w:rFonts w:hint="eastAsia"/>
          <w:b/>
          <w:bCs/>
        </w:rPr>
        <w:t>步骤</w:t>
      </w:r>
      <w:r>
        <w:rPr>
          <w:b/>
          <w:bCs/>
        </w:rPr>
        <w:t xml:space="preserve"> </w:t>
      </w:r>
      <w:r>
        <w:rPr>
          <w:rFonts w:hint="eastAsia"/>
          <w:b/>
          <w:bCs/>
        </w:rPr>
        <w:t>3：创建宽松的</w:t>
      </w:r>
      <w:r>
        <w:rPr>
          <w:b/>
          <w:bCs/>
        </w:rPr>
        <w:t xml:space="preserve"> </w:t>
      </w:r>
      <w:r>
        <w:rPr>
          <w:rFonts w:hint="eastAsia"/>
          <w:b/>
          <w:bCs/>
        </w:rPr>
        <w:t>AppProject(用于演示风险)</w:t>
      </w:r>
    </w:p>
    <w:p w14:paraId="24406351">
      <w:pPr>
        <w:pStyle w:val="3"/>
      </w:pPr>
      <w:r>
        <w:t>cat &lt;&lt;EOF | kubectl apply -f - apiVersion: argoproj.io/v1alpha1 kind: AppProject metadata: name: demo-project namespace: argocd spec: destinations: - namespace: ’*’ server: ’*’ sourceRepos: - ’*’ clusterResourceWhitelist: - group: ’*’ kind: ’*’ EOF</w:t>
      </w:r>
    </w:p>
    <w:p w14:paraId="7D2F4DB1">
      <w:pPr>
        <w:pStyle w:val="3"/>
      </w:pPr>
      <w:r>
        <w:rPr>
          <w:rFonts w:hint="eastAsia"/>
          <w:b/>
          <w:bCs/>
        </w:rPr>
        <w:t>步骤</w:t>
      </w:r>
      <w:r>
        <w:rPr>
          <w:b/>
          <w:bCs/>
        </w:rPr>
        <w:t xml:space="preserve"> </w:t>
      </w:r>
      <w:r>
        <w:rPr>
          <w:rFonts w:hint="eastAsia"/>
          <w:b/>
          <w:bCs/>
        </w:rPr>
        <w:t>4：创建低权用户</w:t>
      </w:r>
      <w:r>
        <w:rPr>
          <w:b/>
          <w:bCs/>
        </w:rPr>
        <w:t xml:space="preserve"> </w:t>
      </w:r>
      <w:r>
        <w:rPr>
          <w:rFonts w:hint="eastAsia"/>
          <w:b/>
          <w:bCs/>
        </w:rPr>
        <w:t>bob，并授予其对目标</w:t>
      </w:r>
      <w:r>
        <w:rPr>
          <w:b/>
          <w:bCs/>
        </w:rPr>
        <w:t xml:space="preserve"> Application </w:t>
      </w:r>
      <w:r>
        <w:rPr>
          <w:rFonts w:hint="eastAsia"/>
          <w:b/>
          <w:bCs/>
        </w:rPr>
        <w:t>的</w:t>
      </w:r>
      <w:r>
        <w:rPr>
          <w:b/>
          <w:bCs/>
        </w:rPr>
        <w:t xml:space="preserve"> sync </w:t>
      </w:r>
      <w:r>
        <w:rPr>
          <w:rFonts w:hint="eastAsia"/>
          <w:b/>
          <w:bCs/>
        </w:rPr>
        <w:t>与</w:t>
      </w:r>
      <w:r>
        <w:rPr>
          <w:b/>
          <w:bCs/>
        </w:rPr>
        <w:t xml:space="preserve"> override </w:t>
      </w:r>
      <w:r>
        <w:rPr>
          <w:rFonts w:hint="eastAsia"/>
          <w:b/>
          <w:bCs/>
        </w:rPr>
        <w:t>权限</w:t>
      </w:r>
    </w:p>
    <w:p w14:paraId="1E747A31">
      <w:pPr>
        <w:pStyle w:val="3"/>
      </w:pPr>
      <w:r>
        <w:t>policy.default: role:readonly policy.csv: | p, role:syncer, applications, sync, demo-project/*, allow p, role:syncer, applications, override, demo-project/*, allow g, bob, role:syncer</w:t>
      </w:r>
    </w:p>
    <w:p w14:paraId="33308881">
      <w:pPr>
        <w:pStyle w:val="3"/>
      </w:pPr>
      <w:r>
        <w:t>accounts.bob: apiKey, login</w:t>
      </w:r>
    </w:p>
    <w:p w14:paraId="00F91C0F">
      <w:pPr>
        <w:pStyle w:val="3"/>
      </w:pPr>
      <w:r>
        <w:t>kubectl rollout restart deployment/argocd-server -n argocd</w:t>
      </w:r>
    </w:p>
    <w:p w14:paraId="4080557F">
      <w:pPr>
        <w:pStyle w:val="3"/>
      </w:pPr>
      <w:r>
        <w:rPr>
          <w:rFonts w:hint="eastAsia"/>
          <w:b/>
          <w:bCs/>
        </w:rPr>
        <w:t>步骤</w:t>
      </w:r>
      <w:r>
        <w:rPr>
          <w:b/>
          <w:bCs/>
        </w:rPr>
        <w:t xml:space="preserve"> </w:t>
      </w:r>
      <w:r>
        <w:rPr>
          <w:rFonts w:hint="eastAsia"/>
          <w:b/>
          <w:bCs/>
        </w:rPr>
        <w:t>5：创建</w:t>
      </w:r>
      <w:r>
        <w:rPr>
          <w:b/>
          <w:bCs/>
        </w:rPr>
        <w:t xml:space="preserve"> Application </w:t>
      </w:r>
      <w:r>
        <w:rPr>
          <w:rFonts w:hint="eastAsia"/>
          <w:b/>
          <w:bCs/>
        </w:rPr>
        <w:t>指向恶意仓库</w:t>
      </w:r>
    </w:p>
    <w:p w14:paraId="08D86153">
      <w:pPr>
        <w:pStyle w:val="3"/>
      </w:pPr>
      <w:r>
        <w:t>cat &lt;&lt;EOF | kubectl apply -f - apiVersion: argoproj.io/v1alpha1 kind: Application metadata: name: bob-app namespace: argocd spec: project: demo-project source: repoURL: https://github.com/Ivanbeethoven/bad_repo path: . targetRevision: HEAD destination: server: https://kubernetes.default.svc namespace: default syncPolicy: automated: prune: true selfHeal: true EOF</w:t>
      </w:r>
    </w:p>
    <w:p w14:paraId="0483C341">
      <w:pPr>
        <w:pStyle w:val="3"/>
      </w:pPr>
      <w:r>
        <w:rPr>
          <w:rFonts w:hint="eastAsia"/>
          <w:b/>
          <w:bCs/>
        </w:rPr>
        <w:t>步骤</w:t>
      </w:r>
      <w:r>
        <w:rPr>
          <w:b/>
          <w:bCs/>
        </w:rPr>
        <w:t xml:space="preserve"> </w:t>
      </w:r>
      <w:r>
        <w:rPr>
          <w:rFonts w:hint="eastAsia"/>
          <w:b/>
          <w:bCs/>
        </w:rPr>
        <w:t>6：模拟</w:t>
      </w:r>
      <w:r>
        <w:rPr>
          <w:b/>
          <w:bCs/>
        </w:rPr>
        <w:t xml:space="preserve"> bob </w:t>
      </w:r>
      <w:r>
        <w:rPr>
          <w:rFonts w:hint="eastAsia"/>
          <w:b/>
          <w:bCs/>
        </w:rPr>
        <w:t>触发同步</w:t>
      </w:r>
    </w:p>
    <w:p w14:paraId="1CD8D26F">
      <w:pPr>
        <w:pStyle w:val="3"/>
      </w:pPr>
      <w:r>
        <w:t>argocd login localhost:8080 –username bob –password &lt;token-or-password&gt; argocd app sync bob-app –force</w:t>
      </w:r>
    </w:p>
    <w:p w14:paraId="5A44864A">
      <w:pPr>
        <w:pStyle w:val="3"/>
      </w:pPr>
      <w:r>
        <w:rPr>
          <w:rFonts w:hint="eastAsia"/>
          <w:b/>
          <w:bCs/>
        </w:rPr>
        <w:t>步骤</w:t>
      </w:r>
      <w:r>
        <w:rPr>
          <w:b/>
          <w:bCs/>
        </w:rPr>
        <w:t xml:space="preserve"> </w:t>
      </w:r>
      <w:r>
        <w:rPr>
          <w:rFonts w:hint="eastAsia"/>
          <w:b/>
          <w:bCs/>
        </w:rPr>
        <w:t>7：验证权限提升</w:t>
      </w:r>
    </w:p>
    <w:p w14:paraId="4CF1EB35">
      <w:pPr>
        <w:pStyle w:val="3"/>
      </w:pPr>
      <w:r>
        <w:t>kubectl auth can-i ’*’ ’*’ –as bob</w:t>
      </w:r>
    </w:p>
    <w:tbl>
      <w:tblPr>
        <w:tblStyle w:val="18"/>
        <w:tblW w:w="0" w:type="auto"/>
        <w:jc w:val="center"/>
        <w:tblLayout w:type="autofit"/>
        <w:tblCellMar>
          <w:top w:w="0" w:type="dxa"/>
          <w:left w:w="10" w:type="dxa"/>
          <w:bottom w:w="0" w:type="dxa"/>
          <w:right w:w="10" w:type="dxa"/>
        </w:tblCellMar>
      </w:tblPr>
      <w:tblGrid>
        <w:gridCol w:w="8420"/>
      </w:tblGrid>
      <w:tr w14:paraId="127EA7E2">
        <w:tblPrEx>
          <w:tblCellMar>
            <w:top w:w="0" w:type="dxa"/>
            <w:left w:w="10" w:type="dxa"/>
            <w:bottom w:w="0" w:type="dxa"/>
            <w:right w:w="10" w:type="dxa"/>
          </w:tblCellMar>
        </w:tblPrEx>
        <w:trPr>
          <w:jc w:val="center"/>
        </w:trPr>
        <w:tc>
          <w:p w14:paraId="127A12A7">
            <w:pPr>
              <w:jc w:val="center"/>
            </w:pPr>
            <w:bookmarkStart w:id="183" w:name="fig:cve-2022-24768-poc"/>
            <w:r>
              <w:drawing>
                <wp:inline distT="0" distB="0" distL="114300" distR="114300">
                  <wp:extent cx="5334000" cy="1511300"/>
                  <wp:effectExtent l="0" t="0" r="0" b="0"/>
                  <wp:docPr id="28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descr="image"/>
                          <pic:cNvPicPr>
                            <a:picLocks noChangeAspect="1" noChangeArrowheads="1"/>
                          </pic:cNvPicPr>
                        </pic:nvPicPr>
                        <pic:blipFill>
                          <a:blip r:embed="rId33"/>
                          <a:stretch>
                            <a:fillRect/>
                          </a:stretch>
                        </pic:blipFill>
                        <pic:spPr>
                          <a:xfrm>
                            <a:off x="0" y="0"/>
                            <a:ext cx="5334000" cy="1511494"/>
                          </a:xfrm>
                          <a:prstGeom prst="rect">
                            <a:avLst/>
                          </a:prstGeom>
                          <a:noFill/>
                          <a:ln w="9525">
                            <a:noFill/>
                          </a:ln>
                        </pic:spPr>
                      </pic:pic>
                    </a:graphicData>
                  </a:graphic>
                </wp:inline>
              </w:drawing>
            </w:r>
            <w:r>
              <w:t xml:space="preserve"> </w:t>
            </w:r>
            <w:bookmarkStart w:id="184" w:name="fig:cve-2022-24768-poc"/>
            <w:bookmarkEnd w:id="184"/>
          </w:p>
        </w:tc>
      </w:tr>
      <w:bookmarkEnd w:id="183"/>
      <w:tr w14:paraId="58590C08">
        <w:tblPrEx>
          <w:tblCellMar>
            <w:top w:w="0" w:type="dxa"/>
            <w:left w:w="10" w:type="dxa"/>
            <w:bottom w:w="0" w:type="dxa"/>
            <w:right w:w="10" w:type="dxa"/>
          </w:tblCellMar>
        </w:tblPrEx>
        <w:trPr>
          <w:jc w:val="center"/>
        </w:trPr>
        <w:tc>
          <w:p w14:paraId="2E2D9B19">
            <w:pPr>
              <w:jc w:val="center"/>
            </w:pPr>
            <w:bookmarkStart w:id="185" w:name="fig:cve-2022-24768-chain"/>
            <w:r>
              <w:drawing>
                <wp:inline distT="0" distB="0" distL="114300" distR="114300">
                  <wp:extent cx="5334000" cy="2602230"/>
                  <wp:effectExtent l="0" t="0" r="0" b="0"/>
                  <wp:docPr id="290"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descr="image"/>
                          <pic:cNvPicPr>
                            <a:picLocks noChangeAspect="1" noChangeArrowheads="1"/>
                          </pic:cNvPicPr>
                        </pic:nvPicPr>
                        <pic:blipFill>
                          <a:blip r:embed="rId34"/>
                          <a:stretch>
                            <a:fillRect/>
                          </a:stretch>
                        </pic:blipFill>
                        <pic:spPr>
                          <a:xfrm>
                            <a:off x="0" y="0"/>
                            <a:ext cx="5334000" cy="2602845"/>
                          </a:xfrm>
                          <a:prstGeom prst="rect">
                            <a:avLst/>
                          </a:prstGeom>
                          <a:noFill/>
                          <a:ln w="9525">
                            <a:noFill/>
                          </a:ln>
                        </pic:spPr>
                      </pic:pic>
                    </a:graphicData>
                  </a:graphic>
                </wp:inline>
              </w:drawing>
            </w:r>
            <w:r>
              <w:t xml:space="preserve"> </w:t>
            </w:r>
            <w:bookmarkStart w:id="186" w:name="fig:cve-2022-24768-chain"/>
            <w:bookmarkEnd w:id="186"/>
          </w:p>
        </w:tc>
      </w:tr>
      <w:bookmarkEnd w:id="182"/>
      <w:bookmarkEnd w:id="185"/>
    </w:tbl>
    <w:p w14:paraId="5115057B">
      <w:pPr>
        <w:pStyle w:val="6"/>
      </w:pPr>
      <w:bookmarkStart w:id="187" w:name="安全策略生成"/>
      <w:r>
        <w:rPr>
          <w:rFonts w:hint="eastAsia"/>
        </w:rPr>
        <w:t>安全策略生成</w:t>
      </w:r>
    </w:p>
    <w:p w14:paraId="7F5BFF48">
      <w:pPr>
        <w:pStyle w:val="23"/>
      </w:pPr>
      <w:r>
        <w:rPr>
          <w:rFonts w:hint="eastAsia"/>
        </w:rPr>
        <w:t>该漏洞的攻击面横跨</w:t>
      </w:r>
      <w:r>
        <w:t xml:space="preserve"> K8s </w:t>
      </w:r>
      <w:r>
        <w:rPr>
          <w:rFonts w:hint="eastAsia"/>
        </w:rPr>
        <w:t>集群侧与</w:t>
      </w:r>
      <w:r>
        <w:t xml:space="preserve"> Argo CD </w:t>
      </w:r>
      <w:r>
        <w:rPr>
          <w:rFonts w:hint="eastAsia"/>
        </w:rPr>
        <w:t>应用侧，KPEDefense</w:t>
      </w:r>
      <w:r>
        <w:t xml:space="preserve"> </w:t>
      </w:r>
      <w:r>
        <w:rPr>
          <w:rFonts w:hint="eastAsia"/>
        </w:rPr>
        <w:t>筛选出的最优策略对两个层面均做出覆盖。集群侧通过</w:t>
      </w:r>
      <w:r>
        <w:t xml:space="preserve"> RBAC </w:t>
      </w:r>
      <w:r>
        <w:rPr>
          <w:rFonts w:hint="eastAsia"/>
        </w:rPr>
        <w:t>收敛限制低权主体对高危资源绑定操作的访问；应用侧通过</w:t>
      </w:r>
      <w:r>
        <w:t xml:space="preserve"> Gatekeeper </w:t>
      </w:r>
      <w:r>
        <w:rPr>
          <w:rFonts w:hint="eastAsia"/>
        </w:rPr>
        <w:t>准入规则限制</w:t>
      </w:r>
      <w:r>
        <w:t xml:space="preserve"> AppProject </w:t>
      </w:r>
      <w:r>
        <w:rPr>
          <w:rFonts w:hint="eastAsia"/>
        </w:rPr>
        <w:t>写入，阻止攻击者借助</w:t>
      </w:r>
      <w:r>
        <w:t xml:space="preserve"> sync+override </w:t>
      </w:r>
      <w:r>
        <w:rPr>
          <w:rFonts w:hint="eastAsia"/>
        </w:rPr>
        <w:t>操作创建集群级高权限绑定。Falco</w:t>
      </w:r>
      <w:r>
        <w:t xml:space="preserve"> </w:t>
      </w:r>
      <w:r>
        <w:rPr>
          <w:rFonts w:hint="eastAsia"/>
        </w:rPr>
        <w:t>运行时规则作为补充检测层，对</w:t>
      </w:r>
      <w:r>
        <w:t xml:space="preserve"> cluster-admin </w:t>
      </w:r>
      <w:r>
        <w:rPr>
          <w:rFonts w:hint="eastAsia"/>
        </w:rPr>
        <w:t>级别</w:t>
      </w:r>
      <w:r>
        <w:t xml:space="preserve"> ClusterRoleBinding </w:t>
      </w:r>
      <w:r>
        <w:rPr>
          <w:rFonts w:hint="eastAsia"/>
        </w:rPr>
        <w:t>的创建行为产生实时告警。详细配置如下。</w:t>
      </w:r>
    </w:p>
    <w:p w14:paraId="1C24C803">
      <w:pPr>
        <w:pStyle w:val="3"/>
      </w:pPr>
      <w:r>
        <w:rPr>
          <w:b/>
          <w:bCs/>
        </w:rPr>
        <w:t xml:space="preserve">K8s </w:t>
      </w:r>
      <w:r>
        <w:rPr>
          <w:rFonts w:hint="eastAsia"/>
          <w:b/>
          <w:bCs/>
        </w:rPr>
        <w:t>RBAC：收敛</w:t>
      </w:r>
      <w:r>
        <w:rPr>
          <w:b/>
          <w:bCs/>
        </w:rPr>
        <w:t xml:space="preserve"> AppProject </w:t>
      </w:r>
      <w:r>
        <w:rPr>
          <w:rFonts w:hint="eastAsia"/>
          <w:b/>
          <w:bCs/>
        </w:rPr>
        <w:t>的写权限</w:t>
      </w:r>
    </w:p>
    <w:p w14:paraId="43470668">
      <w:pPr>
        <w:pStyle w:val="3"/>
      </w:pPr>
      <w:r>
        <w:t xml:space="preserve"># </w:t>
      </w:r>
      <w:r>
        <w:rPr>
          <w:rFonts w:hint="eastAsia"/>
        </w:rPr>
        <w:t>可写角色：仅允许平台管理员增删改</w:t>
      </w:r>
      <w:r>
        <w:t xml:space="preserve"> AppProject apiVersion: rbac.authorization.k8s.io/v1 kind: ClusterRole metadata: name: argocd-appproject-edit rules: - apiGroups: ["argoproj.io"] resources: ["appprojects"] verbs: ["get","list","watch","create","update","patch","delete"] — # </w:t>
      </w:r>
      <w:r>
        <w:rPr>
          <w:rFonts w:hint="eastAsia"/>
        </w:rPr>
        <w:t>只读角色：租户默认权限，防止低权主体写入</w:t>
      </w:r>
      <w:r>
        <w:t xml:space="preserve"> AppProject apiVersion: rbac.authorization.k8s.io/v1 kind: ClusterRole metadata: name: argocd-appproject-readonly rules: - apiGroups: ["argoproj.io"] resources: ["appprojects"] verbs: ["get","list","watch"] — # </w:t>
      </w:r>
      <w:r>
        <w:rPr>
          <w:rFonts w:hint="eastAsia"/>
        </w:rPr>
        <w:t>绑定：平台管理员组</w:t>
      </w:r>
      <w:r>
        <w:t xml:space="preserve"> -&gt; </w:t>
      </w:r>
      <w:r>
        <w:rPr>
          <w:rFonts w:hint="eastAsia"/>
        </w:rPr>
        <w:t>可写角色</w:t>
      </w:r>
      <w:r>
        <w:t xml:space="preserve"> apiVersion: rbac.authorization.k8s.io/v1 kind: ClusterRoleBinding metadata: name: argocd-appproject-edit-platform-admins roleRef: apiGroup: rbac.authorization.k8s.io kind: ClusterRole name: argocd-appproject-edit subjects: - kind: Group name: argo:platform-admin apiGroup: rbac.authorization.k8s.io — # </w:t>
      </w:r>
      <w:r>
        <w:rPr>
          <w:rFonts w:hint="eastAsia"/>
        </w:rPr>
        <w:t>绑定：租户只读组</w:t>
      </w:r>
      <w:r>
        <w:t xml:space="preserve"> -&gt; </w:t>
      </w:r>
      <w:r>
        <w:rPr>
          <w:rFonts w:hint="eastAsia"/>
        </w:rPr>
        <w:t>只读角色</w:t>
      </w:r>
      <w:r>
        <w:t xml:space="preserve"> apiVersion: rbac.authorization.k8s.io/v1 kind: ClusterRoleBinding metadata: name: argocd-appproject-readonly-tenants roleRef: apiGroup: rbac.authorization.k8s.io kind: ClusterRole name: argocd-appproject-readonly subjects: - kind: Group name: argo:tenant-readonly apiGroup: rbac.authorization.k8s.io</w:t>
      </w:r>
    </w:p>
    <w:p w14:paraId="5A45EB82">
      <w:pPr>
        <w:pStyle w:val="3"/>
      </w:pPr>
      <w:r>
        <w:rPr>
          <w:b/>
          <w:bCs/>
        </w:rPr>
        <w:t xml:space="preserve">Argo CD </w:t>
      </w:r>
      <w:r>
        <w:rPr>
          <w:rFonts w:hint="eastAsia"/>
          <w:b/>
          <w:bCs/>
        </w:rPr>
        <w:t>RBAC：默认只读</w:t>
      </w:r>
      <w:r>
        <w:rPr>
          <w:b/>
          <w:bCs/>
        </w:rPr>
        <w:t xml:space="preserve"> + </w:t>
      </w:r>
      <w:r>
        <w:rPr>
          <w:rFonts w:hint="eastAsia"/>
          <w:b/>
          <w:bCs/>
        </w:rPr>
        <w:t>高风险能力隔离</w:t>
      </w:r>
    </w:p>
    <w:p w14:paraId="3BDE4A39">
      <w:pPr>
        <w:pStyle w:val="3"/>
      </w:pPr>
      <w:r>
        <w:t xml:space="preserve">apiVersion: v1 kind: ConfigMap metadata: name: argocd-rbac-cm namespace: argocd data: policy.csv: | # </w:t>
      </w:r>
      <w:r>
        <w:rPr>
          <w:rFonts w:hint="eastAsia"/>
        </w:rPr>
        <w:t>组到角色映射</w:t>
      </w:r>
      <w:r>
        <w:t xml:space="preserve"> g, argo:platform-admin, role:admin g, argo:tenant-readonly, role:readonly</w:t>
      </w:r>
    </w:p>
    <w:p w14:paraId="7A354A2A">
      <w:pPr>
        <w:pStyle w:val="3"/>
      </w:pPr>
      <w:r>
        <w:t xml:space="preserve"># </w:t>
      </w:r>
      <w:r>
        <w:rPr>
          <w:rFonts w:hint="eastAsia"/>
        </w:rPr>
        <w:t>管理员：允许所有操作，含</w:t>
      </w:r>
      <w:r>
        <w:t xml:space="preserve"> </w:t>
      </w:r>
      <w:r>
        <w:rPr>
          <w:rFonts w:hint="eastAsia"/>
        </w:rPr>
        <w:t>exec（远程执行）与</w:t>
      </w:r>
      <w:r>
        <w:t xml:space="preserve"> logs p, role:admin, projects, *, *, allow p, role:admin, repositories, *, *, allow p, role:admin, clusters, *, *, allow p, role:admin, applications, *, *, allow p, role:admin, exec, *, *, allow p, role:admin, logs, *, *, allow</w:t>
      </w:r>
    </w:p>
    <w:p w14:paraId="69ED4B5B">
      <w:pPr>
        <w:pStyle w:val="3"/>
      </w:pPr>
      <w:r>
        <w:t xml:space="preserve"># </w:t>
      </w:r>
      <w:r>
        <w:rPr>
          <w:rFonts w:hint="eastAsia"/>
        </w:rPr>
        <w:t>只读角色：仅允许</w:t>
      </w:r>
      <w:r>
        <w:t xml:space="preserve"> </w:t>
      </w:r>
      <w:r>
        <w:rPr>
          <w:rFonts w:hint="eastAsia"/>
        </w:rPr>
        <w:t>get，显式拒绝</w:t>
      </w:r>
      <w:r>
        <w:t xml:space="preserve"> </w:t>
      </w:r>
      <w:r>
        <w:rPr>
          <w:rFonts w:hint="eastAsia"/>
        </w:rPr>
        <w:t>exec（防止借助控制平面执行任意命令）</w:t>
      </w:r>
      <w:r>
        <w:t xml:space="preserve"> p, role:readonly, applications, get, *, allow p, role:readonly, repositories, get, *, allow p, role:readonly, projects, get, *, allow p, role:readonly, clusters, get, *, allow p, role:readonly, logs, get, *, allow p, role:readonly, exec, *, *, deny policy.default: role:readonly # </w:t>
      </w:r>
      <w:r>
        <w:rPr>
          <w:rFonts w:hint="eastAsia"/>
        </w:rPr>
        <w:t>未命中任何规则时默认只读</w:t>
      </w:r>
    </w:p>
    <w:p w14:paraId="677A7A36">
      <w:pPr>
        <w:pStyle w:val="3"/>
      </w:pPr>
      <w:r>
        <w:rPr>
          <w:rFonts w:hint="eastAsia"/>
          <w:b/>
          <w:bCs/>
        </w:rPr>
        <w:t>准入控制：Gatekeeper(推荐)</w:t>
      </w:r>
      <w:bookmarkStart w:id="188" w:name="app:cve-2022-24768-gatekeeper"/>
      <w:bookmarkEnd w:id="188"/>
    </w:p>
    <w:p w14:paraId="34B3933E">
      <w:pPr>
        <w:pStyle w:val="3"/>
      </w:pPr>
      <w:r>
        <w:rPr>
          <w:b/>
          <w:bCs/>
        </w:rPr>
        <w:t>Constraint</w:t>
      </w:r>
    </w:p>
    <w:p w14:paraId="5C29F0AB">
      <w:pPr>
        <w:pStyle w:val="3"/>
      </w:pPr>
      <w:r>
        <w:t>apiVersion: constraints.gatekeeper.sh/v1beta1 kind: K8sArgoCDAppProjectPolicies metadata: name: restrict-argocd-appproject-policies spec: match: kinds: - apiGroups: ["argoproj.io"] kinds: ["AppProject"] parameters: enforceProjPrefix: true</w:t>
      </w:r>
    </w:p>
    <w:p w14:paraId="5E65994F">
      <w:pPr>
        <w:pStyle w:val="3"/>
      </w:pPr>
      <w:r>
        <w:rPr>
          <w:rFonts w:hint="eastAsia"/>
          <w:b/>
          <w:bCs/>
        </w:rPr>
        <w:t>准入控制：Kyverno(替代方案)</w:t>
      </w:r>
      <w:bookmarkStart w:id="189" w:name="app:cve-2022-24768-kyverno"/>
      <w:bookmarkEnd w:id="189"/>
    </w:p>
    <w:p w14:paraId="5E8480B9">
      <w:pPr>
        <w:pStyle w:val="3"/>
      </w:pPr>
      <w:r>
        <w:rPr>
          <w:rFonts w:hint="eastAsia"/>
          <w:b/>
          <w:bCs/>
        </w:rPr>
        <w:t>运行时检测：Falco</w:t>
      </w:r>
      <w:r>
        <w:rPr>
          <w:b/>
          <w:bCs/>
        </w:rPr>
        <w:t xml:space="preserve"> </w:t>
      </w:r>
      <w:r>
        <w:rPr>
          <w:rFonts w:hint="eastAsia"/>
          <w:b/>
          <w:bCs/>
        </w:rPr>
        <w:t>规则</w:t>
      </w:r>
    </w:p>
    <w:p w14:paraId="75F92D3B">
      <w:pPr>
        <w:pStyle w:val="3"/>
      </w:pPr>
      <w:r>
        <w:t xml:space="preserve"># </w:t>
      </w:r>
      <w:r>
        <w:rPr>
          <w:rFonts w:hint="eastAsia"/>
        </w:rPr>
        <w:t>监控：检测将</w:t>
      </w:r>
      <w:r>
        <w:t xml:space="preserve"> ClusterRoleBinding </w:t>
      </w:r>
      <w:r>
        <w:rPr>
          <w:rFonts w:hint="eastAsia"/>
        </w:rPr>
        <w:t>绑定至</w:t>
      </w:r>
      <w:r>
        <w:t xml:space="preserve"> cluster-admin </w:t>
      </w:r>
      <w:r>
        <w:rPr>
          <w:rFonts w:hint="eastAsia"/>
        </w:rPr>
        <w:t>的高危操作</w:t>
      </w:r>
      <w:r>
        <w:t xml:space="preserve"> # </w:t>
      </w:r>
      <w:r>
        <w:rPr>
          <w:rFonts w:hint="eastAsia"/>
        </w:rPr>
        <w:t>触发条件：K8s</w:t>
      </w:r>
      <w:r>
        <w:t xml:space="preserve"> </w:t>
      </w:r>
      <w:r>
        <w:rPr>
          <w:rFonts w:hint="eastAsia"/>
        </w:rPr>
        <w:t>审计事件中创建了引用</w:t>
      </w:r>
      <w:r>
        <w:t xml:space="preserve"> cluster-admin </w:t>
      </w:r>
      <w:r>
        <w:rPr>
          <w:rFonts w:hint="eastAsia"/>
        </w:rPr>
        <w:t>的</w:t>
      </w:r>
      <w:r>
        <w:t xml:space="preserve"> ClusterRoleBinding - rule: Detect ClusterRoleBinding to cluster-admin desc: &gt; Detects creation of ClusterRoleBinding that references cluster-admin ClusterRole, which may indicate privilege escalation via Argo CD sync. condition: &gt; kevt and kcreate and ka.target.resource = "clusterrolebindings" and ka.req.binding.role = "cluster-admin" output: &gt; ClusterRoleBinding to cluster-admin created (user= role= priority: CRITICAL # </w:t>
      </w:r>
      <w:r>
        <w:rPr>
          <w:rFonts w:hint="eastAsia"/>
        </w:rPr>
        <w:t>最高优先级，触发即需响应</w:t>
      </w:r>
      <w:r>
        <w:t xml:space="preserve"> source: K8s_audit tags: [K8s, privilege_escalation, cve-2022-24768]</w:t>
      </w:r>
    </w:p>
    <w:bookmarkEnd w:id="187"/>
    <w:p w14:paraId="366A26C6">
      <w:pPr>
        <w:pStyle w:val="6"/>
      </w:pPr>
      <w:bookmarkStart w:id="190" w:name="安全策略验证"/>
      <w:r>
        <w:rPr>
          <w:rFonts w:hint="eastAsia"/>
        </w:rPr>
        <w:t>(3)安全策略验证</w:t>
      </w:r>
    </w:p>
    <w:p w14:paraId="7AB33A31">
      <w:pPr>
        <w:pStyle w:val="23"/>
      </w:pPr>
      <w:r>
        <w:rPr>
          <w:rFonts w:hint="eastAsia"/>
        </w:rPr>
        <w:t>将最优策略集合部署至实验集群后，以</w:t>
      </w:r>
      <w:r>
        <w:t xml:space="preserve"> bob </w:t>
      </w:r>
      <w:r>
        <w:rPr>
          <w:rFonts w:hint="eastAsia"/>
        </w:rPr>
        <w:t>账户重执行漏洞复现步骤，对有效性、无干扰性与可部署性三个维度逐项验证。</w:t>
      </w:r>
    </w:p>
    <w:p w14:paraId="6D693117">
      <w:pPr>
        <w:pStyle w:val="3"/>
      </w:pPr>
      <w:r>
        <w:rPr>
          <w:rFonts w:hint="eastAsia"/>
          <w:b/>
          <w:bCs/>
        </w:rPr>
        <w:t>有效性：</w:t>
      </w:r>
      <w:r>
        <w:t xml:space="preserve"> </w:t>
      </w:r>
      <w:r>
        <w:rPr>
          <w:rFonts w:hint="eastAsia"/>
        </w:rPr>
        <w:t>策略部署后，触发对恶意</w:t>
      </w:r>
      <w:r>
        <w:t xml:space="preserve"> RBAC </w:t>
      </w:r>
      <w:r>
        <w:rPr>
          <w:rFonts w:hint="eastAsia"/>
        </w:rPr>
        <w:t>绑定的同步请求被准入控制拒绝；执行</w:t>
      </w:r>
      <w:r>
        <w:t xml:space="preserve"> kubectl auth can-i ’*’ ’*’ –as bob </w:t>
      </w:r>
      <w:r>
        <w:rPr>
          <w:rFonts w:hint="eastAsia"/>
        </w:rPr>
        <w:t>返回</w:t>
      </w:r>
      <w:r>
        <w:t xml:space="preserve"> </w:t>
      </w:r>
      <w:r>
        <w:rPr>
          <w:rFonts w:hint="eastAsia"/>
        </w:rPr>
        <w:t>no，权限提升路径关闭。K8s</w:t>
      </w:r>
      <w:r>
        <w:t xml:space="preserve"> RBAC </w:t>
      </w:r>
      <w:r>
        <w:rPr>
          <w:rFonts w:hint="eastAsia"/>
        </w:rPr>
        <w:t>收敛后</w:t>
      </w:r>
      <w:r>
        <w:t xml:space="preserve"> bob </w:t>
      </w:r>
      <w:r>
        <w:rPr>
          <w:rFonts w:hint="eastAsia"/>
        </w:rPr>
        <w:t>对</w:t>
      </w:r>
      <w:r>
        <w:t xml:space="preserve"> AppProject </w:t>
      </w:r>
      <w:r>
        <w:rPr>
          <w:rFonts w:hint="eastAsia"/>
        </w:rPr>
        <w:t>的写入同样被拒绝，进而限制了通过修改项目策略绕过准入规则的路径。</w:t>
      </w:r>
    </w:p>
    <w:p w14:paraId="6E518D80">
      <w:pPr>
        <w:pStyle w:val="3"/>
      </w:pPr>
      <w:r>
        <w:rPr>
          <w:rFonts w:hint="eastAsia"/>
          <w:b/>
          <w:bCs/>
        </w:rPr>
        <w:t>无干扰性：</w:t>
      </w:r>
      <w:r>
        <w:t xml:space="preserve"> </w:t>
      </w:r>
      <w:r>
        <w:rPr>
          <w:rFonts w:hint="eastAsia"/>
        </w:rPr>
        <w:t>策略收紧范围限于高危操作(override、exec</w:t>
      </w:r>
      <w:r>
        <w:t xml:space="preserve"> </w:t>
      </w:r>
      <w:r>
        <w:rPr>
          <w:rFonts w:hint="eastAsia"/>
        </w:rPr>
        <w:t>等)及</w:t>
      </w:r>
      <w:r>
        <w:t xml:space="preserve"> AppProject </w:t>
      </w:r>
      <w:r>
        <w:rPr>
          <w:rFonts w:hint="eastAsia"/>
        </w:rPr>
        <w:t>写入，项目内合规同步操作未受影响。准入控制规则先以审计模式运行，确认无合规清单误拦截后切换至强制模式。</w:t>
      </w:r>
    </w:p>
    <w:p w14:paraId="58AAD592">
      <w:pPr>
        <w:pStyle w:val="3"/>
      </w:pPr>
      <w:r>
        <w:rPr>
          <w:rFonts w:hint="eastAsia"/>
          <w:b/>
          <w:bCs/>
        </w:rPr>
        <w:t>可部署性：</w:t>
      </w:r>
      <w:r>
        <w:t xml:space="preserve"> RBAC </w:t>
      </w:r>
      <w:r>
        <w:rPr>
          <w:rFonts w:hint="eastAsia"/>
        </w:rPr>
        <w:t>策略与</w:t>
      </w:r>
      <w:r>
        <w:t xml:space="preserve"> Argo CD </w:t>
      </w:r>
      <w:r>
        <w:rPr>
          <w:rFonts w:hint="eastAsia"/>
        </w:rPr>
        <w:t>配置均以</w:t>
      </w:r>
      <w:r>
        <w:t xml:space="preserve"> YAML </w:t>
      </w:r>
      <w:r>
        <w:rPr>
          <w:rFonts w:hint="eastAsia"/>
        </w:rPr>
        <w:t>形式纳入</w:t>
      </w:r>
      <w:r>
        <w:t xml:space="preserve"> Git </w:t>
      </w:r>
      <w:r>
        <w:rPr>
          <w:rFonts w:hint="eastAsia"/>
        </w:rPr>
        <w:t>基线，通过</w:t>
      </w:r>
      <w:r>
        <w:t xml:space="preserve"> kubectl apply </w:t>
      </w:r>
      <w:r>
        <w:rPr>
          <w:rFonts w:hint="eastAsia"/>
        </w:rPr>
        <w:t>一步部署，实验集群中无冲突落地。Gatekeeper</w:t>
      </w:r>
      <w:r>
        <w:t xml:space="preserve"> </w:t>
      </w:r>
      <w:r>
        <w:rPr>
          <w:rFonts w:hint="eastAsia"/>
        </w:rPr>
        <w:t>规则可模板化复用于多集群场景。</w:t>
      </w:r>
    </w:p>
    <w:p w14:paraId="0132F948">
      <w:pPr>
        <w:pStyle w:val="3"/>
      </w:pPr>
      <w:r>
        <w:rPr>
          <w:rFonts w:hint="eastAsia"/>
        </w:rPr>
        <w:t>就</w:t>
      </w:r>
      <w:r>
        <w:t xml:space="preserve"> CVE-2022-24768 </w:t>
      </w:r>
      <w:r>
        <w:rPr>
          <w:rFonts w:hint="eastAsia"/>
        </w:rPr>
        <w:t>而言，KPEDefense</w:t>
      </w:r>
      <w:r>
        <w:t xml:space="preserve"> </w:t>
      </w:r>
      <w:r>
        <w:rPr>
          <w:rFonts w:hint="eastAsia"/>
        </w:rPr>
        <w:t>筛选的最优策略组合在三维验证中通过。K8s</w:t>
      </w:r>
      <w:r>
        <w:t xml:space="preserve"> RBAC </w:t>
      </w:r>
      <w:r>
        <w:rPr>
          <w:rFonts w:hint="eastAsia"/>
        </w:rPr>
        <w:t>收敛与准入控制协同后，低权用户借助</w:t>
      </w:r>
      <w:r>
        <w:t xml:space="preserve"> sync+override </w:t>
      </w:r>
      <w:r>
        <w:rPr>
          <w:rFonts w:hint="eastAsia"/>
        </w:rPr>
        <w:t>诱导控制平面创建集群级高权限绑定的路径被关闭。该方案可作为版本升级前的补充缓解措施，最终仍需升级至官方补丁版本</w:t>
      </w:r>
      <w:r>
        <w:t xml:space="preserve"> 2.1.14、2.2.8 </w:t>
      </w:r>
      <w:r>
        <w:rPr>
          <w:rFonts w:hint="eastAsia"/>
        </w:rPr>
        <w:t>或</w:t>
      </w:r>
      <w:r>
        <w:t xml:space="preserve"> 2.3.2。</w:t>
      </w:r>
    </w:p>
    <w:bookmarkEnd w:id="181"/>
    <w:bookmarkEnd w:id="190"/>
    <w:p w14:paraId="08BDD666">
      <w:pPr>
        <w:pStyle w:val="5"/>
      </w:pPr>
      <w:bookmarkStart w:id="191" w:name="app:cve-2025-2241"/>
      <w:r>
        <w:rPr>
          <w:rFonts w:hint="eastAsia"/>
        </w:rPr>
        <w:t>案例二：CVE-2025-2241</w:t>
      </w:r>
      <w:r>
        <w:t xml:space="preserve"> </w:t>
      </w:r>
      <w:r>
        <w:rPr>
          <w:rFonts w:hint="eastAsia"/>
        </w:rPr>
        <w:t>敏感信息泄露</w:t>
      </w:r>
    </w:p>
    <w:p w14:paraId="013D62A6">
      <w:pPr>
        <w:pStyle w:val="6"/>
      </w:pPr>
      <w:bookmarkStart w:id="192" w:name="漏洞复现-1"/>
      <w:r>
        <w:rPr>
          <w:rFonts w:hint="eastAsia"/>
        </w:rPr>
        <w:t>漏洞复现</w:t>
      </w:r>
    </w:p>
    <w:p w14:paraId="12A54DCE">
      <w:pPr>
        <w:pStyle w:val="23"/>
      </w:pPr>
      <w:r>
        <w:t xml:space="preserve">Hive </w:t>
      </w:r>
      <w:r>
        <w:rPr>
          <w:rFonts w:hint="eastAsia"/>
        </w:rPr>
        <w:t>是</w:t>
      </w:r>
      <w:r>
        <w:t xml:space="preserve"> Red Hat Multicluster </w:t>
      </w:r>
      <w:r>
        <w:rPr>
          <w:rFonts w:hint="eastAsia"/>
        </w:rPr>
        <w:t>Engine(MCE)与</w:t>
      </w:r>
      <w:r>
        <w:t xml:space="preserve"> Advanced Cluster </w:t>
      </w:r>
      <w:r>
        <w:rPr>
          <w:rFonts w:hint="eastAsia"/>
        </w:rPr>
        <w:t>Management(ACM)中的集群生命周期管理组件，常用于在多集群场景下自动化创建与托管</w:t>
      </w:r>
      <w:r>
        <w:t xml:space="preserve"> OpenShift/Kubernetes </w:t>
      </w:r>
      <w:r>
        <w:rPr>
          <w:rFonts w:hint="eastAsia"/>
        </w:rPr>
        <w:t>集群。在</w:t>
      </w:r>
      <w:r>
        <w:t xml:space="preserve"> vSphere </w:t>
      </w:r>
      <w:r>
        <w:rPr>
          <w:rFonts w:hint="eastAsia"/>
        </w:rPr>
        <w:t>场景中，Hive</w:t>
      </w:r>
      <w:r>
        <w:t xml:space="preserve"> </w:t>
      </w:r>
      <w:r>
        <w:rPr>
          <w:rFonts w:hint="eastAsia"/>
        </w:rPr>
        <w:t>需要使用</w:t>
      </w:r>
      <w:r>
        <w:t xml:space="preserve"> vCenter </w:t>
      </w:r>
      <w:r>
        <w:rPr>
          <w:rFonts w:hint="eastAsia"/>
        </w:rPr>
        <w:t>凭据完成集群的基础设施供应与后续管理。</w:t>
      </w:r>
    </w:p>
    <w:p w14:paraId="2F822AD8">
      <w:pPr>
        <w:pStyle w:val="3"/>
      </w:pPr>
      <w:r>
        <w:rPr>
          <w:b/>
          <w:bCs/>
        </w:rPr>
        <w:t xml:space="preserve">CVE </w:t>
      </w:r>
      <w:r>
        <w:rPr>
          <w:rFonts w:hint="eastAsia"/>
          <w:b/>
          <w:bCs/>
        </w:rPr>
        <w:t>描述</w:t>
      </w:r>
      <w:r>
        <w:rPr>
          <w:rFonts w:hint="eastAsia"/>
        </w:rPr>
        <w:t>：CVE-2025-2241</w:t>
      </w:r>
      <w:r>
        <w:t xml:space="preserve"> </w:t>
      </w:r>
      <w:r>
        <w:rPr>
          <w:rFonts w:hint="eastAsia"/>
        </w:rPr>
        <w:t>指出</w:t>
      </w:r>
      <w:r>
        <w:t xml:space="preserve"> Hive </w:t>
      </w:r>
      <w:r>
        <w:rPr>
          <w:rFonts w:hint="eastAsia"/>
        </w:rPr>
        <w:t>在完成</w:t>
      </w:r>
      <w:r>
        <w:t xml:space="preserve"> vSphere </w:t>
      </w:r>
      <w:r>
        <w:rPr>
          <w:rFonts w:hint="eastAsia"/>
        </w:rPr>
        <w:t>集群供应后，会将</w:t>
      </w:r>
      <w:r>
        <w:t xml:space="preserve"> vCenter </w:t>
      </w:r>
      <w:r>
        <w:rPr>
          <w:rFonts w:hint="eastAsia"/>
        </w:rPr>
        <w:t>凭据暴露在</w:t>
      </w:r>
      <w:r>
        <w:t xml:space="preserve"> </w:t>
      </w:r>
      <w:r>
        <w:rPr>
          <w:rStyle w:val="48"/>
        </w:rPr>
        <w:t>ClusterProvision</w:t>
      </w:r>
      <w:r>
        <w:t xml:space="preserve"> </w:t>
      </w:r>
      <w:r>
        <w:rPr>
          <w:rFonts w:hint="eastAsia"/>
        </w:rPr>
        <w:t>对象中。由于</w:t>
      </w:r>
      <w:r>
        <w:t xml:space="preserve"> </w:t>
      </w:r>
      <w:r>
        <w:rPr>
          <w:rStyle w:val="48"/>
        </w:rPr>
        <w:t>ClusterProvision</w:t>
      </w:r>
      <w:r>
        <w:t xml:space="preserve"> </w:t>
      </w:r>
      <w:r>
        <w:rPr>
          <w:rFonts w:hint="eastAsia"/>
        </w:rPr>
        <w:t>属于自定义资源，拥有其</w:t>
      </w:r>
      <w:r>
        <w:rPr>
          <w:rFonts w:hint="eastAsia"/>
          <w:b/>
          <w:bCs/>
        </w:rPr>
        <w:t>读取权限</w:t>
      </w:r>
      <w:r>
        <w:rPr>
          <w:rFonts w:hint="eastAsia"/>
        </w:rPr>
        <w:t>的用户可直接从该对象中提取敏感凭据，即使该用户并不具备对</w:t>
      </w:r>
      <w:r>
        <w:t xml:space="preserve"> Kubernetes </w:t>
      </w:r>
      <w:r>
        <w:rPr>
          <w:rStyle w:val="48"/>
        </w:rPr>
        <w:t>Secret</w:t>
      </w:r>
      <w:r>
        <w:t xml:space="preserve"> </w:t>
      </w:r>
      <w:r>
        <w:rPr>
          <w:rFonts w:hint="eastAsia"/>
        </w:rPr>
        <w:t>的访问权限。该问题会导致未授权</w:t>
      </w:r>
      <w:r>
        <w:t xml:space="preserve"> vCenter </w:t>
      </w:r>
      <w:r>
        <w:rPr>
          <w:rFonts w:hint="eastAsia"/>
        </w:rPr>
        <w:t>访问、基础设施与集群管理风险，并可能进一步演化为权限提升。</w:t>
      </w:r>
    </w:p>
    <w:p w14:paraId="5C4005CA">
      <w:pPr>
        <w:pStyle w:val="3"/>
      </w:pPr>
      <w:r>
        <w:rPr>
          <w:rFonts w:hint="eastAsia"/>
          <w:b/>
          <w:bCs/>
        </w:rPr>
        <w:t>主要成因分类</w:t>
      </w:r>
      <w:r>
        <w:rPr>
          <w:rFonts w:hint="eastAsia"/>
        </w:rPr>
        <w:t>：敏感信息泄露</w:t>
      </w:r>
      <w:r>
        <w:t xml:space="preserve"> / API </w:t>
      </w:r>
      <w:r>
        <w:rPr>
          <w:rFonts w:hint="eastAsia"/>
        </w:rPr>
        <w:t>端口暴露。该漏洞的直接表现是敏感数据出现在可读的</w:t>
      </w:r>
      <w:r>
        <w:t xml:space="preserve"> CR </w:t>
      </w:r>
      <w:r>
        <w:rPr>
          <w:rFonts w:hint="eastAsia"/>
        </w:rPr>
        <w:t>状态字段中，形成对</w:t>
      </w:r>
      <w:r>
        <w:t xml:space="preserve"> </w:t>
      </w:r>
      <w:r>
        <w:rPr>
          <w:rStyle w:val="48"/>
        </w:rPr>
        <w:t>Secret</w:t>
      </w:r>
      <w:r>
        <w:t xml:space="preserve"> </w:t>
      </w:r>
      <w:r>
        <w:rPr>
          <w:rFonts w:hint="eastAsia"/>
        </w:rPr>
        <w:t>隔离边界的旁路。</w:t>
      </w:r>
    </w:p>
    <w:p w14:paraId="17A6EA05">
      <w:pPr>
        <w:pStyle w:val="3"/>
      </w:pPr>
      <w:r>
        <w:rPr>
          <w:rFonts w:hint="eastAsia"/>
          <w:b/>
          <w:bCs/>
        </w:rPr>
        <w:t>攻击链条描述</w:t>
      </w:r>
      <w:r>
        <w:rPr>
          <w:rFonts w:hint="eastAsia"/>
        </w:rPr>
        <w:t>：攻击链可概括为</w:t>
      </w:r>
      <w:r>
        <w:t xml:space="preserve"> </w:t>
      </w:r>
      <w:r>
        <w:rPr>
          <w:rStyle w:val="48"/>
        </w:rPr>
        <w:t>Secret</w:t>
      </w:r>
      <w:r>
        <w:t xml:space="preserve"> </w:t>
      </w:r>
      <w:r>
        <w:rPr>
          <w:rFonts w:hint="eastAsia"/>
        </w:rPr>
        <w:t>隔离被</w:t>
      </w:r>
      <w:r>
        <w:t xml:space="preserve"> CR </w:t>
      </w:r>
      <w:r>
        <w:rPr>
          <w:rFonts w:hint="eastAsia"/>
        </w:rPr>
        <w:t>可读性绕过：</w:t>
      </w:r>
    </w:p>
    <w:p w14:paraId="34F5A76C">
      <w:pPr>
        <w:numPr>
          <w:ilvl w:val="0"/>
          <w:numId w:val="10"/>
        </w:numPr>
      </w:pPr>
      <w:r>
        <w:rPr>
          <w:rFonts w:hint="eastAsia"/>
          <w:b/>
          <w:bCs/>
        </w:rPr>
        <w:t>权限前置阶段</w:t>
      </w:r>
      <w:r>
        <w:rPr>
          <w:rFonts w:hint="eastAsia"/>
        </w:rPr>
        <w:t>：攻击者拥有对</w:t>
      </w:r>
      <w:r>
        <w:t xml:space="preserve"> </w:t>
      </w:r>
      <w:r>
        <w:rPr>
          <w:rStyle w:val="48"/>
        </w:rPr>
        <w:t>ClusterProvision</w:t>
      </w:r>
      <w:r>
        <w:t xml:space="preserve"> </w:t>
      </w:r>
      <w:r>
        <w:rPr>
          <w:rFonts w:hint="eastAsia"/>
        </w:rPr>
        <w:t>的</w:t>
      </w:r>
      <w:r>
        <w:t xml:space="preserve"> </w:t>
      </w:r>
      <w:r>
        <w:rPr>
          <w:rStyle w:val="48"/>
        </w:rPr>
        <w:t>get/list/watch</w:t>
      </w:r>
      <w:r>
        <w:t xml:space="preserve"> </w:t>
      </w:r>
      <w:r>
        <w:rPr>
          <w:rFonts w:hint="eastAsia"/>
        </w:rPr>
        <w:t>权限，通常来自聚合角色</w:t>
      </w:r>
      <w:r>
        <w:t xml:space="preserve"> </w:t>
      </w:r>
      <w:r>
        <w:rPr>
          <w:rStyle w:val="48"/>
        </w:rPr>
        <w:t>view/edit</w:t>
      </w:r>
      <w:r>
        <w:t xml:space="preserve"> </w:t>
      </w:r>
      <w:r>
        <w:rPr>
          <w:rFonts w:hint="eastAsia"/>
        </w:rPr>
        <w:t>或错误的绑定；</w:t>
      </w:r>
    </w:p>
    <w:p w14:paraId="4B27B305">
      <w:pPr>
        <w:numPr>
          <w:ilvl w:val="0"/>
          <w:numId w:val="10"/>
        </w:numPr>
      </w:pPr>
      <w:r>
        <w:rPr>
          <w:rFonts w:hint="eastAsia"/>
          <w:b/>
          <w:bCs/>
        </w:rPr>
        <w:t>数据旁路阶段</w:t>
      </w:r>
      <w:r>
        <w:rPr>
          <w:rFonts w:hint="eastAsia"/>
        </w:rPr>
        <w:t>：Hive</w:t>
      </w:r>
      <w:r>
        <w:t xml:space="preserve"> </w:t>
      </w:r>
      <w:r>
        <w:rPr>
          <w:rFonts w:hint="eastAsia"/>
        </w:rPr>
        <w:t>将</w:t>
      </w:r>
      <w:r>
        <w:t xml:space="preserve"> vCenter </w:t>
      </w:r>
      <w:r>
        <w:rPr>
          <w:rFonts w:hint="eastAsia"/>
        </w:rPr>
        <w:t>凭据写入</w:t>
      </w:r>
      <w:r>
        <w:t xml:space="preserve"> </w:t>
      </w:r>
      <w:r>
        <w:rPr>
          <w:rStyle w:val="48"/>
        </w:rPr>
        <w:t>ClusterProvision</w:t>
      </w:r>
      <w:r>
        <w:rPr>
          <w:rFonts w:hint="eastAsia"/>
        </w:rPr>
        <w:t>，位于</w:t>
      </w:r>
      <w:r>
        <w:t xml:space="preserve"> </w:t>
      </w:r>
      <w:r>
        <w:rPr>
          <w:rStyle w:val="48"/>
        </w:rPr>
        <w:t>status</w:t>
      </w:r>
      <w:r>
        <w:t xml:space="preserve"> </w:t>
      </w:r>
      <w:r>
        <w:rPr>
          <w:rFonts w:hint="eastAsia"/>
        </w:rPr>
        <w:t>字段；</w:t>
      </w:r>
    </w:p>
    <w:p w14:paraId="4F2B9782">
      <w:pPr>
        <w:numPr>
          <w:ilvl w:val="0"/>
          <w:numId w:val="10"/>
        </w:numPr>
      </w:pPr>
      <w:r>
        <w:rPr>
          <w:rFonts w:hint="eastAsia"/>
          <w:b/>
          <w:bCs/>
        </w:rPr>
        <w:t>凭据提取阶段</w:t>
      </w:r>
      <w:r>
        <w:rPr>
          <w:rFonts w:hint="eastAsia"/>
        </w:rPr>
        <w:t>：攻击者通过读取</w:t>
      </w:r>
      <w:r>
        <w:t xml:space="preserve"> CR YAML/JSON </w:t>
      </w:r>
      <w:r>
        <w:rPr>
          <w:rFonts w:hint="eastAsia"/>
        </w:rPr>
        <w:t>直接获得凭据；</w:t>
      </w:r>
    </w:p>
    <w:p w14:paraId="281D6641">
      <w:pPr>
        <w:numPr>
          <w:ilvl w:val="0"/>
          <w:numId w:val="10"/>
        </w:numPr>
      </w:pPr>
      <w:r>
        <w:rPr>
          <w:rFonts w:hint="eastAsia"/>
          <w:b/>
          <w:bCs/>
        </w:rPr>
        <w:t>后续风险阶段</w:t>
      </w:r>
      <w:r>
        <w:rPr>
          <w:rFonts w:hint="eastAsia"/>
        </w:rPr>
        <w:t>：利用</w:t>
      </w:r>
      <w:r>
        <w:t xml:space="preserve"> vCenter </w:t>
      </w:r>
      <w:r>
        <w:rPr>
          <w:rFonts w:hint="eastAsia"/>
        </w:rPr>
        <w:t>凭据对虚拟化平台执行未授权操作，进而影响集群节点与工作负载，造成横向移动或权限提升。</w:t>
      </w:r>
    </w:p>
    <w:tbl>
      <w:tblPr>
        <w:tblStyle w:val="18"/>
        <w:tblW w:w="0" w:type="auto"/>
        <w:jc w:val="center"/>
        <w:tblLayout w:type="autofit"/>
        <w:tblCellMar>
          <w:top w:w="0" w:type="dxa"/>
          <w:left w:w="10" w:type="dxa"/>
          <w:bottom w:w="0" w:type="dxa"/>
          <w:right w:w="10" w:type="dxa"/>
        </w:tblCellMar>
      </w:tblPr>
      <w:tblGrid>
        <w:gridCol w:w="8000"/>
      </w:tblGrid>
      <w:tr w14:paraId="1B9E72F7">
        <w:tblPrEx>
          <w:tblCellMar>
            <w:top w:w="0" w:type="dxa"/>
            <w:left w:w="10" w:type="dxa"/>
            <w:bottom w:w="0" w:type="dxa"/>
            <w:right w:w="10" w:type="dxa"/>
          </w:tblCellMar>
        </w:tblPrEx>
        <w:trPr>
          <w:jc w:val="center"/>
        </w:trPr>
        <w:tc>
          <w:p w14:paraId="09773AC3">
            <w:pPr>
              <w:jc w:val="center"/>
            </w:pPr>
            <w:bookmarkStart w:id="193" w:name="fig:cve-2025-2241-overview"/>
            <w:r>
              <w:drawing>
                <wp:inline distT="0" distB="0" distL="114300" distR="114300">
                  <wp:extent cx="5067300" cy="1219200"/>
                  <wp:effectExtent l="0" t="0" r="0" b="0"/>
                  <wp:docPr id="30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descr="image"/>
                          <pic:cNvPicPr>
                            <a:picLocks noChangeAspect="1" noChangeArrowheads="1"/>
                          </pic:cNvPicPr>
                        </pic:nvPicPr>
                        <pic:blipFill>
                          <a:blip r:embed="rId35"/>
                          <a:stretch>
                            <a:fillRect/>
                          </a:stretch>
                        </pic:blipFill>
                        <pic:spPr>
                          <a:xfrm>
                            <a:off x="0" y="0"/>
                            <a:ext cx="5067300" cy="1219319"/>
                          </a:xfrm>
                          <a:prstGeom prst="rect">
                            <a:avLst/>
                          </a:prstGeom>
                          <a:noFill/>
                          <a:ln w="9525">
                            <a:noFill/>
                          </a:ln>
                        </pic:spPr>
                      </pic:pic>
                    </a:graphicData>
                  </a:graphic>
                </wp:inline>
              </w:drawing>
            </w:r>
            <w:r>
              <w:t xml:space="preserve"> </w:t>
            </w:r>
            <w:bookmarkStart w:id="194" w:name="fig:cve-2025-2241-overview"/>
            <w:bookmarkEnd w:id="194"/>
          </w:p>
        </w:tc>
      </w:tr>
      <w:bookmarkEnd w:id="193"/>
    </w:tbl>
    <w:p w14:paraId="6962A0F8">
      <w:pPr>
        <w:pStyle w:val="3"/>
      </w:pPr>
      <w:r>
        <w:rPr>
          <w:rFonts w:hint="eastAsia"/>
        </w:rPr>
        <w:t>实验在部署</w:t>
      </w:r>
      <w:r>
        <w:t xml:space="preserve"> ACM/MCE </w:t>
      </w:r>
      <w:r>
        <w:rPr>
          <w:rFonts w:hint="eastAsia"/>
        </w:rPr>
        <w:t>与</w:t>
      </w:r>
      <w:r>
        <w:t xml:space="preserve"> Hive </w:t>
      </w:r>
      <w:r>
        <w:rPr>
          <w:rFonts w:hint="eastAsia"/>
        </w:rPr>
        <w:t>的</w:t>
      </w:r>
      <w:r>
        <w:t xml:space="preserve"> OpenShift </w:t>
      </w:r>
      <w:r>
        <w:rPr>
          <w:rFonts w:hint="eastAsia"/>
        </w:rPr>
        <w:t>测试集群中进行，以具备</w:t>
      </w:r>
      <w:r>
        <w:t xml:space="preserve"> </w:t>
      </w:r>
      <w:r>
        <w:rPr>
          <w:rStyle w:val="48"/>
        </w:rPr>
        <w:t>ClusterProvision</w:t>
      </w:r>
      <w:r>
        <w:t xml:space="preserve"> </w:t>
      </w:r>
      <w:r>
        <w:rPr>
          <w:rFonts w:hint="eastAsia"/>
        </w:rPr>
        <w:t>读取权限、但无</w:t>
      </w:r>
      <w:r>
        <w:t xml:space="preserve"> </w:t>
      </w:r>
      <w:r>
        <w:rPr>
          <w:rStyle w:val="48"/>
        </w:rPr>
        <w:t>Secret</w:t>
      </w:r>
      <w:r>
        <w:t xml:space="preserve"> </w:t>
      </w:r>
      <w:r>
        <w:rPr>
          <w:rFonts w:hint="eastAsia"/>
        </w:rPr>
        <w:t>访问权限的低权身份接入。vSphere</w:t>
      </w:r>
      <w:r>
        <w:t xml:space="preserve"> </w:t>
      </w:r>
      <w:r>
        <w:rPr>
          <w:rFonts w:hint="eastAsia"/>
        </w:rPr>
        <w:t>测试专用</w:t>
      </w:r>
      <w:r>
        <w:t xml:space="preserve"> vCenter </w:t>
      </w:r>
      <w:r>
        <w:rPr>
          <w:rFonts w:hint="eastAsia"/>
        </w:rPr>
        <w:t>账号采用最小权限配置，详细</w:t>
      </w:r>
      <w:r>
        <w:t xml:space="preserve"> YAML </w:t>
      </w:r>
      <w:r>
        <w:rPr>
          <w:rFonts w:hint="eastAsia"/>
        </w:rPr>
        <w:t>与命令序列如下。触发</w:t>
      </w:r>
      <w:r>
        <w:t xml:space="preserve"> </w:t>
      </w:r>
      <w:r>
        <w:rPr>
          <w:rStyle w:val="48"/>
        </w:rPr>
        <w:t>ClusterDeployment</w:t>
      </w:r>
      <w:r>
        <w:t xml:space="preserve"> </w:t>
      </w:r>
      <w:r>
        <w:rPr>
          <w:rFonts w:hint="eastAsia"/>
        </w:rPr>
        <w:t>供应流程后，以该低权身份读取</w:t>
      </w:r>
      <w:r>
        <w:t xml:space="preserve"> </w:t>
      </w:r>
      <w:r>
        <w:rPr>
          <w:rStyle w:val="48"/>
        </w:rPr>
        <w:t>ClusterProvision</w:t>
      </w:r>
      <w:r>
        <w:t xml:space="preserve"> </w:t>
      </w:r>
      <w:r>
        <w:rPr>
          <w:rFonts w:hint="eastAsia"/>
        </w:rPr>
        <w:t>对象</w:t>
      </w:r>
      <w:r>
        <w:t xml:space="preserve"> </w:t>
      </w:r>
      <w:r>
        <w:rPr>
          <w:rFonts w:hint="eastAsia"/>
        </w:rPr>
        <w:t>YAML，可在</w:t>
      </w:r>
      <w:r>
        <w:t xml:space="preserve"> </w:t>
      </w:r>
      <w:r>
        <w:rPr>
          <w:rStyle w:val="48"/>
        </w:rPr>
        <w:t>status</w:t>
      </w:r>
      <w:r>
        <w:t xml:space="preserve"> </w:t>
      </w:r>
      <w:r>
        <w:rPr>
          <w:rFonts w:hint="eastAsia"/>
        </w:rPr>
        <w:t>字段中直接定位明文</w:t>
      </w:r>
      <w:r>
        <w:t xml:space="preserve"> vCenter </w:t>
      </w:r>
      <w:r>
        <w:rPr>
          <w:rFonts w:hint="eastAsia"/>
        </w:rPr>
        <w:t>用户名与密码。由于同一身份无法读取任何</w:t>
      </w:r>
      <w:r>
        <w:t xml:space="preserve"> </w:t>
      </w:r>
      <w:r>
        <w:rPr>
          <w:rStyle w:val="48"/>
        </w:rPr>
        <w:t>Secret</w:t>
      </w:r>
      <w:r>
        <w:t xml:space="preserve"> </w:t>
      </w:r>
      <w:r>
        <w:rPr>
          <w:rFonts w:hint="eastAsia"/>
        </w:rPr>
        <w:t>对象，凭据暴露构成了对</w:t>
      </w:r>
      <w:r>
        <w:t xml:space="preserve"> </w:t>
      </w:r>
      <w:r>
        <w:rPr>
          <w:rStyle w:val="48"/>
        </w:rPr>
        <w:t>Secret</w:t>
      </w:r>
      <w:r>
        <w:t xml:space="preserve"> </w:t>
      </w:r>
      <w:r>
        <w:rPr>
          <w:rFonts w:hint="eastAsia"/>
        </w:rPr>
        <w:t>隔离边界的旁路。</w:t>
      </w:r>
      <w:r>
        <w:t xml:space="preserve"> </w:t>
      </w:r>
      <w:r>
        <w:rPr>
          <w:rFonts w:hint="eastAsia"/>
          <w:b/>
          <w:bCs/>
        </w:rPr>
        <w:t>前提条件</w:t>
      </w:r>
    </w:p>
    <w:p w14:paraId="4F01C811">
      <w:pPr>
        <w:numPr>
          <w:ilvl w:val="0"/>
          <w:numId w:val="1"/>
        </w:numPr>
      </w:pPr>
      <w:r>
        <w:rPr>
          <w:rFonts w:hint="eastAsia"/>
        </w:rPr>
        <w:t>已部署</w:t>
      </w:r>
      <w:r>
        <w:t xml:space="preserve"> ACM/MCE </w:t>
      </w:r>
      <w:r>
        <w:rPr>
          <w:rFonts w:hint="eastAsia"/>
        </w:rPr>
        <w:t>与</w:t>
      </w:r>
      <w:r>
        <w:t xml:space="preserve"> </w:t>
      </w:r>
      <w:r>
        <w:rPr>
          <w:rFonts w:hint="eastAsia"/>
        </w:rPr>
        <w:t>Hive，并启用</w:t>
      </w:r>
      <w:r>
        <w:t xml:space="preserve"> vSphere </w:t>
      </w:r>
      <w:r>
        <w:rPr>
          <w:rFonts w:hint="eastAsia"/>
        </w:rPr>
        <w:t>集群供应能力(具体版本与安装方式依赖环境，以厂商公告与实验环境为准)；</w:t>
      </w:r>
    </w:p>
    <w:p w14:paraId="4B397CA2">
      <w:pPr>
        <w:numPr>
          <w:ilvl w:val="0"/>
          <w:numId w:val="1"/>
        </w:numPr>
      </w:pPr>
      <w:r>
        <w:rPr>
          <w:rFonts w:hint="eastAsia"/>
        </w:rPr>
        <w:t>至少存在一个"只读身份"。该身份</w:t>
      </w:r>
      <w:r>
        <w:rPr>
          <w:rFonts w:hint="eastAsia"/>
          <w:b/>
          <w:bCs/>
        </w:rPr>
        <w:t>不具备</w:t>
      </w:r>
      <w:r>
        <w:t xml:space="preserve"> </w:t>
      </w:r>
      <w:r>
        <w:rPr>
          <w:rStyle w:val="48"/>
        </w:rPr>
        <w:t>secrets</w:t>
      </w:r>
      <w:r>
        <w:t xml:space="preserve"> </w:t>
      </w:r>
      <w:r>
        <w:rPr>
          <w:rFonts w:hint="eastAsia"/>
        </w:rPr>
        <w:t>读取权限，但</w:t>
      </w:r>
      <w:r>
        <w:rPr>
          <w:rFonts w:hint="eastAsia"/>
          <w:b/>
          <w:bCs/>
        </w:rPr>
        <w:t>具备</w:t>
      </w:r>
      <w:r>
        <w:t xml:space="preserve"> </w:t>
      </w:r>
      <w:r>
        <w:rPr>
          <w:rStyle w:val="48"/>
        </w:rPr>
        <w:t>clusterprovisions.hive.openshift.io</w:t>
      </w:r>
      <w:r>
        <w:t xml:space="preserve"> </w:t>
      </w:r>
      <w:r>
        <w:rPr>
          <w:rFonts w:hint="eastAsia"/>
        </w:rPr>
        <w:t>的</w:t>
      </w:r>
      <w:r>
        <w:t xml:space="preserve"> </w:t>
      </w:r>
      <w:r>
        <w:rPr>
          <w:rStyle w:val="48"/>
        </w:rPr>
        <w:t>get/list/watch</w:t>
      </w:r>
      <w:r>
        <w:t xml:space="preserve"> </w:t>
      </w:r>
      <w:r>
        <w:rPr>
          <w:rFonts w:hint="eastAsia"/>
        </w:rPr>
        <w:t>权限(该条件用于验证旁路泄露)。</w:t>
      </w:r>
    </w:p>
    <w:p w14:paraId="63AF2FAA">
      <w:pPr>
        <w:pStyle w:val="23"/>
      </w:pPr>
      <w:r>
        <w:rPr>
          <w:rFonts w:hint="eastAsia"/>
          <w:b/>
          <w:bCs/>
        </w:rPr>
        <w:t>步骤</w:t>
      </w:r>
      <w:r>
        <w:rPr>
          <w:b/>
          <w:bCs/>
        </w:rPr>
        <w:t xml:space="preserve"> </w:t>
      </w:r>
      <w:r>
        <w:rPr>
          <w:rFonts w:hint="eastAsia"/>
          <w:b/>
          <w:bCs/>
        </w:rPr>
        <w:t>1：触发供应后，用低权身份读取</w:t>
      </w:r>
      <w:r>
        <w:rPr>
          <w:b/>
          <w:bCs/>
        </w:rPr>
        <w:t xml:space="preserve"> </w:t>
      </w:r>
      <w:r>
        <w:rPr>
          <w:rStyle w:val="48"/>
          <w:b/>
          <w:bCs/>
        </w:rPr>
        <w:t>ClusterProvision</w:t>
      </w:r>
      <w:r>
        <w:rPr>
          <w:b/>
          <w:bCs/>
        </w:rPr>
        <w:t xml:space="preserve"> </w:t>
      </w:r>
      <w:r>
        <w:rPr>
          <w:rFonts w:hint="eastAsia"/>
          <w:b/>
          <w:bCs/>
        </w:rPr>
        <w:t>对象</w:t>
      </w:r>
    </w:p>
    <w:p w14:paraId="318FC77B">
      <w:pPr>
        <w:pStyle w:val="3"/>
      </w:pPr>
      <w:r>
        <w:t xml:space="preserve"># </w:t>
      </w:r>
      <w:r>
        <w:rPr>
          <w:rFonts w:hint="eastAsia"/>
        </w:rPr>
        <w:t>低权用户自检(Kubernetes</w:t>
      </w:r>
      <w:r>
        <w:t xml:space="preserve"> </w:t>
      </w:r>
      <w:r>
        <w:rPr>
          <w:rFonts w:hint="eastAsia"/>
        </w:rPr>
        <w:t>通用)</w:t>
      </w:r>
      <w:r>
        <w:t xml:space="preserve"> kubectl auth can-i get clusterprovision –as=&lt;user&gt; –all-namespaces kubectl auth can-i get secrets –as=&lt;user&gt; –all-namespaces</w:t>
      </w:r>
    </w:p>
    <w:p w14:paraId="6B9A281B">
      <w:pPr>
        <w:pStyle w:val="3"/>
      </w:pPr>
      <w:r>
        <w:t xml:space="preserve"># </w:t>
      </w:r>
      <w:r>
        <w:rPr>
          <w:rFonts w:hint="eastAsia"/>
        </w:rPr>
        <w:t>导出对象(名称可能带随机后缀，按实际替换)</w:t>
      </w:r>
      <w:r>
        <w:t xml:space="preserve"> kubectl get clusterprovision -n your-namespace kubectl get clusterprovision &lt;name&gt; -n your-namespace -o yaml</w:t>
      </w:r>
    </w:p>
    <w:bookmarkEnd w:id="192"/>
    <w:p w14:paraId="3978CA47">
      <w:pPr>
        <w:pStyle w:val="6"/>
      </w:pPr>
      <w:bookmarkStart w:id="195" w:name="安全策略生成-1"/>
      <w:r>
        <w:rPr>
          <w:rFonts w:hint="eastAsia"/>
        </w:rPr>
        <w:t>安全策略生成</w:t>
      </w:r>
    </w:p>
    <w:p w14:paraId="39C39758">
      <w:pPr>
        <w:pStyle w:val="23"/>
      </w:pPr>
      <w:r>
        <w:t xml:space="preserve">KPEDefense </w:t>
      </w:r>
      <w:r>
        <w:rPr>
          <w:rFonts w:hint="eastAsia"/>
        </w:rPr>
        <w:t>筛选出的最优策略从访问控制与数据留存两个维度切断旁路泄露。一方面，通过</w:t>
      </w:r>
      <w:r>
        <w:t xml:space="preserve"> RBAC </w:t>
      </w:r>
      <w:r>
        <w:rPr>
          <w:rFonts w:hint="eastAsia"/>
        </w:rPr>
        <w:t>收紧</w:t>
      </w:r>
      <w:r>
        <w:t xml:space="preserve"> </w:t>
      </w:r>
      <w:r>
        <w:rPr>
          <w:rStyle w:val="48"/>
        </w:rPr>
        <w:t>ClusterProvision</w:t>
      </w:r>
      <w:r>
        <w:t xml:space="preserve"> </w:t>
      </w:r>
      <w:r>
        <w:rPr>
          <w:rFonts w:hint="eastAsia"/>
        </w:rPr>
        <w:t>的读取权限，将对该对象的访问改为按需、限时授权；另一方面，在供应完成后自动清理</w:t>
      </w:r>
      <w:r>
        <w:t xml:space="preserve"> </w:t>
      </w:r>
      <w:r>
        <w:rPr>
          <w:rStyle w:val="48"/>
        </w:rPr>
        <w:t>status</w:t>
      </w:r>
      <w:r>
        <w:t xml:space="preserve"> </w:t>
      </w:r>
      <w:r>
        <w:rPr>
          <w:rFonts w:hint="eastAsia"/>
        </w:rPr>
        <w:t>字段中的明文凭据，缩短敏感信息的暴露窗口。</w:t>
      </w:r>
    </w:p>
    <w:p w14:paraId="29BCDEFD">
      <w:pPr>
        <w:pStyle w:val="3"/>
      </w:pPr>
      <w:r>
        <w:rPr>
          <w:rFonts w:hint="eastAsia"/>
          <w:b/>
          <w:bCs/>
        </w:rPr>
        <w:t>1)立刻收敛</w:t>
      </w:r>
      <w:r>
        <w:rPr>
          <w:b/>
          <w:bCs/>
        </w:rPr>
        <w:t xml:space="preserve"> </w:t>
      </w:r>
      <w:r>
        <w:rPr>
          <w:rStyle w:val="48"/>
          <w:b/>
          <w:bCs/>
        </w:rPr>
        <w:t>ClusterProvision</w:t>
      </w:r>
      <w:r>
        <w:rPr>
          <w:b/>
          <w:bCs/>
        </w:rPr>
        <w:t xml:space="preserve"> </w:t>
      </w:r>
      <w:r>
        <w:rPr>
          <w:rFonts w:hint="eastAsia"/>
          <w:b/>
          <w:bCs/>
        </w:rPr>
        <w:t>的读取权限(RBAC)</w:t>
      </w:r>
    </w:p>
    <w:p w14:paraId="58BD4801">
      <w:pPr>
        <w:pStyle w:val="3"/>
      </w:pPr>
      <w:r>
        <w:t xml:space="preserve"># </w:t>
      </w:r>
      <w:r>
        <w:rPr>
          <w:rFonts w:hint="eastAsia"/>
        </w:rPr>
        <w:t>查询当前哪些身份拥有</w:t>
      </w:r>
      <w:r>
        <w:t xml:space="preserve"> ClusterProvision </w:t>
      </w:r>
      <w:r>
        <w:rPr>
          <w:rFonts w:hint="eastAsia"/>
        </w:rPr>
        <w:t>读取权限，确定收敛范围</w:t>
      </w:r>
      <w:r>
        <w:t xml:space="preserve"> oc adm policy who-can get clusterprovision oc adm policy who-can list clusterprovision oc adm policy who-can watch clusterprovision</w:t>
      </w:r>
    </w:p>
    <w:p w14:paraId="6A21F4F5">
      <w:pPr>
        <w:pStyle w:val="3"/>
      </w:pPr>
      <w:r>
        <w:rPr>
          <w:rFonts w:hint="eastAsia"/>
          <w:b/>
          <w:bCs/>
        </w:rPr>
        <w:t>2)对读取行为启用审计并联动告警</w:t>
      </w:r>
    </w:p>
    <w:p w14:paraId="0E3646BB">
      <w:pPr>
        <w:pStyle w:val="3"/>
      </w:pPr>
      <w:r>
        <w:t xml:space="preserve">apiVersion: audit.k8s.io/v1 kind: Policy rules: # </w:t>
      </w:r>
      <w:r>
        <w:rPr>
          <w:rFonts w:hint="eastAsia"/>
        </w:rPr>
        <w:t>记录所有对</w:t>
      </w:r>
      <w:r>
        <w:t xml:space="preserve"> ClusterProvision </w:t>
      </w:r>
      <w:r>
        <w:rPr>
          <w:rFonts w:hint="eastAsia"/>
        </w:rPr>
        <w:t>的读取操作；</w:t>
      </w:r>
      <w:r>
        <w:t xml:space="preserve"> # Metadata </w:t>
      </w:r>
      <w:r>
        <w:rPr>
          <w:rFonts w:hint="eastAsia"/>
        </w:rPr>
        <w:t>级别仅记录请求元数据，不存储请求体，降低日志容量</w:t>
      </w:r>
      <w:r>
        <w:t xml:space="preserve"> - level: Metadata verbs: ["get","list","watch"] resources: - group: "hive.openshift.io" resources: ["clusterprovisions"] omitStages: ["RequestReceived"] # </w:t>
      </w:r>
      <w:r>
        <w:rPr>
          <w:rFonts w:hint="eastAsia"/>
        </w:rPr>
        <w:t>跳过请求接收阶段，只在响应阶段记录</w:t>
      </w:r>
    </w:p>
    <w:p w14:paraId="1924A31E">
      <w:pPr>
        <w:pStyle w:val="3"/>
      </w:pPr>
      <w:r>
        <w:rPr>
          <w:rFonts w:hint="eastAsia"/>
          <w:b/>
          <w:bCs/>
        </w:rPr>
        <w:t>3)缩短暴露窗口：供应完成后清理</w:t>
      </w:r>
      <w:r>
        <w:rPr>
          <w:b/>
          <w:bCs/>
        </w:rPr>
        <w:t xml:space="preserve"> </w:t>
      </w:r>
      <w:r>
        <w:rPr>
          <w:rStyle w:val="48"/>
          <w:b/>
          <w:bCs/>
        </w:rPr>
        <w:t>ClusterProvision</w:t>
      </w:r>
    </w:p>
    <w:p w14:paraId="158F6496">
      <w:pPr>
        <w:pStyle w:val="3"/>
      </w:pPr>
      <w:r>
        <w:t>oc get clusterprovision -n &lt;ns&gt; oc delete clusterprovision -n &lt;ns&gt; &lt;name&gt;</w:t>
      </w:r>
    </w:p>
    <w:p w14:paraId="25B3E91E">
      <w:pPr>
        <w:pStyle w:val="3"/>
      </w:pPr>
      <w:r>
        <w:rPr>
          <w:rFonts w:hint="eastAsia"/>
          <w:b/>
          <w:bCs/>
        </w:rPr>
        <w:t>4)"敏感字段守护"检测(Gatekeeper，建议审计模式)</w:t>
      </w:r>
    </w:p>
    <w:p w14:paraId="05EB33B6">
      <w:pPr>
        <w:pStyle w:val="3"/>
      </w:pPr>
      <w:r>
        <w:t xml:space="preserve"># </w:t>
      </w:r>
      <w:r>
        <w:rPr>
          <w:rFonts w:hint="eastAsia"/>
        </w:rPr>
        <w:t>辅助谓词：匹配包含敏感关键词的字段名</w:t>
      </w:r>
      <w:r>
        <w:t xml:space="preserve"> # </w:t>
      </w:r>
      <w:r>
        <w:rPr>
          <w:rFonts w:hint="eastAsia"/>
        </w:rPr>
        <w:t>匹配</w:t>
      </w:r>
      <w:r>
        <w:t xml:space="preserve"> password / token / secret / credential </w:t>
      </w:r>
      <w:r>
        <w:rPr>
          <w:rFonts w:hint="eastAsia"/>
        </w:rPr>
        <w:t>四类敏感名称</w:t>
      </w:r>
      <w:r>
        <w:t xml:space="preserve"> sensitive_key(k)  lk := lower(k) contains(lk, "password")  sensitive_key(k)  lk := lower(k) contains(lk, "token")  sensitive_key(k)  lk := lower(k) contains(lk, "secret")  sensitive_key(k)  lk := lower(k) contains(lk, "credential") </w:t>
      </w:r>
    </w:p>
    <w:p w14:paraId="2897AEC1">
      <w:pPr>
        <w:pStyle w:val="3"/>
      </w:pPr>
      <w:r>
        <w:t xml:space="preserve">walk(obj, path, val)  is_object(obj) some k v := obj[k] walk(v, array.concat(path, [k]), val)  walk(obj, path, val)  is_array(obj) some i v := obj[i] walk(v, array.concat(path, [sprintf("  walk(obj, path, obj)  not is_object(obj) not is_array(obj) </w:t>
      </w:r>
    </w:p>
    <w:p w14:paraId="5669AB2D">
      <w:pPr>
        <w:pStyle w:val="3"/>
      </w:pPr>
      <w:r>
        <w:t xml:space="preserve">deny[msg]  input.review.kind.group == "hive.openshift.io" input.review.kind.kind == "ClusterProvision" walk(input.review.object, [], _) some k _ = input.review.object[k] sensitive_key(k) msg := sprintf("ClusterProvision contains sensitive key at top-level: </w:t>
      </w:r>
    </w:p>
    <w:p w14:paraId="0B8FE3A6">
      <w:pPr>
        <w:pStyle w:val="3"/>
      </w:pPr>
      <w:r>
        <w:t>deny[msg]  input.review.kind.group == "hive.openshift.io" input.review.kind.kind == "ClusterProvision" walk(input.review.object, path, _) some i k := path[i] sensitive_key(k) msg := sprintf("ClusterProvision contains sensitive key on path  — apiVersion: constraints.gatekeeper.sh/v1beta1 kind: K8sClustProvKeySensitive metadata: name: audit-clusterprovision-sensitive-keys spec: enforcementAction: dryrun match: kinds: - apiGroups: ["hive.openshift.io"] kinds: ["ClusterProvision"]</w:t>
      </w:r>
    </w:p>
    <w:bookmarkEnd w:id="195"/>
    <w:p w14:paraId="65386EA6">
      <w:pPr>
        <w:pStyle w:val="6"/>
      </w:pPr>
      <w:bookmarkStart w:id="196" w:name="安全策略验证-1"/>
      <w:r>
        <w:rPr>
          <w:rFonts w:hint="eastAsia"/>
        </w:rPr>
        <w:t>安全策略验证</w:t>
      </w:r>
    </w:p>
    <w:p w14:paraId="19F01B02">
      <w:pPr>
        <w:pStyle w:val="23"/>
      </w:pPr>
      <w:r>
        <w:rPr>
          <w:rFonts w:hint="eastAsia"/>
        </w:rPr>
        <w:t>策略部署后，以低权身份重新执行漏洞复现流程，验证有效性、无干扰性与可部署性。</w:t>
      </w:r>
    </w:p>
    <w:p w14:paraId="44D53347">
      <w:pPr>
        <w:pStyle w:val="3"/>
      </w:pPr>
      <w:r>
        <w:rPr>
          <w:rFonts w:hint="eastAsia"/>
          <w:b/>
          <w:bCs/>
        </w:rPr>
        <w:t>有效性：</w:t>
      </w:r>
      <w:r>
        <w:t xml:space="preserve"> RBAC </w:t>
      </w:r>
      <w:r>
        <w:rPr>
          <w:rFonts w:hint="eastAsia"/>
        </w:rPr>
        <w:t>收敛后，低权身份对</w:t>
      </w:r>
      <w:r>
        <w:t xml:space="preserve"> </w:t>
      </w:r>
      <w:r>
        <w:rPr>
          <w:rStyle w:val="48"/>
        </w:rPr>
        <w:t>ClusterProvision</w:t>
      </w:r>
      <w:r>
        <w:t xml:space="preserve"> </w:t>
      </w:r>
      <w:r>
        <w:rPr>
          <w:rFonts w:hint="eastAsia"/>
        </w:rPr>
        <w:t>的</w:t>
      </w:r>
      <w:r>
        <w:t xml:space="preserve"> </w:t>
      </w:r>
      <w:r>
        <w:rPr>
          <w:rStyle w:val="48"/>
        </w:rPr>
        <w:t>get/list</w:t>
      </w:r>
      <w:r>
        <w:t xml:space="preserve"> </w:t>
      </w:r>
      <w:r>
        <w:rPr>
          <w:rFonts w:hint="eastAsia"/>
        </w:rPr>
        <w:t>请求被拒绝，无法再导出</w:t>
      </w:r>
      <w:r>
        <w:t xml:space="preserve"> </w:t>
      </w:r>
      <w:r>
        <w:rPr>
          <w:rFonts w:hint="eastAsia"/>
        </w:rPr>
        <w:t>YAML。供应完成后再次复查对象，</w:t>
      </w:r>
      <w:r>
        <w:rPr>
          <w:rStyle w:val="48"/>
        </w:rPr>
        <w:t>status</w:t>
      </w:r>
      <w:r>
        <w:t xml:space="preserve"> </w:t>
      </w:r>
      <w:r>
        <w:rPr>
          <w:rFonts w:hint="eastAsia"/>
        </w:rPr>
        <w:t>字段中不再保留明文</w:t>
      </w:r>
      <w:r>
        <w:t xml:space="preserve"> vCenter </w:t>
      </w:r>
      <w:r>
        <w:rPr>
          <w:rFonts w:hint="eastAsia"/>
        </w:rPr>
        <w:t>凭据，凭据旁路路径被阻断。</w:t>
      </w:r>
    </w:p>
    <w:p w14:paraId="6684B5ED">
      <w:pPr>
        <w:pStyle w:val="3"/>
      </w:pPr>
      <w:r>
        <w:rPr>
          <w:rFonts w:hint="eastAsia"/>
          <w:b/>
          <w:bCs/>
        </w:rPr>
        <w:t>无干扰性：</w:t>
      </w:r>
      <w:r>
        <w:t xml:space="preserve"> RBAC </w:t>
      </w:r>
      <w:r>
        <w:rPr>
          <w:rFonts w:hint="eastAsia"/>
        </w:rPr>
        <w:t>收紧后，高权限访问改为按需、限时、可审计授权，正常供应流程未受影响。自动清理任务在预生产环境验证后确认不影响</w:t>
      </w:r>
      <w:r>
        <w:t xml:space="preserve"> Hive </w:t>
      </w:r>
      <w:r>
        <w:rPr>
          <w:rFonts w:hint="eastAsia"/>
        </w:rPr>
        <w:t>对账流程，再推广至生产。审计与告警不影响业务主链路。</w:t>
      </w:r>
    </w:p>
    <w:p w14:paraId="491CE3D2">
      <w:pPr>
        <w:pStyle w:val="3"/>
      </w:pPr>
      <w:r>
        <w:rPr>
          <w:rFonts w:hint="eastAsia"/>
          <w:b/>
          <w:bCs/>
        </w:rPr>
        <w:t>可部署性：</w:t>
      </w:r>
      <w:r>
        <w:t xml:space="preserve"> RBAC </w:t>
      </w:r>
      <w:r>
        <w:rPr>
          <w:rFonts w:hint="eastAsia"/>
        </w:rPr>
        <w:t>为平台原生能力，可模板化发布至多集群。自动清理任务可通过</w:t>
      </w:r>
      <w:r>
        <w:t xml:space="preserve"> GitOps </w:t>
      </w:r>
      <w:r>
        <w:rPr>
          <w:rFonts w:hint="eastAsia"/>
        </w:rPr>
        <w:t>流水线或定时任务实现，无需人工介入。</w:t>
      </w:r>
    </w:p>
    <w:p w14:paraId="016F7463">
      <w:pPr>
        <w:pStyle w:val="3"/>
      </w:pPr>
      <w:r>
        <w:rPr>
          <w:rFonts w:hint="eastAsia"/>
        </w:rPr>
        <w:t>三维验证均通过。RBAC</w:t>
      </w:r>
      <w:r>
        <w:t xml:space="preserve"> </w:t>
      </w:r>
      <w:r>
        <w:rPr>
          <w:rFonts w:hint="eastAsia"/>
        </w:rPr>
        <w:t>收敛与对象清理协同后，敏感凭据的可读窗口显著缩短，旁路路径被有效阻断。该方案可纳入平台防御基线持续管理，最终修复仍依赖厂商补丁，根因在于</w:t>
      </w:r>
      <w:r>
        <w:t xml:space="preserve"> Hive </w:t>
      </w:r>
      <w:r>
        <w:rPr>
          <w:rFonts w:hint="eastAsia"/>
        </w:rPr>
        <w:t>控制器将凭据写入</w:t>
      </w:r>
      <w:r>
        <w:t xml:space="preserve"> CR </w:t>
      </w:r>
      <w:r>
        <w:rPr>
          <w:rFonts w:hint="eastAsia"/>
        </w:rPr>
        <w:t>状态字段的设计缺陷。</w:t>
      </w:r>
    </w:p>
    <w:bookmarkEnd w:id="191"/>
    <w:bookmarkEnd w:id="196"/>
    <w:p w14:paraId="272DF022">
      <w:pPr>
        <w:pStyle w:val="5"/>
      </w:pPr>
      <w:bookmarkStart w:id="197" w:name="案例三cve-2023-30512-冗余权限"/>
      <w:r>
        <w:rPr>
          <w:rFonts w:hint="eastAsia"/>
        </w:rPr>
        <w:t>案例三：CVE-2023-30512</w:t>
      </w:r>
      <w:r>
        <w:t xml:space="preserve"> </w:t>
      </w:r>
      <w:r>
        <w:rPr>
          <w:rFonts w:hint="eastAsia"/>
        </w:rPr>
        <w:t>冗余权限</w:t>
      </w:r>
    </w:p>
    <w:p w14:paraId="71509034">
      <w:pPr>
        <w:pStyle w:val="6"/>
      </w:pPr>
      <w:bookmarkStart w:id="198" w:name="漏洞复现-2"/>
      <w:r>
        <w:rPr>
          <w:rFonts w:hint="eastAsia"/>
        </w:rPr>
        <w:t>漏洞复现</w:t>
      </w:r>
    </w:p>
    <w:p w14:paraId="3415222F">
      <w:pPr>
        <w:pStyle w:val="23"/>
      </w:pPr>
      <w:r>
        <w:t xml:space="preserve">CubeFS </w:t>
      </w:r>
      <w:r>
        <w:rPr>
          <w:rFonts w:hint="eastAsia"/>
        </w:rPr>
        <w:t>是面向云原生场景的分布式存储系统，常通过</w:t>
      </w:r>
      <w:r>
        <w:t xml:space="preserve"> CSI </w:t>
      </w:r>
      <w:r>
        <w:rPr>
          <w:rFonts w:hint="eastAsia"/>
        </w:rPr>
        <w:t>插件与</w:t>
      </w:r>
      <w:r>
        <w:t xml:space="preserve"> K8s </w:t>
      </w:r>
      <w:r>
        <w:rPr>
          <w:rFonts w:hint="eastAsia"/>
        </w:rPr>
        <w:t>集成。在</w:t>
      </w:r>
      <w:r>
        <w:t xml:space="preserve"> K8s </w:t>
      </w:r>
      <w:r>
        <w:rPr>
          <w:rFonts w:hint="eastAsia"/>
        </w:rPr>
        <w:t>中，CSI</w:t>
      </w:r>
      <w:r>
        <w:t xml:space="preserve"> </w:t>
      </w:r>
      <w:r>
        <w:rPr>
          <w:rFonts w:hint="eastAsia"/>
        </w:rPr>
        <w:t>节点插件通常以</w:t>
      </w:r>
      <w:r>
        <w:t xml:space="preserve"> DaemonSet </w:t>
      </w:r>
      <w:r>
        <w:rPr>
          <w:rFonts w:hint="eastAsia"/>
        </w:rPr>
        <w:t>形式在每个节点上运行，例如</w:t>
      </w:r>
      <w:r>
        <w:t xml:space="preserve"> </w:t>
      </w:r>
      <w:r>
        <w:rPr>
          <w:rStyle w:val="48"/>
        </w:rPr>
        <w:t>cfs-csi-node</w:t>
      </w:r>
      <w:r>
        <w:rPr>
          <w:rFonts w:hint="eastAsia"/>
        </w:rPr>
        <w:t>；控制器组件以</w:t>
      </w:r>
      <w:r>
        <w:t xml:space="preserve"> Deployment </w:t>
      </w:r>
      <w:r>
        <w:rPr>
          <w:rFonts w:hint="eastAsia"/>
        </w:rPr>
        <w:t>形式运行，例如</w:t>
      </w:r>
      <w:r>
        <w:t xml:space="preserve"> </w:t>
      </w:r>
      <w:r>
        <w:rPr>
          <w:rStyle w:val="48"/>
        </w:rPr>
        <w:t>cfs-csi-controller</w:t>
      </w:r>
      <w:r>
        <w:rPr>
          <w:rFonts w:hint="eastAsia"/>
        </w:rPr>
        <w:t>。这类组件需要与</w:t>
      </w:r>
      <w:r>
        <w:t xml:space="preserve"> K8s API </w:t>
      </w:r>
      <w:r>
        <w:rPr>
          <w:rFonts w:hint="eastAsia"/>
        </w:rPr>
        <w:t>交互，但其权限应遵循最小权限原则。</w:t>
      </w:r>
    </w:p>
    <w:p w14:paraId="696CB4EF">
      <w:pPr>
        <w:pStyle w:val="3"/>
      </w:pPr>
      <w:r>
        <w:rPr>
          <w:b/>
          <w:bCs/>
        </w:rPr>
        <w:t xml:space="preserve">CVE </w:t>
      </w:r>
      <w:r>
        <w:rPr>
          <w:rFonts w:hint="eastAsia"/>
          <w:b/>
          <w:bCs/>
        </w:rPr>
        <w:t>描述</w:t>
      </w:r>
      <w:r>
        <w:rPr>
          <w:rFonts w:hint="eastAsia"/>
        </w:rPr>
        <w:t>：CVE-2023-30512</w:t>
      </w:r>
      <w:r>
        <w:t xml:space="preserve"> </w:t>
      </w:r>
      <w:r>
        <w:rPr>
          <w:rFonts w:hint="eastAsia"/>
        </w:rPr>
        <w:t>的核心问题是</w:t>
      </w:r>
      <w:r>
        <w:t xml:space="preserve"> CubeFS CSI </w:t>
      </w:r>
      <w:r>
        <w:rPr>
          <w:rFonts w:hint="eastAsia"/>
        </w:rPr>
        <w:t>插件的服务账号，如</w:t>
      </w:r>
      <w:r>
        <w:t xml:space="preserve"> </w:t>
      </w:r>
      <w:r>
        <w:rPr>
          <w:rStyle w:val="48"/>
        </w:rPr>
        <w:t>cfs-csi-service-account</w:t>
      </w:r>
      <w:r>
        <w:rPr>
          <w:rFonts w:hint="eastAsia"/>
        </w:rPr>
        <w:t>，被绑定到了包含</w:t>
      </w:r>
      <w:r>
        <w:rPr>
          <w:rFonts w:hint="eastAsia"/>
          <w:b/>
          <w:bCs/>
        </w:rPr>
        <w:t>过度权限</w:t>
      </w:r>
      <w:r>
        <w:rPr>
          <w:rFonts w:hint="eastAsia"/>
        </w:rPr>
        <w:t>的集群级角色</w:t>
      </w:r>
      <w:r>
        <w:t xml:space="preserve"> </w:t>
      </w:r>
      <w:r>
        <w:rPr>
          <w:rStyle w:val="48"/>
        </w:rPr>
        <w:t>ClusterRole</w:t>
      </w:r>
      <w:r>
        <w:rPr>
          <w:rFonts w:hint="eastAsia"/>
        </w:rPr>
        <w:t>，从而具备对集群范围</w:t>
      </w:r>
      <w:r>
        <w:t xml:space="preserve"> </w:t>
      </w:r>
      <w:r>
        <w:rPr>
          <w:rStyle w:val="48"/>
        </w:rPr>
        <w:t>Secret</w:t>
      </w:r>
      <w:r>
        <w:t xml:space="preserve"> </w:t>
      </w:r>
      <w:r>
        <w:rPr>
          <w:rFonts w:hint="eastAsia"/>
        </w:rPr>
        <w:t>的读取能力，如</w:t>
      </w:r>
      <w:r>
        <w:t xml:space="preserve"> </w:t>
      </w:r>
      <w:r>
        <w:rPr>
          <w:rStyle w:val="48"/>
        </w:rPr>
        <w:t>get/list</w:t>
      </w:r>
      <w:r>
        <w:rPr>
          <w:rFonts w:hint="eastAsia"/>
        </w:rPr>
        <w:t>。一旦攻击者在某节点获得对</w:t>
      </w:r>
      <w:r>
        <w:t xml:space="preserve"> CSI </w:t>
      </w:r>
      <w:r>
        <w:rPr>
          <w:rFonts w:hint="eastAsia"/>
        </w:rPr>
        <w:t>节点插件</w:t>
      </w:r>
      <w:r>
        <w:t xml:space="preserve"> Pod </w:t>
      </w:r>
      <w:r>
        <w:rPr>
          <w:rFonts w:hint="eastAsia"/>
        </w:rPr>
        <w:t>的控制，例如通过节点被入侵、容器逃逸或对系统命名空间特权工作负载的执行能力，便可能滥用该服务账号的权限边界，读取全局敏感信息并进一步演化为集群级权限提升。</w:t>
      </w:r>
    </w:p>
    <w:p w14:paraId="2421C545">
      <w:pPr>
        <w:pStyle w:val="3"/>
      </w:pPr>
      <w:r>
        <w:rPr>
          <w:rFonts w:hint="eastAsia"/>
          <w:b/>
          <w:bCs/>
        </w:rPr>
        <w:t>主要成因分类</w:t>
      </w:r>
      <w:r>
        <w:rPr>
          <w:rFonts w:hint="eastAsia"/>
        </w:rPr>
        <w:t>：配置缺陷</w:t>
      </w:r>
      <w:r>
        <w:t xml:space="preserve"> / </w:t>
      </w:r>
      <w:r>
        <w:rPr>
          <w:rFonts w:hint="eastAsia"/>
        </w:rPr>
        <w:t>过度授权。</w:t>
      </w:r>
    </w:p>
    <w:p w14:paraId="1EC63B05">
      <w:pPr>
        <w:pStyle w:val="3"/>
      </w:pPr>
      <w:r>
        <w:rPr>
          <w:rFonts w:hint="eastAsia"/>
          <w:b/>
          <w:bCs/>
        </w:rPr>
        <w:t>攻击链条描述</w:t>
      </w:r>
      <w:r>
        <w:rPr>
          <w:rFonts w:hint="eastAsia"/>
        </w:rPr>
        <w:t>：攻击链可概括为系统组件身份被过度授权，且在被攻陷后可枚举集群秘密：</w:t>
      </w:r>
    </w:p>
    <w:p w14:paraId="08D0B912">
      <w:pPr>
        <w:numPr>
          <w:ilvl w:val="0"/>
          <w:numId w:val="11"/>
        </w:numPr>
      </w:pPr>
      <w:r>
        <w:rPr>
          <w:rFonts w:hint="eastAsia"/>
          <w:b/>
          <w:bCs/>
        </w:rPr>
        <w:t>身份前置阶段</w:t>
      </w:r>
      <w:r>
        <w:rPr>
          <w:rFonts w:hint="eastAsia"/>
        </w:rPr>
        <w:t>：CSI</w:t>
      </w:r>
      <w:r>
        <w:t xml:space="preserve"> </w:t>
      </w:r>
      <w:r>
        <w:rPr>
          <w:rFonts w:hint="eastAsia"/>
        </w:rPr>
        <w:t>组件使用默认或被误配置的</w:t>
      </w:r>
      <w:r>
        <w:t xml:space="preserve"> ServiceAccount </w:t>
      </w:r>
      <w:r>
        <w:rPr>
          <w:rFonts w:hint="eastAsia"/>
        </w:rPr>
        <w:t>运行；</w:t>
      </w:r>
    </w:p>
    <w:p w14:paraId="130BAE62">
      <w:pPr>
        <w:numPr>
          <w:ilvl w:val="0"/>
          <w:numId w:val="11"/>
        </w:numPr>
      </w:pPr>
      <w:r>
        <w:rPr>
          <w:rFonts w:hint="eastAsia"/>
          <w:b/>
          <w:bCs/>
        </w:rPr>
        <w:t>权限放大阶段</w:t>
      </w:r>
      <w:r>
        <w:rPr>
          <w:rFonts w:hint="eastAsia"/>
        </w:rPr>
        <w:t>：ServiceAccount</w:t>
      </w:r>
      <w:r>
        <w:t xml:space="preserve"> </w:t>
      </w:r>
      <w:r>
        <w:rPr>
          <w:rFonts w:hint="eastAsia"/>
        </w:rPr>
        <w:t>被绑定到含</w:t>
      </w:r>
      <w:r>
        <w:t xml:space="preserve"> </w:t>
      </w:r>
      <w:r>
        <w:rPr>
          <w:rStyle w:val="48"/>
        </w:rPr>
        <w:t>secrets</w:t>
      </w:r>
      <w:r>
        <w:t xml:space="preserve"> </w:t>
      </w:r>
      <w:r>
        <w:rPr>
          <w:rFonts w:hint="eastAsia"/>
        </w:rPr>
        <w:t>读取能力的</w:t>
      </w:r>
      <w:r>
        <w:t xml:space="preserve"> </w:t>
      </w:r>
      <w:r>
        <w:rPr>
          <w:rFonts w:hint="eastAsia"/>
        </w:rPr>
        <w:t>ClusterRole；</w:t>
      </w:r>
    </w:p>
    <w:p w14:paraId="4DFC0CB8">
      <w:pPr>
        <w:numPr>
          <w:ilvl w:val="0"/>
          <w:numId w:val="11"/>
        </w:numPr>
      </w:pPr>
      <w:r>
        <w:rPr>
          <w:rFonts w:hint="eastAsia"/>
          <w:b/>
          <w:bCs/>
        </w:rPr>
        <w:t>控制获取阶段</w:t>
      </w:r>
      <w:r>
        <w:rPr>
          <w:rFonts w:hint="eastAsia"/>
        </w:rPr>
        <w:t>：攻击者控制某节点上的</w:t>
      </w:r>
      <w:r>
        <w:t xml:space="preserve"> CSI </w:t>
      </w:r>
      <w:r>
        <w:rPr>
          <w:rFonts w:hint="eastAsia"/>
        </w:rPr>
        <w:t>Pod，例如</w:t>
      </w:r>
      <w:r>
        <w:t xml:space="preserve"> </w:t>
      </w:r>
      <w:r>
        <w:rPr>
          <w:rStyle w:val="48"/>
        </w:rPr>
        <w:t>cfs-csi-node</w:t>
      </w:r>
      <w:r>
        <w:rPr>
          <w:rFonts w:hint="eastAsia"/>
        </w:rPr>
        <w:t>，并获得其运行时上下文；</w:t>
      </w:r>
    </w:p>
    <w:p w14:paraId="6073CD51">
      <w:pPr>
        <w:numPr>
          <w:ilvl w:val="0"/>
          <w:numId w:val="11"/>
        </w:numPr>
      </w:pPr>
      <w:r>
        <w:rPr>
          <w:rFonts w:hint="eastAsia"/>
          <w:b/>
          <w:bCs/>
        </w:rPr>
        <w:t>数据获取阶段</w:t>
      </w:r>
      <w:r>
        <w:rPr>
          <w:rFonts w:hint="eastAsia"/>
        </w:rPr>
        <w:t>：攻击者以该</w:t>
      </w:r>
      <w:r>
        <w:t xml:space="preserve"> ServiceAccount </w:t>
      </w:r>
      <w:r>
        <w:rPr>
          <w:rFonts w:hint="eastAsia"/>
        </w:rPr>
        <w:t>身份读取集群</w:t>
      </w:r>
      <w:r>
        <w:t xml:space="preserve"> </w:t>
      </w:r>
      <w:r>
        <w:rPr>
          <w:rFonts w:hint="eastAsia"/>
        </w:rPr>
        <w:t>Secret，从而获取高价值凭据，如管理员</w:t>
      </w:r>
      <w:r>
        <w:t xml:space="preserve"> </w:t>
      </w:r>
      <w:r>
        <w:rPr>
          <w:rFonts w:hint="eastAsia"/>
        </w:rPr>
        <w:t>Token、云凭据等，实现从节点或</w:t>
      </w:r>
      <w:r>
        <w:t xml:space="preserve"> Pod </w:t>
      </w:r>
      <w:r>
        <w:rPr>
          <w:rFonts w:hint="eastAsia"/>
        </w:rPr>
        <w:t>控制向集群控制的升级。</w:t>
      </w:r>
    </w:p>
    <w:tbl>
      <w:tblPr>
        <w:tblStyle w:val="18"/>
        <w:tblW w:w="0" w:type="auto"/>
        <w:jc w:val="center"/>
        <w:tblLayout w:type="autofit"/>
        <w:tblCellMar>
          <w:top w:w="0" w:type="dxa"/>
          <w:left w:w="10" w:type="dxa"/>
          <w:bottom w:w="0" w:type="dxa"/>
          <w:right w:w="10" w:type="dxa"/>
        </w:tblCellMar>
      </w:tblPr>
      <w:tblGrid>
        <w:gridCol w:w="8000"/>
      </w:tblGrid>
      <w:tr w14:paraId="732970C5">
        <w:tblPrEx>
          <w:tblCellMar>
            <w:top w:w="0" w:type="dxa"/>
            <w:left w:w="10" w:type="dxa"/>
            <w:bottom w:w="0" w:type="dxa"/>
            <w:right w:w="10" w:type="dxa"/>
          </w:tblCellMar>
        </w:tblPrEx>
        <w:trPr>
          <w:jc w:val="center"/>
        </w:trPr>
        <w:tc>
          <w:p w14:paraId="5129117C">
            <w:pPr>
              <w:jc w:val="center"/>
            </w:pPr>
            <w:bookmarkStart w:id="199" w:name="fig:cve-2023-30512-overview"/>
            <w:r>
              <w:drawing>
                <wp:inline distT="0" distB="0" distL="114300" distR="114300">
                  <wp:extent cx="5067300" cy="1944370"/>
                  <wp:effectExtent l="0" t="0" r="0" b="0"/>
                  <wp:docPr id="310"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descr="image"/>
                          <pic:cNvPicPr>
                            <a:picLocks noChangeAspect="1" noChangeArrowheads="1"/>
                          </pic:cNvPicPr>
                        </pic:nvPicPr>
                        <pic:blipFill>
                          <a:blip r:embed="rId36"/>
                          <a:stretch>
                            <a:fillRect/>
                          </a:stretch>
                        </pic:blipFill>
                        <pic:spPr>
                          <a:xfrm>
                            <a:off x="0" y="0"/>
                            <a:ext cx="5067300" cy="1944675"/>
                          </a:xfrm>
                          <a:prstGeom prst="rect">
                            <a:avLst/>
                          </a:prstGeom>
                          <a:noFill/>
                          <a:ln w="9525">
                            <a:noFill/>
                          </a:ln>
                        </pic:spPr>
                      </pic:pic>
                    </a:graphicData>
                  </a:graphic>
                </wp:inline>
              </w:drawing>
            </w:r>
            <w:r>
              <w:t xml:space="preserve"> </w:t>
            </w:r>
            <w:bookmarkStart w:id="200" w:name="fig:cve-2023-30512-overview"/>
            <w:bookmarkEnd w:id="200"/>
          </w:p>
        </w:tc>
      </w:tr>
      <w:bookmarkEnd w:id="199"/>
    </w:tbl>
    <w:p w14:paraId="3D8BF382">
      <w:pPr>
        <w:pStyle w:val="3"/>
      </w:pPr>
      <w:r>
        <w:rPr>
          <w:rFonts w:hint="eastAsia"/>
        </w:rPr>
        <w:t>实验在</w:t>
      </w:r>
      <w:r>
        <w:t xml:space="preserve"> K8s </w:t>
      </w:r>
      <w:r>
        <w:rPr>
          <w:rFonts w:hint="eastAsia"/>
        </w:rPr>
        <w:t>测试集群中部署受影响版本的</w:t>
      </w:r>
      <w:r>
        <w:t xml:space="preserve"> CubeFS </w:t>
      </w:r>
      <w:r>
        <w:rPr>
          <w:rFonts w:hint="eastAsia"/>
        </w:rPr>
        <w:t>CSI，明确节点插件与控制器组件使用的</w:t>
      </w:r>
      <w:r>
        <w:t xml:space="preserve"> </w:t>
      </w:r>
      <w:r>
        <w:rPr>
          <w:rStyle w:val="48"/>
        </w:rPr>
        <w:t>cfs-csi-service-account</w:t>
      </w:r>
      <w:r>
        <w:rPr>
          <w:rFonts w:hint="eastAsia"/>
        </w:rPr>
        <w:t>，并导出其对应的</w:t>
      </w:r>
      <w:r>
        <w:t xml:space="preserve"> ClusterRole </w:t>
      </w:r>
      <w:r>
        <w:rPr>
          <w:rFonts w:hint="eastAsia"/>
        </w:rPr>
        <w:t>与</w:t>
      </w:r>
      <w:r>
        <w:t xml:space="preserve"> </w:t>
      </w:r>
      <w:r>
        <w:rPr>
          <w:rFonts w:hint="eastAsia"/>
        </w:rPr>
        <w:t>ClusterRoleBinding。权限证据显示，该服务账号关联的</w:t>
      </w:r>
      <w:r>
        <w:t xml:space="preserve"> ClusterRole </w:t>
      </w:r>
      <w:r>
        <w:rPr>
          <w:rFonts w:hint="eastAsia"/>
        </w:rPr>
        <w:t>含有</w:t>
      </w:r>
      <w:r>
        <w:t xml:space="preserve"> </w:t>
      </w:r>
      <w:r>
        <w:rPr>
          <w:rStyle w:val="48"/>
        </w:rPr>
        <w:t>secrets</w:t>
      </w:r>
      <w:r>
        <w:t xml:space="preserve"> </w:t>
      </w:r>
      <w:r>
        <w:rPr>
          <w:rFonts w:hint="eastAsia"/>
        </w:rPr>
        <w:t>资源的</w:t>
      </w:r>
      <w:r>
        <w:t xml:space="preserve"> </w:t>
      </w:r>
      <w:r>
        <w:rPr>
          <w:rStyle w:val="48"/>
        </w:rPr>
        <w:t>get/list/watch</w:t>
      </w:r>
      <w:r>
        <w:t xml:space="preserve"> </w:t>
      </w:r>
      <w:r>
        <w:rPr>
          <w:rFonts w:hint="eastAsia"/>
        </w:rPr>
        <w:t>动词。以</w:t>
      </w:r>
      <w:r>
        <w:t xml:space="preserve"> </w:t>
      </w:r>
      <w:r>
        <w:rPr>
          <w:rStyle w:val="48"/>
        </w:rPr>
        <w:t>cfs-csi-service-account</w:t>
      </w:r>
      <w:r>
        <w:t xml:space="preserve"> </w:t>
      </w:r>
      <w:r>
        <w:rPr>
          <w:rFonts w:hint="eastAsia"/>
        </w:rPr>
        <w:t>身份执行</w:t>
      </w:r>
      <w:r>
        <w:t xml:space="preserve"> </w:t>
      </w:r>
      <w:r>
        <w:rPr>
          <w:rStyle w:val="48"/>
        </w:rPr>
        <w:t>kubectl auth can-i list secrets --all-namespaces</w:t>
      </w:r>
      <w:r>
        <w:rPr>
          <w:rFonts w:hint="eastAsia"/>
        </w:rPr>
        <w:t>，结果返回</w:t>
      </w:r>
      <w:r>
        <w:t xml:space="preserve"> </w:t>
      </w:r>
      <w:r>
        <w:rPr>
          <w:rStyle w:val="48"/>
        </w:rPr>
        <w:t>yes</w:t>
      </w:r>
      <w:r>
        <w:rPr>
          <w:rFonts w:hint="eastAsia"/>
        </w:rPr>
        <w:t>，表明该账号具备跨命名空间读取</w:t>
      </w:r>
      <w:r>
        <w:t xml:space="preserve"> </w:t>
      </w:r>
      <w:r>
        <w:rPr>
          <w:rStyle w:val="48"/>
        </w:rPr>
        <w:t>Secret</w:t>
      </w:r>
      <w:r>
        <w:t xml:space="preserve"> </w:t>
      </w:r>
      <w:r>
        <w:rPr>
          <w:rFonts w:hint="eastAsia"/>
        </w:rPr>
        <w:t>的能力。攻击者一旦控制</w:t>
      </w:r>
      <w:r>
        <w:t xml:space="preserve"> CSI Pod </w:t>
      </w:r>
      <w:r>
        <w:rPr>
          <w:rFonts w:hint="eastAsia"/>
        </w:rPr>
        <w:t>运行时上下文，即可沿该权限路径继续获取高价值凭据。完整命令与策略清单如下。</w:t>
      </w:r>
    </w:p>
    <w:p w14:paraId="05F04551">
      <w:pPr>
        <w:pStyle w:val="3"/>
      </w:pPr>
      <w:r>
        <w:rPr>
          <w:rFonts w:hint="eastAsia"/>
          <w:b/>
          <w:bCs/>
        </w:rPr>
        <w:t>变量约定(按实际替换)</w:t>
      </w:r>
    </w:p>
    <w:p w14:paraId="66EB444A">
      <w:pPr>
        <w:pStyle w:val="3"/>
      </w:pPr>
      <w:r>
        <w:t xml:space="preserve">NAMESPACE=&lt;cubefs-namespace&gt; SA=cfs-csi-service-account CLUSTERROLE=cfs-csi-cluster-role # </w:t>
      </w:r>
      <w:r>
        <w:rPr>
          <w:rFonts w:hint="eastAsia"/>
        </w:rPr>
        <w:t>如</w:t>
      </w:r>
      <w:r>
        <w:t xml:space="preserve"> SA </w:t>
      </w:r>
      <w:r>
        <w:rPr>
          <w:rFonts w:hint="eastAsia"/>
        </w:rPr>
        <w:t>名称不同，请先定位：</w:t>
      </w:r>
      <w:r>
        <w:t xml:space="preserve"> kubectl get sa -A | findstr /i "csi cfs cubefs" kubectl get clusterrole,clusterrolebinding -A | findstr /i "csi cfs cubefs"</w:t>
      </w:r>
    </w:p>
    <w:p w14:paraId="7205A418">
      <w:pPr>
        <w:pStyle w:val="3"/>
      </w:pPr>
      <w:r>
        <w:rPr>
          <w:rFonts w:hint="eastAsia"/>
          <w:b/>
          <w:bCs/>
        </w:rPr>
        <w:t>步骤</w:t>
      </w:r>
      <w:r>
        <w:rPr>
          <w:b/>
          <w:bCs/>
        </w:rPr>
        <w:t xml:space="preserve"> </w:t>
      </w:r>
      <w:r>
        <w:rPr>
          <w:rFonts w:hint="eastAsia"/>
          <w:b/>
          <w:bCs/>
        </w:rPr>
        <w:t>1：导出</w:t>
      </w:r>
      <w:r>
        <w:rPr>
          <w:b/>
          <w:bCs/>
        </w:rPr>
        <w:t xml:space="preserve"> RBAC </w:t>
      </w:r>
      <w:r>
        <w:rPr>
          <w:rFonts w:hint="eastAsia"/>
          <w:b/>
          <w:bCs/>
        </w:rPr>
        <w:t>证据(确认</w:t>
      </w:r>
      <w:r>
        <w:rPr>
          <w:b/>
          <w:bCs/>
        </w:rPr>
        <w:t xml:space="preserve"> secrets </w:t>
      </w:r>
      <w:r>
        <w:rPr>
          <w:rFonts w:hint="eastAsia"/>
          <w:b/>
          <w:bCs/>
        </w:rPr>
        <w:t>权限存在)</w:t>
      </w:r>
    </w:p>
    <w:p w14:paraId="102A05A9">
      <w:pPr>
        <w:pStyle w:val="3"/>
      </w:pPr>
      <w:r>
        <w:rPr>
          <w:rFonts w:hint="eastAsia"/>
          <w:b/>
          <w:bCs/>
        </w:rPr>
        <w:t>步骤</w:t>
      </w:r>
      <w:r>
        <w:rPr>
          <w:b/>
          <w:bCs/>
        </w:rPr>
        <w:t xml:space="preserve"> </w:t>
      </w:r>
      <w:r>
        <w:rPr>
          <w:rFonts w:hint="eastAsia"/>
          <w:b/>
          <w:bCs/>
        </w:rPr>
        <w:t>2：受控权限验证(不执行实际数据提取)</w:t>
      </w:r>
    </w:p>
    <w:p w14:paraId="2D806F16">
      <w:pPr>
        <w:pStyle w:val="3"/>
      </w:pPr>
      <w:r>
        <w:t xml:space="preserve"># </w:t>
      </w:r>
      <w:r>
        <w:rPr>
          <w:rFonts w:hint="eastAsia"/>
        </w:rPr>
        <w:t>直接验证该</w:t>
      </w:r>
      <w:r>
        <w:t xml:space="preserve"> SA </w:t>
      </w:r>
      <w:r>
        <w:rPr>
          <w:rFonts w:hint="eastAsia"/>
        </w:rPr>
        <w:t>是否具备跨命名空间读取</w:t>
      </w:r>
      <w:r>
        <w:t xml:space="preserve"> secrets </w:t>
      </w:r>
      <w:r>
        <w:rPr>
          <w:rFonts w:hint="eastAsia"/>
        </w:rPr>
        <w:t>的能力</w:t>
      </w:r>
      <w:r>
        <w:t xml:space="preserve"> kubectl auth can-i get secrets –as=system:serviceaccount:</w:t>
      </w:r>
      <m:oMath>
        <m:r>
          <m:rPr/>
          <m:t>NAMESPACE</m:t>
        </m:r>
        <m:r>
          <m:rPr>
            <m:sty m:val="p"/>
          </m:rPr>
          <m:t>:</m:t>
        </m:r>
      </m:oMath>
      <w:r>
        <w:t>SA –all-namespaces kubectl auth can-i list secrets –as=system:serviceaccount:</w:t>
      </w:r>
      <m:oMath>
        <m:r>
          <m:rPr/>
          <m:t>NAMESPACE</m:t>
        </m:r>
        <m:r>
          <m:rPr>
            <m:sty m:val="p"/>
          </m:rPr>
          <m:t>:</m:t>
        </m:r>
      </m:oMath>
      <w:r>
        <w:t>SA –all-namespaces kubectl auth can-i watch secrets –as=system:serviceaccount:</w:t>
      </w:r>
      <m:oMath>
        <m:r>
          <m:rPr/>
          <m:t>NAMESPACE</m:t>
        </m:r>
        <m:r>
          <m:rPr>
            <m:sty m:val="p"/>
          </m:rPr>
          <m:t>:</m:t>
        </m:r>
      </m:oMath>
      <w:r>
        <w:t>SA –all-namespaces</w:t>
      </w:r>
    </w:p>
    <w:p w14:paraId="2B9D6B4C">
      <w:pPr>
        <w:pStyle w:val="3"/>
      </w:pPr>
      <w:r>
        <w:rPr>
          <w:rFonts w:hint="eastAsia"/>
          <w:b/>
          <w:bCs/>
        </w:rPr>
        <w:t>权限提升路径</w:t>
      </w:r>
    </w:p>
    <w:p w14:paraId="3857441D">
      <w:pPr>
        <w:pStyle w:val="3"/>
      </w:pPr>
      <w:r>
        <w:t xml:space="preserve">CubeFS CSI </w:t>
      </w:r>
      <w:r>
        <w:rPr>
          <w:rFonts w:hint="eastAsia"/>
        </w:rPr>
        <w:t>安装环境</w:t>
      </w:r>
      <w:r>
        <w:t xml:space="preserve"> | +–&gt; DaemonSet: cfs-csi-node </w:t>
      </w:r>
      <w:r>
        <w:rPr>
          <w:rFonts w:hint="eastAsia"/>
        </w:rPr>
        <w:t>(节点插件)</w:t>
      </w:r>
      <w:r>
        <w:t xml:space="preserve"> | +–&gt; Deployment: cfs-csi-controller </w:t>
      </w:r>
      <w:r>
        <w:rPr>
          <w:rFonts w:hint="eastAsia"/>
        </w:rPr>
        <w:t>(控制器)</w:t>
      </w:r>
      <w:r>
        <w:t xml:space="preserve"> | v ServiceAccount: cfs-csi-service-account | v ClusterRole: cfs-csi-cluster-role </w:t>
      </w:r>
      <w:r>
        <w:rPr>
          <w:rFonts w:hint="eastAsia"/>
        </w:rPr>
        <w:t>(误包含</w:t>
      </w:r>
      <w:r>
        <w:t xml:space="preserve"> secrets </w:t>
      </w:r>
      <w:r>
        <w:rPr>
          <w:rFonts w:hint="eastAsia"/>
        </w:rPr>
        <w:t>的</w:t>
      </w:r>
      <w:r>
        <w:t xml:space="preserve"> get/list/watch) | v </w:t>
      </w:r>
      <w:r>
        <w:rPr>
          <w:rFonts w:hint="eastAsia"/>
        </w:rPr>
        <w:t>一旦攻击者控制节点或</w:t>
      </w:r>
      <w:r>
        <w:t xml:space="preserve"> CSI Pod =&gt; </w:t>
      </w:r>
      <w:r>
        <w:rPr>
          <w:rFonts w:hint="eastAsia"/>
        </w:rPr>
        <w:t>可滥用该</w:t>
      </w:r>
      <w:r>
        <w:t xml:space="preserve"> SA </w:t>
      </w:r>
      <w:r>
        <w:rPr>
          <w:rFonts w:hint="eastAsia"/>
        </w:rPr>
        <w:t>的身份边界</w:t>
      </w:r>
      <w:r>
        <w:t xml:space="preserve"> </w:t>
      </w:r>
      <w:r>
        <w:rPr>
          <w:rFonts w:hint="eastAsia"/>
        </w:rPr>
        <w:t>(风险：读取高价值凭据</w:t>
      </w:r>
      <w:r>
        <w:t xml:space="preserve"> -&gt; </w:t>
      </w:r>
      <w:r>
        <w:rPr>
          <w:rFonts w:hint="eastAsia"/>
        </w:rPr>
        <w:t>演化为集群级权限提升)</w:t>
      </w:r>
    </w:p>
    <w:tbl>
      <w:tblPr>
        <w:tblStyle w:val="18"/>
        <w:tblW w:w="0" w:type="auto"/>
        <w:jc w:val="center"/>
        <w:tblLayout w:type="autofit"/>
        <w:tblCellMar>
          <w:top w:w="0" w:type="dxa"/>
          <w:left w:w="10" w:type="dxa"/>
          <w:bottom w:w="0" w:type="dxa"/>
          <w:right w:w="10" w:type="dxa"/>
        </w:tblCellMar>
      </w:tblPr>
      <w:tblGrid>
        <w:gridCol w:w="8000"/>
      </w:tblGrid>
      <w:tr w14:paraId="541642A3">
        <w:tblPrEx>
          <w:tblCellMar>
            <w:top w:w="0" w:type="dxa"/>
            <w:left w:w="10" w:type="dxa"/>
            <w:bottom w:w="0" w:type="dxa"/>
            <w:right w:w="10" w:type="dxa"/>
          </w:tblCellMar>
        </w:tblPrEx>
        <w:trPr>
          <w:jc w:val="center"/>
        </w:trPr>
        <w:tc>
          <w:p w14:paraId="2BB75383">
            <w:pPr>
              <w:jc w:val="center"/>
            </w:pPr>
            <w:bookmarkStart w:id="201" w:name="fig:cve-2023-30512-verify"/>
            <w:r>
              <w:drawing>
                <wp:inline distT="0" distB="0" distL="114300" distR="114300">
                  <wp:extent cx="5067300" cy="4370070"/>
                  <wp:effectExtent l="0" t="0" r="0" b="0"/>
                  <wp:docPr id="31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descr="image"/>
                          <pic:cNvPicPr>
                            <a:picLocks noChangeAspect="1" noChangeArrowheads="1"/>
                          </pic:cNvPicPr>
                        </pic:nvPicPr>
                        <pic:blipFill>
                          <a:blip r:embed="rId37"/>
                          <a:stretch>
                            <a:fillRect/>
                          </a:stretch>
                        </pic:blipFill>
                        <pic:spPr>
                          <a:xfrm>
                            <a:off x="0" y="0"/>
                            <a:ext cx="5067300" cy="4370654"/>
                          </a:xfrm>
                          <a:prstGeom prst="rect">
                            <a:avLst/>
                          </a:prstGeom>
                          <a:noFill/>
                          <a:ln w="9525">
                            <a:noFill/>
                          </a:ln>
                        </pic:spPr>
                      </pic:pic>
                    </a:graphicData>
                  </a:graphic>
                </wp:inline>
              </w:drawing>
            </w:r>
            <w:r>
              <w:t xml:space="preserve"> </w:t>
            </w:r>
            <w:bookmarkStart w:id="202" w:name="fig:cve-2023-30512-verify"/>
            <w:bookmarkEnd w:id="202"/>
          </w:p>
        </w:tc>
      </w:tr>
      <w:bookmarkEnd w:id="198"/>
      <w:bookmarkEnd w:id="201"/>
    </w:tbl>
    <w:p w14:paraId="5BE0ED08">
      <w:pPr>
        <w:pStyle w:val="6"/>
      </w:pPr>
      <w:bookmarkStart w:id="203" w:name="安全策略生成-2"/>
      <w:r>
        <w:rPr>
          <w:rFonts w:hint="eastAsia"/>
        </w:rPr>
        <w:t>安全策略生成</w:t>
      </w:r>
    </w:p>
    <w:p w14:paraId="639D25FD">
      <w:pPr>
        <w:pStyle w:val="23"/>
      </w:pPr>
      <w:r>
        <w:t xml:space="preserve">KPEDefense </w:t>
      </w:r>
      <w:r>
        <w:rPr>
          <w:rFonts w:hint="eastAsia"/>
        </w:rPr>
        <w:t>筛选出的最优策略分为两层：先移除</w:t>
      </w:r>
      <w:r>
        <w:t xml:space="preserve"> CSI ServiceAccount </w:t>
      </w:r>
      <w:r>
        <w:rPr>
          <w:rFonts w:hint="eastAsia"/>
        </w:rPr>
        <w:t>对集群范围</w:t>
      </w:r>
      <w:r>
        <w:t xml:space="preserve"> </w:t>
      </w:r>
      <w:r>
        <w:rPr>
          <w:rStyle w:val="48"/>
        </w:rPr>
        <w:t>Secret</w:t>
      </w:r>
      <w:r>
        <w:t xml:space="preserve"> </w:t>
      </w:r>
      <w:r>
        <w:rPr>
          <w:rFonts w:hint="eastAsia"/>
        </w:rPr>
        <w:t>的读取权限，再通过</w:t>
      </w:r>
      <w:r>
        <w:t xml:space="preserve"> Gatekeeper </w:t>
      </w:r>
      <w:r>
        <w:rPr>
          <w:rFonts w:hint="eastAsia"/>
        </w:rPr>
        <w:t>准入规则阻止包含高危动词的</w:t>
      </w:r>
      <w:r>
        <w:t xml:space="preserve"> ClusterRole </w:t>
      </w:r>
      <w:r>
        <w:rPr>
          <w:rFonts w:hint="eastAsia"/>
        </w:rPr>
        <w:t>变更重新进入集群，从根源与回归两个方向封堵过度授权风险。详细配置如下。</w:t>
      </w:r>
    </w:p>
    <w:p w14:paraId="47C49B7B">
      <w:pPr>
        <w:pStyle w:val="3"/>
      </w:pPr>
      <w:r>
        <w:rPr>
          <w:b/>
          <w:bCs/>
        </w:rPr>
        <w:t xml:space="preserve">1)RBAC </w:t>
      </w:r>
      <w:r>
        <w:rPr>
          <w:rFonts w:hint="eastAsia"/>
          <w:b/>
          <w:bCs/>
        </w:rPr>
        <w:t>最小化：移除</w:t>
      </w:r>
      <w:r>
        <w:rPr>
          <w:b/>
          <w:bCs/>
        </w:rPr>
        <w:t xml:space="preserve"> ClusterRole </w:t>
      </w:r>
      <w:r>
        <w:rPr>
          <w:rFonts w:hint="eastAsia"/>
          <w:b/>
          <w:bCs/>
        </w:rPr>
        <w:t>中的</w:t>
      </w:r>
      <w:r>
        <w:rPr>
          <w:b/>
          <w:bCs/>
        </w:rPr>
        <w:t xml:space="preserve"> </w:t>
      </w:r>
      <w:r>
        <w:rPr>
          <w:rStyle w:val="48"/>
          <w:b/>
          <w:bCs/>
        </w:rPr>
        <w:t>secrets</w:t>
      </w:r>
      <w:r>
        <w:rPr>
          <w:b/>
          <w:bCs/>
        </w:rPr>
        <w:t xml:space="preserve"> </w:t>
      </w:r>
      <w:r>
        <w:rPr>
          <w:rFonts w:hint="eastAsia"/>
          <w:b/>
          <w:bCs/>
        </w:rPr>
        <w:t>权限</w:t>
      </w:r>
    </w:p>
    <w:p w14:paraId="3C7EE6A2">
      <w:pPr>
        <w:pStyle w:val="3"/>
      </w:pPr>
      <w:r>
        <w:t xml:space="preserve">cat &lt;&lt;’EOF’ | kubectl apply -f - apiVersion: rbac.authorization.k8s.io/v1 kind: ClusterRole metadata: name: cfs-csi-cluster-role labels: app.kubernetes.io/name: cfs-csi rules: - apiGroups: [""] resources: ["nodes","persistentvolumes","pods"] verbs: ["get","list","watch"] - apiGroups: ["storage.k8s.io"] resources: ["volumeattachments","csinodes"] verbs: ["get","list","watch"] # </w:t>
      </w:r>
      <w:r>
        <w:rPr>
          <w:rFonts w:hint="eastAsia"/>
        </w:rPr>
        <w:t>注意：不应包含</w:t>
      </w:r>
      <w:r>
        <w:t xml:space="preserve"> resources:["secrets"] EOF</w:t>
      </w:r>
    </w:p>
    <w:p w14:paraId="27FA0897">
      <w:pPr>
        <w:pStyle w:val="3"/>
      </w:pPr>
      <w:r>
        <w:t xml:space="preserve"># </w:t>
      </w:r>
      <w:r>
        <w:rPr>
          <w:rFonts w:hint="eastAsia"/>
        </w:rPr>
        <w:t>复测(期望输出</w:t>
      </w:r>
      <w:r>
        <w:t xml:space="preserve"> no) kubectl auth can-i list secrets –as=system:serviceaccount:</w:t>
      </w:r>
      <m:oMath>
        <m:r>
          <m:rPr/>
          <m:t>NAMESPACE</m:t>
        </m:r>
        <m:r>
          <m:rPr>
            <m:sty m:val="p"/>
          </m:rPr>
          <m:t>:</m:t>
        </m:r>
      </m:oMath>
      <w:r>
        <w:t>SA –all-namespaces</w:t>
      </w:r>
    </w:p>
    <w:p w14:paraId="3F18D755">
      <w:pPr>
        <w:pStyle w:val="3"/>
      </w:pPr>
      <w:r>
        <w:rPr>
          <w:rFonts w:hint="eastAsia"/>
          <w:b/>
          <w:bCs/>
        </w:rPr>
        <w:t>2)准入防回归(OPA</w:t>
      </w:r>
      <w:r>
        <w:rPr>
          <w:b/>
          <w:bCs/>
        </w:rPr>
        <w:t xml:space="preserve"> </w:t>
      </w:r>
      <w:r>
        <w:rPr>
          <w:rFonts w:hint="eastAsia"/>
          <w:b/>
          <w:bCs/>
        </w:rPr>
        <w:t>Gatekeeper)：禁止创建包含</w:t>
      </w:r>
      <w:r>
        <w:rPr>
          <w:b/>
          <w:bCs/>
        </w:rPr>
        <w:t xml:space="preserve"> secrets </w:t>
      </w:r>
      <w:r>
        <w:rPr>
          <w:rFonts w:hint="eastAsia"/>
          <w:b/>
          <w:bCs/>
        </w:rPr>
        <w:t>读取动词的</w:t>
      </w:r>
      <w:r>
        <w:rPr>
          <w:b/>
          <w:bCs/>
        </w:rPr>
        <w:t xml:space="preserve"> ClusterRole</w:t>
      </w:r>
    </w:p>
    <w:p w14:paraId="6A194B19">
      <w:pPr>
        <w:pStyle w:val="3"/>
      </w:pPr>
      <w:r>
        <w:t xml:space="preserve"># Rego </w:t>
      </w:r>
      <w:r>
        <w:rPr>
          <w:rFonts w:hint="eastAsia"/>
        </w:rPr>
        <w:t>辅助谓词：匹配</w:t>
      </w:r>
      <w:r>
        <w:t xml:space="preserve"> rules </w:t>
      </w:r>
      <w:r>
        <w:rPr>
          <w:rFonts w:hint="eastAsia"/>
        </w:rPr>
        <w:t>中包含</w:t>
      </w:r>
      <w:r>
        <w:t xml:space="preserve"> secrets </w:t>
      </w:r>
      <w:r>
        <w:rPr>
          <w:rFonts w:hint="eastAsia"/>
        </w:rPr>
        <w:t>资源且带有读取动词的条目</w:t>
      </w:r>
      <w:r>
        <w:t xml:space="preserve"> has_secrets_rule(rule)  rule.resources[_] == "secrets" rule.verbs[_] == "get"  has_secrets_rule(rule)  rule.resources[_] == "secrets" rule.verbs[_] == "list"  has_secrets_rule(rule)  rule.resources[_] == "secrets" rule.verbs[_] == "watch" </w:t>
      </w:r>
    </w:p>
    <w:p w14:paraId="79C5BC37">
      <w:pPr>
        <w:pStyle w:val="3"/>
      </w:pPr>
      <w:r>
        <w:t xml:space="preserve"># </w:t>
      </w:r>
      <w:r>
        <w:rPr>
          <w:rFonts w:hint="eastAsia"/>
        </w:rPr>
        <w:t>违规判断：ClusterRole</w:t>
      </w:r>
      <w:r>
        <w:t xml:space="preserve"> </w:t>
      </w:r>
      <w:r>
        <w:rPr>
          <w:rFonts w:hint="eastAsia"/>
        </w:rPr>
        <w:t>中包含任意</w:t>
      </w:r>
      <w:r>
        <w:t xml:space="preserve"> secrets </w:t>
      </w:r>
      <w:r>
        <w:rPr>
          <w:rFonts w:hint="eastAsia"/>
        </w:rPr>
        <w:t>读取条目即触发违规</w:t>
      </w:r>
      <w:r>
        <w:t xml:space="preserve"> violation["msg": msg]  input.review.kind.kind == "ClusterRole" some i rule := input.review.object.rules[i] has_secrets_rule(rule) msg := "ClusterRole must not grant get/list/watch on secrets"  EOF</w:t>
      </w:r>
    </w:p>
    <w:p w14:paraId="432BA9CD">
      <w:pPr>
        <w:pStyle w:val="3"/>
      </w:pPr>
      <w:r>
        <w:t xml:space="preserve">cat &lt;&lt;’EOF’ | kubectl apply -f - apiVersion: constraints.gatekeeper.sh/v1beta1 kind: K8sDenySecretsRBAC metadata: name: deny-clusterrole-secrets-read spec: enforcementAction: dryrun # </w:t>
      </w:r>
      <w:r>
        <w:rPr>
          <w:rFonts w:hint="eastAsia"/>
        </w:rPr>
        <w:t>先以审计模式运行，确认无误拦截后再切换至</w:t>
      </w:r>
      <w:r>
        <w:t xml:space="preserve"> enforce match: kinds: - apiGroups: ["rbac.authorization.k8s.io"] kinds: ["ClusterRole"] EOF</w:t>
      </w:r>
    </w:p>
    <w:p w14:paraId="3C48EE36">
      <w:pPr>
        <w:pStyle w:val="3"/>
      </w:pPr>
      <w:r>
        <w:rPr>
          <w:rFonts w:hint="eastAsia"/>
          <w:b/>
          <w:bCs/>
        </w:rPr>
        <w:t>3)审计与检测：对</w:t>
      </w:r>
      <w:r>
        <w:rPr>
          <w:b/>
          <w:bCs/>
        </w:rPr>
        <w:t xml:space="preserve"> </w:t>
      </w:r>
      <w:r>
        <w:rPr>
          <w:rStyle w:val="48"/>
          <w:b/>
          <w:bCs/>
        </w:rPr>
        <w:t>secrets</w:t>
      </w:r>
      <w:r>
        <w:rPr>
          <w:b/>
          <w:bCs/>
        </w:rPr>
        <w:t xml:space="preserve"> </w:t>
      </w:r>
      <w:r>
        <w:rPr>
          <w:rFonts w:hint="eastAsia"/>
          <w:b/>
          <w:bCs/>
        </w:rPr>
        <w:t>枚举行为进行可观测化</w:t>
      </w:r>
    </w:p>
    <w:p w14:paraId="068FEFFD">
      <w:pPr>
        <w:pStyle w:val="3"/>
      </w:pPr>
      <w:r>
        <w:t xml:space="preserve">apiVersion: audit.k8s.io/v1 kind: Policy rules: # </w:t>
      </w:r>
      <w:r>
        <w:rPr>
          <w:rFonts w:hint="eastAsia"/>
        </w:rPr>
        <w:t>记录所有对</w:t>
      </w:r>
      <w:r>
        <w:t xml:space="preserve"> secrets </w:t>
      </w:r>
      <w:r>
        <w:rPr>
          <w:rFonts w:hint="eastAsia"/>
        </w:rPr>
        <w:t>的读取操作，Metadata</w:t>
      </w:r>
      <w:r>
        <w:t xml:space="preserve"> </w:t>
      </w:r>
      <w:r>
        <w:rPr>
          <w:rFonts w:hint="eastAsia"/>
        </w:rPr>
        <w:t>级别可避免指密内容写入日志</w:t>
      </w:r>
      <w:r>
        <w:t xml:space="preserve"> - level: Metadata verbs: ["get","list","watch"] resources: - group: "" resources: ["secrets"] omitStages: ["RequestReceived"]</w:t>
      </w:r>
    </w:p>
    <w:bookmarkEnd w:id="203"/>
    <w:p w14:paraId="5226DE72">
      <w:pPr>
        <w:pStyle w:val="6"/>
      </w:pPr>
      <w:bookmarkStart w:id="204" w:name="安全策略验证-2"/>
      <w:r>
        <w:rPr>
          <w:rFonts w:hint="eastAsia"/>
        </w:rPr>
        <w:t>安全策略验证</w:t>
      </w:r>
    </w:p>
    <w:p w14:paraId="15BBD6F9">
      <w:pPr>
        <w:pStyle w:val="23"/>
      </w:pPr>
      <w:r>
        <w:rPr>
          <w:rFonts w:hint="eastAsia"/>
        </w:rPr>
        <w:t>策略部署后，重新以</w:t>
      </w:r>
      <w:r>
        <w:t xml:space="preserve"> </w:t>
      </w:r>
      <w:r>
        <w:rPr>
          <w:rStyle w:val="48"/>
        </w:rPr>
        <w:t>cfs-csi-service-account</w:t>
      </w:r>
      <w:r>
        <w:t xml:space="preserve"> </w:t>
      </w:r>
      <w:r>
        <w:rPr>
          <w:rFonts w:hint="eastAsia"/>
        </w:rPr>
        <w:t>身份执行权限验证，从有效性、无干扰性与可部署性三个维度评估防护效果。</w:t>
      </w:r>
    </w:p>
    <w:p w14:paraId="5E6B2CFB">
      <w:pPr>
        <w:pStyle w:val="3"/>
      </w:pPr>
      <w:r>
        <w:rPr>
          <w:rFonts w:hint="eastAsia"/>
          <w:b/>
          <w:bCs/>
        </w:rPr>
        <w:t>有效性：</w:t>
      </w:r>
      <w:r>
        <w:t xml:space="preserve"> RBAC </w:t>
      </w:r>
      <w:r>
        <w:rPr>
          <w:rFonts w:hint="eastAsia"/>
        </w:rPr>
        <w:t>收敛后，</w:t>
      </w:r>
      <w:r>
        <w:rPr>
          <w:rStyle w:val="48"/>
        </w:rPr>
        <w:t>kubectl auth can-i list secrets --all-namespaces</w:t>
      </w:r>
      <w:r>
        <w:t xml:space="preserve"> </w:t>
      </w:r>
      <w:r>
        <w:rPr>
          <w:rFonts w:hint="eastAsia"/>
        </w:rPr>
        <w:t>的结果由</w:t>
      </w:r>
      <w:r>
        <w:t xml:space="preserve"> </w:t>
      </w:r>
      <w:r>
        <w:rPr>
          <w:rStyle w:val="48"/>
        </w:rPr>
        <w:t>yes</w:t>
      </w:r>
      <w:r>
        <w:t xml:space="preserve"> </w:t>
      </w:r>
      <w:r>
        <w:rPr>
          <w:rFonts w:hint="eastAsia"/>
        </w:rPr>
        <w:t>变为</w:t>
      </w:r>
      <w:r>
        <w:t xml:space="preserve"> </w:t>
      </w:r>
      <w:r>
        <w:rPr>
          <w:rStyle w:val="48"/>
        </w:rPr>
        <w:t>no</w:t>
      </w:r>
      <w:r>
        <w:rPr>
          <w:rFonts w:hint="eastAsia"/>
        </w:rPr>
        <w:t>，说明</w:t>
      </w:r>
      <w:r>
        <w:t xml:space="preserve"> CSI ServiceAccount </w:t>
      </w:r>
      <w:r>
        <w:rPr>
          <w:rFonts w:hint="eastAsia"/>
        </w:rPr>
        <w:t>对</w:t>
      </w:r>
      <w:r>
        <w:t xml:space="preserve"> </w:t>
      </w:r>
      <w:r>
        <w:rPr>
          <w:rStyle w:val="48"/>
        </w:rPr>
        <w:t>Secret</w:t>
      </w:r>
      <w:r>
        <w:t xml:space="preserve"> </w:t>
      </w:r>
      <w:r>
        <w:rPr>
          <w:rFonts w:hint="eastAsia"/>
        </w:rPr>
        <w:t>的跨命名空间读取能力已移除。准入规则生效后，包含</w:t>
      </w:r>
      <w:r>
        <w:t xml:space="preserve"> </w:t>
      </w:r>
      <w:r>
        <w:rPr>
          <w:rStyle w:val="48"/>
        </w:rPr>
        <w:t>secrets</w:t>
      </w:r>
      <w:r>
        <w:t xml:space="preserve"> </w:t>
      </w:r>
      <w:r>
        <w:rPr>
          <w:rFonts w:hint="eastAsia"/>
        </w:rPr>
        <w:t>读取动词的</w:t>
      </w:r>
      <w:r>
        <w:t xml:space="preserve"> ClusterRole </w:t>
      </w:r>
      <w:r>
        <w:rPr>
          <w:rFonts w:hint="eastAsia"/>
        </w:rPr>
        <w:t>变更无法再次进入集群，过度授权回归路径被阻断。</w:t>
      </w:r>
    </w:p>
    <w:p w14:paraId="132C7872">
      <w:pPr>
        <w:pStyle w:val="3"/>
      </w:pPr>
      <w:r>
        <w:rPr>
          <w:rFonts w:hint="eastAsia"/>
          <w:b/>
          <w:bCs/>
        </w:rPr>
        <w:t>无干扰性：</w:t>
      </w:r>
      <w:r>
        <w:t xml:space="preserve"> </w:t>
      </w:r>
      <w:r>
        <w:rPr>
          <w:rFonts w:hint="eastAsia"/>
        </w:rPr>
        <w:t>策略收紧对象限于</w:t>
      </w:r>
      <w:r>
        <w:t xml:space="preserve"> CSI </w:t>
      </w:r>
      <w:r>
        <w:rPr>
          <w:rFonts w:hint="eastAsia"/>
        </w:rPr>
        <w:t>组件的非必要权限，PVC/PV</w:t>
      </w:r>
      <w:r>
        <w:t xml:space="preserve"> </w:t>
      </w:r>
      <w:r>
        <w:rPr>
          <w:rFonts w:hint="eastAsia"/>
        </w:rPr>
        <w:t>生命周期、挂载与卸载流程保持正常。准入规则先以审计模式运行，确认无平台必需权限被误拦截后再切换至强制模式。</w:t>
      </w:r>
    </w:p>
    <w:p w14:paraId="17569DAB">
      <w:pPr>
        <w:pStyle w:val="3"/>
      </w:pPr>
      <w:r>
        <w:rPr>
          <w:rFonts w:hint="eastAsia"/>
          <w:b/>
          <w:bCs/>
        </w:rPr>
        <w:t>可部署性：</w:t>
      </w:r>
      <w:r>
        <w:t xml:space="preserve"> RBAC </w:t>
      </w:r>
      <w:r>
        <w:rPr>
          <w:rFonts w:hint="eastAsia"/>
        </w:rPr>
        <w:t>规则与准入策略均采用</w:t>
      </w:r>
      <w:r>
        <w:t xml:space="preserve"> YAML </w:t>
      </w:r>
      <w:r>
        <w:rPr>
          <w:rFonts w:hint="eastAsia"/>
        </w:rPr>
        <w:t>形式管理，可直接纳入</w:t>
      </w:r>
      <w:r>
        <w:t xml:space="preserve"> Git </w:t>
      </w:r>
      <w:r>
        <w:rPr>
          <w:rFonts w:hint="eastAsia"/>
        </w:rPr>
        <w:t>基线并通过</w:t>
      </w:r>
      <w:r>
        <w:t xml:space="preserve"> </w:t>
      </w:r>
      <w:r>
        <w:rPr>
          <w:rStyle w:val="48"/>
        </w:rPr>
        <w:t>kubectl apply</w:t>
      </w:r>
      <w:r>
        <w:t xml:space="preserve"> </w:t>
      </w:r>
      <w:r>
        <w:rPr>
          <w:rFonts w:hint="eastAsia"/>
        </w:rPr>
        <w:t>部署。该方案依赖</w:t>
      </w:r>
      <w:r>
        <w:t xml:space="preserve"> K8s </w:t>
      </w:r>
      <w:r>
        <w:rPr>
          <w:rFonts w:hint="eastAsia"/>
        </w:rPr>
        <w:t>原生权限机制与常用准入组件，适合在多集群场景中复用。</w:t>
      </w:r>
    </w:p>
    <w:p w14:paraId="2C480B10">
      <w:pPr>
        <w:pStyle w:val="3"/>
      </w:pPr>
      <w:r>
        <w:rPr>
          <w:rFonts w:hint="eastAsia"/>
        </w:rPr>
        <w:t>三维验证均通过。CSI</w:t>
      </w:r>
      <w:r>
        <w:t xml:space="preserve"> ServiceAccount </w:t>
      </w:r>
      <w:r>
        <w:rPr>
          <w:rFonts w:hint="eastAsia"/>
        </w:rPr>
        <w:t>的</w:t>
      </w:r>
      <w:r>
        <w:t xml:space="preserve"> </w:t>
      </w:r>
      <w:r>
        <w:rPr>
          <w:rStyle w:val="48"/>
        </w:rPr>
        <w:t>Secret</w:t>
      </w:r>
      <w:r>
        <w:t xml:space="preserve"> </w:t>
      </w:r>
      <w:r>
        <w:rPr>
          <w:rFonts w:hint="eastAsia"/>
        </w:rPr>
        <w:t>读取能力被移除后，节点或</w:t>
      </w:r>
      <w:r>
        <w:t xml:space="preserve"> Pod </w:t>
      </w:r>
      <w:r>
        <w:rPr>
          <w:rFonts w:hint="eastAsia"/>
        </w:rPr>
        <w:t>被攻陷后继续触达集群敏感凭据的路径被关闭。该方案可作为版本修复前的补充缓解措施，最终仍需结合官方修复与安装清单更新完成根因处理。</w:t>
      </w:r>
    </w:p>
    <w:bookmarkEnd w:id="197"/>
    <w:bookmarkEnd w:id="204"/>
    <w:p w14:paraId="5E42E9D8">
      <w:pPr>
        <w:pStyle w:val="5"/>
      </w:pPr>
      <w:bookmarkStart w:id="205" w:name="案例四cve-2020-4062-网络隔离不足"/>
      <w:r>
        <w:rPr>
          <w:rFonts w:hint="eastAsia"/>
        </w:rPr>
        <w:t>案例四：CVE-2020-4062</w:t>
      </w:r>
      <w:r>
        <w:t xml:space="preserve"> </w:t>
      </w:r>
      <w:r>
        <w:rPr>
          <w:rFonts w:hint="eastAsia"/>
        </w:rPr>
        <w:t>网络隔离不足</w:t>
      </w:r>
    </w:p>
    <w:p w14:paraId="1DCF9204">
      <w:pPr>
        <w:pStyle w:val="6"/>
      </w:pPr>
      <w:bookmarkStart w:id="206" w:name="漏洞复现-3"/>
      <w:r>
        <w:rPr>
          <w:rFonts w:hint="eastAsia"/>
        </w:rPr>
        <w:t>漏洞复现</w:t>
      </w:r>
    </w:p>
    <w:p w14:paraId="4BDE3C19">
      <w:pPr>
        <w:pStyle w:val="23"/>
      </w:pPr>
      <w:r>
        <w:t xml:space="preserve">Conjur OSS </w:t>
      </w:r>
      <w:r>
        <w:rPr>
          <w:rFonts w:hint="eastAsia"/>
        </w:rPr>
        <w:t>是云原生场景下常用的机密管理系统，属于</w:t>
      </w:r>
      <w:r>
        <w:t xml:space="preserve"> Secrets Management </w:t>
      </w:r>
      <w:r>
        <w:rPr>
          <w:rFonts w:hint="eastAsia"/>
        </w:rPr>
        <w:t>系统。在典型部署中，Conjur</w:t>
      </w:r>
      <w:r>
        <w:t xml:space="preserve"> Server </w:t>
      </w:r>
      <w:r>
        <w:rPr>
          <w:rFonts w:hint="eastAsia"/>
        </w:rPr>
        <w:t>负责鉴权与策略校验，后端数据库</w:t>
      </w:r>
      <w:r>
        <w:t xml:space="preserve"> PostgreSQL </w:t>
      </w:r>
      <w:r>
        <w:rPr>
          <w:rFonts w:hint="eastAsia"/>
        </w:rPr>
        <w:t>用于持久化存储策略、审计与机密相关数据。K8s</w:t>
      </w:r>
      <w:r>
        <w:t xml:space="preserve"> </w:t>
      </w:r>
      <w:r>
        <w:rPr>
          <w:rFonts w:hint="eastAsia"/>
        </w:rPr>
        <w:t>默认网络模型在多数容器网络接口</w:t>
      </w:r>
      <w:r>
        <w:t xml:space="preserve"> CNI </w:t>
      </w:r>
      <w:r>
        <w:rPr>
          <w:rFonts w:hint="eastAsia"/>
        </w:rPr>
        <w:t>配置下呈扁平互通状态，Pod</w:t>
      </w:r>
      <w:r>
        <w:t xml:space="preserve"> </w:t>
      </w:r>
      <w:r>
        <w:rPr>
          <w:rFonts w:hint="eastAsia"/>
        </w:rPr>
        <w:t>间通信默认允许。因此，对于数据库等敏感组件，需要显式配置</w:t>
      </w:r>
      <w:r>
        <w:t xml:space="preserve"> NetworkPolicy </w:t>
      </w:r>
      <w:r>
        <w:rPr>
          <w:rFonts w:hint="eastAsia"/>
        </w:rPr>
        <w:t>等隔离策略，并建立默认拒绝策略</w:t>
      </w:r>
      <w:r>
        <w:t xml:space="preserve"> Default </w:t>
      </w:r>
      <w:r>
        <w:rPr>
          <w:rFonts w:hint="eastAsia"/>
        </w:rPr>
        <w:t>Deny，以控制最小暴露面。</w:t>
      </w:r>
    </w:p>
    <w:p w14:paraId="33958078">
      <w:pPr>
        <w:pStyle w:val="3"/>
      </w:pPr>
      <w:r>
        <w:rPr>
          <w:b/>
          <w:bCs/>
        </w:rPr>
        <w:t xml:space="preserve">CVE </w:t>
      </w:r>
      <w:r>
        <w:rPr>
          <w:rFonts w:hint="eastAsia"/>
          <w:b/>
          <w:bCs/>
        </w:rPr>
        <w:t>描述</w:t>
      </w:r>
      <w:r>
        <w:rPr>
          <w:rFonts w:hint="eastAsia"/>
        </w:rPr>
        <w:t>：CVE-2020-4062</w:t>
      </w:r>
      <w:r>
        <w:t xml:space="preserve"> </w:t>
      </w:r>
      <w:r>
        <w:rPr>
          <w:rFonts w:hint="eastAsia"/>
        </w:rPr>
        <w:t>影响</w:t>
      </w:r>
      <w:r>
        <w:t xml:space="preserve"> Conjur OSS Helm Chart 2.0.0 </w:t>
      </w:r>
      <w:r>
        <w:rPr>
          <w:rFonts w:hint="eastAsia"/>
        </w:rPr>
        <w:t>之前版本。旧版</w:t>
      </w:r>
      <w:r>
        <w:t xml:space="preserve"> Chart </w:t>
      </w:r>
      <w:r>
        <w:rPr>
          <w:rFonts w:hint="eastAsia"/>
        </w:rPr>
        <w:t>默认</w:t>
      </w:r>
      <w:r>
        <w:rPr>
          <w:rFonts w:hint="eastAsia"/>
          <w:b/>
          <w:bCs/>
        </w:rPr>
        <w:t>未提供对</w:t>
      </w:r>
      <w:r>
        <w:rPr>
          <w:b/>
          <w:bCs/>
        </w:rPr>
        <w:t xml:space="preserve"> Postgres </w:t>
      </w:r>
      <w:r>
        <w:rPr>
          <w:rFonts w:hint="eastAsia"/>
          <w:b/>
          <w:bCs/>
        </w:rPr>
        <w:t>的访问控制策略</w:t>
      </w:r>
      <w:r>
        <w:rPr>
          <w:rFonts w:hint="eastAsia"/>
        </w:rPr>
        <w:t>，例如缺失</w:t>
      </w:r>
      <w:r>
        <w:t xml:space="preserve"> </w:t>
      </w:r>
      <w:r>
        <w:rPr>
          <w:rFonts w:hint="eastAsia"/>
        </w:rPr>
        <w:t>NetworkPolicy，导致数据库服务在集群内对任意</w:t>
      </w:r>
      <w:r>
        <w:t xml:space="preserve"> Pod </w:t>
      </w:r>
      <w:r>
        <w:rPr>
          <w:rFonts w:hint="eastAsia"/>
        </w:rPr>
        <w:t>可达。即使数据库未通过</w:t>
      </w:r>
      <w:r>
        <w:t xml:space="preserve"> NodePort </w:t>
      </w:r>
      <w:r>
        <w:rPr>
          <w:rFonts w:hint="eastAsia"/>
        </w:rPr>
        <w:t>或</w:t>
      </w:r>
      <w:r>
        <w:t xml:space="preserve"> LoadBalancer </w:t>
      </w:r>
      <w:r>
        <w:rPr>
          <w:rFonts w:hint="eastAsia"/>
        </w:rPr>
        <w:t>暴露到公网，攻击者一旦获得集群内任意工作负载的执行上下文，仍可能横向移动并直连数据库，绕过应用层安全控制，从而造成机密数据泄露、策略被篡改与审计记录被破坏等后果。</w:t>
      </w:r>
    </w:p>
    <w:p w14:paraId="6E5BFB41">
      <w:pPr>
        <w:pStyle w:val="3"/>
      </w:pPr>
      <w:r>
        <w:rPr>
          <w:rFonts w:hint="eastAsia"/>
          <w:b/>
          <w:bCs/>
        </w:rPr>
        <w:t>主要成因分类</w:t>
      </w:r>
      <w:r>
        <w:rPr>
          <w:rFonts w:hint="eastAsia"/>
        </w:rPr>
        <w:t>：配置缺陷</w:t>
      </w:r>
      <w:r>
        <w:t xml:space="preserve"> / </w:t>
      </w:r>
      <w:r>
        <w:rPr>
          <w:rFonts w:hint="eastAsia"/>
        </w:rPr>
        <w:t>网络访问控制缺失。</w:t>
      </w:r>
    </w:p>
    <w:p w14:paraId="451974E1">
      <w:pPr>
        <w:pStyle w:val="3"/>
      </w:pPr>
      <w:r>
        <w:rPr>
          <w:rFonts w:hint="eastAsia"/>
          <w:b/>
          <w:bCs/>
        </w:rPr>
        <w:t>攻击链条描述</w:t>
      </w:r>
      <w:r>
        <w:rPr>
          <w:rFonts w:hint="eastAsia"/>
        </w:rPr>
        <w:t>：该漏洞可抽象为集群内横向移动与直连数据库绕过应用层安全控制的攻击链：</w:t>
      </w:r>
    </w:p>
    <w:p w14:paraId="1543BC82">
      <w:pPr>
        <w:numPr>
          <w:ilvl w:val="0"/>
          <w:numId w:val="12"/>
        </w:numPr>
      </w:pPr>
      <w:r>
        <w:rPr>
          <w:rFonts w:hint="eastAsia"/>
          <w:b/>
          <w:bCs/>
        </w:rPr>
        <w:t>初始立足点</w:t>
      </w:r>
      <w:r>
        <w:rPr>
          <w:rFonts w:hint="eastAsia"/>
        </w:rPr>
        <w:t>：攻击者控制集群内任意</w:t>
      </w:r>
      <w:r>
        <w:t xml:space="preserve"> </w:t>
      </w:r>
      <w:r>
        <w:rPr>
          <w:rFonts w:hint="eastAsia"/>
        </w:rPr>
        <w:t>Pod，例如通过业务漏洞或错误授权获得容器执行能力；</w:t>
      </w:r>
    </w:p>
    <w:p w14:paraId="152D1FF3">
      <w:pPr>
        <w:numPr>
          <w:ilvl w:val="0"/>
          <w:numId w:val="12"/>
        </w:numPr>
      </w:pPr>
      <w:r>
        <w:rPr>
          <w:rFonts w:hint="eastAsia"/>
          <w:b/>
          <w:bCs/>
        </w:rPr>
        <w:t>侦察发现</w:t>
      </w:r>
      <w:r>
        <w:rPr>
          <w:rFonts w:hint="eastAsia"/>
        </w:rPr>
        <w:t>：在目标命名空间中发现</w:t>
      </w:r>
      <w:r>
        <w:t xml:space="preserve"> Postgres Service </w:t>
      </w:r>
      <w:r>
        <w:rPr>
          <w:rFonts w:hint="eastAsia"/>
        </w:rPr>
        <w:t>与</w:t>
      </w:r>
      <w:r>
        <w:t xml:space="preserve"> 5432 </w:t>
      </w:r>
      <w:r>
        <w:rPr>
          <w:rFonts w:hint="eastAsia"/>
        </w:rPr>
        <w:t>端口；</w:t>
      </w:r>
    </w:p>
    <w:p w14:paraId="2C98AF1D">
      <w:pPr>
        <w:numPr>
          <w:ilvl w:val="0"/>
          <w:numId w:val="12"/>
        </w:numPr>
      </w:pPr>
      <w:r>
        <w:rPr>
          <w:rFonts w:hint="eastAsia"/>
          <w:b/>
          <w:bCs/>
        </w:rPr>
        <w:t>网络直连</w:t>
      </w:r>
      <w:r>
        <w:rPr>
          <w:rFonts w:hint="eastAsia"/>
        </w:rPr>
        <w:t>：由于缺失</w:t>
      </w:r>
      <w:r>
        <w:t xml:space="preserve"> </w:t>
      </w:r>
      <w:r>
        <w:rPr>
          <w:rFonts w:hint="eastAsia"/>
        </w:rPr>
        <w:t>NetworkPolicy，攻击者可从任意</w:t>
      </w:r>
      <w:r>
        <w:t xml:space="preserve"> Pod </w:t>
      </w:r>
      <w:r>
        <w:rPr>
          <w:rFonts w:hint="eastAsia"/>
        </w:rPr>
        <w:t>直连</w:t>
      </w:r>
      <w:r>
        <w:t xml:space="preserve"> </w:t>
      </w:r>
      <w:r>
        <w:rPr>
          <w:rFonts w:hint="eastAsia"/>
        </w:rPr>
        <w:t>Postgres；</w:t>
      </w:r>
    </w:p>
    <w:p w14:paraId="485B105A">
      <w:pPr>
        <w:numPr>
          <w:ilvl w:val="0"/>
          <w:numId w:val="12"/>
        </w:numPr>
      </w:pPr>
      <w:r>
        <w:rPr>
          <w:rFonts w:hint="eastAsia"/>
          <w:b/>
          <w:bCs/>
        </w:rPr>
        <w:t>影响扩展</w:t>
      </w:r>
      <w:r>
        <w:rPr>
          <w:rFonts w:hint="eastAsia"/>
        </w:rPr>
        <w:t>：若获取数据库凭据或数据密钥(来源可能包括过宽</w:t>
      </w:r>
      <w:r>
        <w:t xml:space="preserve"> </w:t>
      </w:r>
      <w:r>
        <w:rPr>
          <w:rFonts w:hint="eastAsia"/>
        </w:rPr>
        <w:t>RBAC、配置泄露或备份泄露)，风险可进一步扩展为机密窃取、权限篡改与审计删除。</w:t>
      </w:r>
    </w:p>
    <w:p w14:paraId="1ABD6411">
      <w:pPr>
        <w:pStyle w:val="23"/>
      </w:pPr>
      <w:r>
        <w:rPr>
          <w:rFonts w:hint="eastAsia"/>
        </w:rPr>
        <w:t>实验在支持</w:t>
      </w:r>
      <w:r>
        <w:t xml:space="preserve"> NetworkPolicy </w:t>
      </w:r>
      <w:r>
        <w:rPr>
          <w:rFonts w:hint="eastAsia"/>
        </w:rPr>
        <w:t>的</w:t>
      </w:r>
      <w:r>
        <w:t xml:space="preserve"> K8s </w:t>
      </w:r>
      <w:r>
        <w:rPr>
          <w:rFonts w:hint="eastAsia"/>
        </w:rPr>
        <w:t>集群中部署受影响版本的</w:t>
      </w:r>
      <w:r>
        <w:t xml:space="preserve"> Conjur OSS Helm </w:t>
      </w:r>
      <w:r>
        <w:rPr>
          <w:rFonts w:hint="eastAsia"/>
        </w:rPr>
        <w:t>Chart，并确认</w:t>
      </w:r>
      <w:r>
        <w:t xml:space="preserve"> Postgres Service </w:t>
      </w:r>
      <w:r>
        <w:rPr>
          <w:rFonts w:hint="eastAsia"/>
        </w:rPr>
        <w:t>已在目标命名空间暴露</w:t>
      </w:r>
      <w:r>
        <w:t xml:space="preserve"> 5432 </w:t>
      </w:r>
      <w:r>
        <w:rPr>
          <w:rFonts w:hint="eastAsia"/>
        </w:rPr>
        <w:t>端口。检查该命名空间中的网络策略配置后，未发现针对</w:t>
      </w:r>
      <w:r>
        <w:t xml:space="preserve"> Postgres </w:t>
      </w:r>
      <w:r>
        <w:rPr>
          <w:rFonts w:hint="eastAsia"/>
        </w:rPr>
        <w:t>入站访问的限制规则。在非</w:t>
      </w:r>
      <w:r>
        <w:t xml:space="preserve"> Conjur </w:t>
      </w:r>
      <w:r>
        <w:rPr>
          <w:rFonts w:hint="eastAsia"/>
        </w:rPr>
        <w:t>组件工作负载中对</w:t>
      </w:r>
      <w:r>
        <w:t xml:space="preserve"> Postgres 5432 </w:t>
      </w:r>
      <w:r>
        <w:rPr>
          <w:rFonts w:hint="eastAsia"/>
        </w:rPr>
        <w:t>端口发起受控</w:t>
      </w:r>
      <w:r>
        <w:t xml:space="preserve"> TCP </w:t>
      </w:r>
      <w:r>
        <w:rPr>
          <w:rFonts w:hint="eastAsia"/>
        </w:rPr>
        <w:t>连通性探测，探测结果为可达，表明数据库在集群内对普通</w:t>
      </w:r>
      <w:r>
        <w:t xml:space="preserve"> Pod </w:t>
      </w:r>
      <w:r>
        <w:rPr>
          <w:rFonts w:hint="eastAsia"/>
        </w:rPr>
        <w:t>暴露。部署默认拒绝且仅允许</w:t>
      </w:r>
      <w:r>
        <w:t xml:space="preserve"> Conjur Server </w:t>
      </w:r>
      <w:r>
        <w:rPr>
          <w:rFonts w:hint="eastAsia"/>
        </w:rPr>
        <w:t>访问</w:t>
      </w:r>
      <w:r>
        <w:t xml:space="preserve"> Postgres </w:t>
      </w:r>
      <w:r>
        <w:rPr>
          <w:rFonts w:hint="eastAsia"/>
        </w:rPr>
        <w:t>的</w:t>
      </w:r>
      <w:r>
        <w:t xml:space="preserve"> NetworkPolicy </w:t>
      </w:r>
      <w:r>
        <w:rPr>
          <w:rFonts w:hint="eastAsia"/>
        </w:rPr>
        <w:t>后，对同一路径重新探测，结果变为不可达，业务</w:t>
      </w:r>
      <w:r>
        <w:t xml:space="preserve"> Pod </w:t>
      </w:r>
      <w:r>
        <w:rPr>
          <w:rFonts w:hint="eastAsia"/>
        </w:rPr>
        <w:t>直连数据库的路径被阻断。完整复现步骤如下。</w:t>
      </w:r>
      <w:r>
        <w:t xml:space="preserve"> </w:t>
      </w:r>
      <w:r>
        <w:rPr>
          <w:rFonts w:hint="eastAsia"/>
          <w:b/>
          <w:bCs/>
        </w:rPr>
        <w:t>前提条件</w:t>
      </w:r>
    </w:p>
    <w:p w14:paraId="25057F07">
      <w:pPr>
        <w:numPr>
          <w:ilvl w:val="0"/>
          <w:numId w:val="1"/>
        </w:numPr>
      </w:pPr>
      <w:r>
        <w:rPr>
          <w:rFonts w:hint="eastAsia"/>
        </w:rPr>
        <w:t>集群</w:t>
      </w:r>
      <w:r>
        <w:t xml:space="preserve"> CNI </w:t>
      </w:r>
      <w:r>
        <w:rPr>
          <w:rFonts w:hint="eastAsia"/>
        </w:rPr>
        <w:t>支持</w:t>
      </w:r>
      <w:r>
        <w:t xml:space="preserve"> </w:t>
      </w:r>
      <w:r>
        <w:rPr>
          <w:rFonts w:hint="eastAsia"/>
        </w:rPr>
        <w:t>NetworkPolicy，例如</w:t>
      </w:r>
      <w:r>
        <w:t xml:space="preserve"> Calico。</w:t>
      </w:r>
    </w:p>
    <w:p w14:paraId="2B7EF5A9">
      <w:pPr>
        <w:numPr>
          <w:ilvl w:val="0"/>
          <w:numId w:val="1"/>
        </w:numPr>
      </w:pPr>
      <w:r>
        <w:t xml:space="preserve">Helm v3 </w:t>
      </w:r>
      <w:r>
        <w:rPr>
          <w:rFonts w:hint="eastAsia"/>
        </w:rPr>
        <w:t>可用。</w:t>
      </w:r>
    </w:p>
    <w:p w14:paraId="51E228F4">
      <w:pPr>
        <w:numPr>
          <w:ilvl w:val="0"/>
          <w:numId w:val="1"/>
        </w:numPr>
      </w:pPr>
      <w:r>
        <w:rPr>
          <w:rFonts w:hint="eastAsia"/>
        </w:rPr>
        <w:t>受影响的</w:t>
      </w:r>
      <w:r>
        <w:t xml:space="preserve"> Conjur OSS Helm Chart </w:t>
      </w:r>
      <w:r>
        <w:rPr>
          <w:rFonts w:hint="eastAsia"/>
        </w:rPr>
        <w:t>版本为</w:t>
      </w:r>
      <w:r>
        <w:t xml:space="preserve"> </w:t>
      </w:r>
      <w:r>
        <w:rPr>
          <w:rStyle w:val="48"/>
        </w:rPr>
        <w:t>&lt; 2.0.0</w:t>
      </w:r>
      <w:r>
        <w:t>。</w:t>
      </w:r>
    </w:p>
    <w:p w14:paraId="24A32729">
      <w:pPr>
        <w:pStyle w:val="23"/>
      </w:pPr>
      <w:r>
        <w:rPr>
          <w:rFonts w:hint="eastAsia"/>
          <w:b/>
          <w:bCs/>
        </w:rPr>
        <w:t>步骤</w:t>
      </w:r>
      <w:r>
        <w:rPr>
          <w:b/>
          <w:bCs/>
        </w:rPr>
        <w:t xml:space="preserve"> </w:t>
      </w:r>
      <w:r>
        <w:rPr>
          <w:rFonts w:hint="eastAsia"/>
          <w:b/>
          <w:bCs/>
        </w:rPr>
        <w:t>1：在隔离命名空间部署旧版</w:t>
      </w:r>
      <w:r>
        <w:rPr>
          <w:b/>
          <w:bCs/>
        </w:rPr>
        <w:t xml:space="preserve"> </w:t>
      </w:r>
      <w:r>
        <w:rPr>
          <w:rFonts w:hint="eastAsia"/>
          <w:b/>
          <w:bCs/>
        </w:rPr>
        <w:t>Chart，并进行必要的兼容性适配</w:t>
      </w:r>
    </w:p>
    <w:p w14:paraId="6147EBB3">
      <w:pPr>
        <w:pStyle w:val="3"/>
      </w:pPr>
      <w:r>
        <w:t>helm repo add cyberark https://cyberark.github.io/helm-charts helm repo update helm search repo cyberark/conjur-oss –versions</w:t>
      </w:r>
    </w:p>
    <w:p w14:paraId="176FFCE9">
      <w:pPr>
        <w:pStyle w:val="3"/>
      </w:pPr>
      <w:r>
        <w:t xml:space="preserve">helm install conjur-oss cyberark/conjur-oss  –namespace </w:t>
      </w:r>
      <m:oMath>
        <m:r>
          <m:rPr/>
          <m:t>NAMESPACE </m:t>
        </m:r>
        <m:r>
          <m:rPr>
            <m:sty m:val="p"/>
          </m:rPr>
          <m:t>−−</m:t>
        </m:r>
        <m:r>
          <m:rPr/>
          <m:t>create</m:t>
        </m:r>
        <m:r>
          <m:rPr>
            <m:sty m:val="p"/>
          </m:rPr>
          <m:t>−</m:t>
        </m:r>
        <m:r>
          <m:rPr/>
          <m:t>namespace </m:t>
        </m:r>
        <m:r>
          <m:rPr>
            <m:sty m:val="p"/>
          </m:rPr>
          <m:t>−−</m:t>
        </m:r>
        <m:r>
          <m:rPr/>
          <m:t>version</m:t>
        </m:r>
        <m:r>
          <m:rPr>
            <m:sty m:val="p"/>
          </m:rPr>
          <m:t>&lt;</m:t>
        </m:r>
        <m:r>
          <m:rPr/>
          <m:t>2.0.0</m:t>
        </m:r>
        <m:r>
          <m:rPr>
            <m:sty m:val="p"/>
          </m:rPr>
          <m:t>&gt;</m:t>
        </m:r>
        <m:r>
          <m:rPr/>
          <m:t>kubectl</m:t>
        </m:r>
        <m:r>
          <m:rPr>
            <m:sty m:val="p"/>
          </m:rPr>
          <m:t>−</m:t>
        </m:r>
        <m:r>
          <m:rPr/>
          <m:t>n</m:t>
        </m:r>
      </m:oMath>
      <w:r>
        <w:t>NAMESPACE get pods</w:t>
      </w:r>
    </w:p>
    <w:p w14:paraId="23AB97EC">
      <w:pPr>
        <w:pStyle w:val="3"/>
      </w:pPr>
      <w:r>
        <w:rPr>
          <w:rFonts w:hint="eastAsia"/>
          <w:b/>
          <w:bCs/>
        </w:rPr>
        <w:t>步骤</w:t>
      </w:r>
      <w:r>
        <w:rPr>
          <w:b/>
          <w:bCs/>
        </w:rPr>
        <w:t xml:space="preserve"> </w:t>
      </w:r>
      <w:r>
        <w:rPr>
          <w:rFonts w:hint="eastAsia"/>
          <w:b/>
          <w:bCs/>
        </w:rPr>
        <w:t>2：确认</w:t>
      </w:r>
      <w:r>
        <w:rPr>
          <w:b/>
          <w:bCs/>
        </w:rPr>
        <w:t xml:space="preserve"> Postgres Service </w:t>
      </w:r>
      <w:r>
        <w:rPr>
          <w:rFonts w:hint="eastAsia"/>
          <w:b/>
          <w:bCs/>
        </w:rPr>
        <w:t>与</w:t>
      </w:r>
      <w:r>
        <w:rPr>
          <w:b/>
          <w:bCs/>
        </w:rPr>
        <w:t xml:space="preserve"> 5432 </w:t>
      </w:r>
      <w:r>
        <w:rPr>
          <w:rFonts w:hint="eastAsia"/>
          <w:b/>
          <w:bCs/>
        </w:rPr>
        <w:t>端口暴露</w:t>
      </w:r>
    </w:p>
    <w:p w14:paraId="7D819419">
      <w:pPr>
        <w:pStyle w:val="3"/>
      </w:pPr>
      <w:r>
        <w:t>NAMESPACE=conjur-vuln</w:t>
      </w:r>
    </w:p>
    <w:p w14:paraId="675AA94B">
      <w:pPr>
        <w:pStyle w:val="3"/>
      </w:pPr>
      <w:r>
        <w:t xml:space="preserve">kubectl get ns </w:t>
      </w:r>
      <m:oMath>
        <m:r>
          <m:rPr/>
          <m:t>NAMESPACEkubectl</m:t>
        </m:r>
        <m:r>
          <m:rPr>
            <m:sty m:val="p"/>
          </m:rPr>
          <m:t>−</m:t>
        </m:r>
        <m:r>
          <m:rPr/>
          <m:t>n</m:t>
        </m:r>
      </m:oMath>
      <w:r>
        <w:t>NAMESPACE get svc</w:t>
      </w:r>
    </w:p>
    <w:p w14:paraId="708243B9">
      <w:pPr>
        <w:pStyle w:val="3"/>
      </w:pPr>
      <w:r>
        <w:t xml:space="preserve"># </w:t>
      </w:r>
      <w:r>
        <w:rPr>
          <w:rFonts w:hint="eastAsia"/>
        </w:rPr>
        <w:t>重点确认</w:t>
      </w:r>
      <w:r>
        <w:t xml:space="preserve"> Postgres </w:t>
      </w:r>
      <w:r>
        <w:rPr>
          <w:rFonts w:hint="eastAsia"/>
        </w:rPr>
        <w:t>Service(名称以实际为准)与</w:t>
      </w:r>
      <w:r>
        <w:t xml:space="preserve"> 5432 </w:t>
      </w:r>
      <w:r>
        <w:rPr>
          <w:rFonts w:hint="eastAsia"/>
        </w:rPr>
        <w:t>端口存在</w:t>
      </w:r>
      <w:r>
        <w:t xml:space="preserve"> kubectl -n $NAMESPACE get svc | findstr /i "postgres 5432 conjur"
    \end{AppendixCode}
    </w:t>
      </w:r>
      <w:r>
        <w:rPr>
          <w:rFonts w:hint="eastAsia"/>
        </w:rPr>
        <w:t>\textbf{步骤</w:t>
      </w:r>
      <w:r>
        <w:t xml:space="preserve"> </w:t>
      </w:r>
      <w:r>
        <w:rPr>
          <w:rFonts w:hint="eastAsia"/>
        </w:rPr>
        <w:t>3：确认未配置</w:t>
      </w:r>
      <w:r>
        <w:t xml:space="preserve"> NetworkPolicy}
    \begin{AppendixCode}
    kubectl -n$NAMESPACE get networkpolicy</w:t>
      </w:r>
    </w:p>
    <w:p w14:paraId="2BCE5529">
      <w:pPr>
        <w:pStyle w:val="3"/>
      </w:pPr>
      <w:r>
        <w:rPr>
          <w:rFonts w:hint="eastAsia"/>
          <w:b/>
          <w:bCs/>
        </w:rPr>
        <w:t>步骤</w:t>
      </w:r>
      <w:r>
        <w:rPr>
          <w:b/>
          <w:bCs/>
        </w:rPr>
        <w:t xml:space="preserve"> </w:t>
      </w:r>
      <w:r>
        <w:rPr>
          <w:rFonts w:hint="eastAsia"/>
          <w:b/>
          <w:bCs/>
        </w:rPr>
        <w:t>4：连通性验证</w:t>
      </w:r>
    </w:p>
    <w:p w14:paraId="6AD1DDC5">
      <w:pPr>
        <w:pStyle w:val="3"/>
      </w:pPr>
      <w:r>
        <w:t xml:space="preserve">kubectl -n $NAMESPACE run netcheck \
    </w:t>
      </w:r>
      <w:r>
        <w:tab/>
        <w:t xml:space="preserve">--image=busybox:1.36 \
    </w:t>
      </w:r>
      <w:r>
        <w:tab/>
        <w:t xml:space="preserve">--restart=Never \
    </w:t>
      </w:r>
      <w:r>
        <w:tab/>
        <w:t>--rm -i -- sh -c "nc -vz$POSTGRES_SVC 5432"</w:t>
      </w:r>
    </w:p>
    <w:bookmarkEnd w:id="206"/>
    <w:p w14:paraId="0CD66645">
      <w:pPr>
        <w:pStyle w:val="6"/>
      </w:pPr>
      <w:bookmarkStart w:id="207" w:name="安全策略生成-3"/>
      <w:r>
        <w:rPr>
          <w:rFonts w:hint="eastAsia"/>
        </w:rPr>
        <w:t>安全策略生成</w:t>
      </w:r>
    </w:p>
    <w:p w14:paraId="7BFC65E8">
      <w:pPr>
        <w:pStyle w:val="23"/>
      </w:pPr>
      <w:r>
        <w:rPr>
          <w:rFonts w:hint="eastAsia"/>
        </w:rPr>
        <w:t>该漏洞的核心风险在于缺少网络隔离，KPEDefense</w:t>
      </w:r>
      <w:r>
        <w:t xml:space="preserve"> </w:t>
      </w:r>
      <w:r>
        <w:rPr>
          <w:rFonts w:hint="eastAsia"/>
        </w:rPr>
        <w:t>筛选出的最优策略直接针对这一根因：对</w:t>
      </w:r>
      <w:r>
        <w:t xml:space="preserve"> Postgres </w:t>
      </w:r>
      <w:r>
        <w:rPr>
          <w:rFonts w:hint="eastAsia"/>
        </w:rPr>
        <w:t>服务实施默认拒绝策略，仅保留</w:t>
      </w:r>
      <w:r>
        <w:t xml:space="preserve"> Conjur Server </w:t>
      </w:r>
      <w:r>
        <w:rPr>
          <w:rFonts w:hint="eastAsia"/>
        </w:rPr>
        <w:t>到</w:t>
      </w:r>
      <w:r>
        <w:t xml:space="preserve"> 5432 </w:t>
      </w:r>
      <w:r>
        <w:rPr>
          <w:rFonts w:hint="eastAsia"/>
        </w:rPr>
        <w:t>端口的必要通信路径，并引入基线检查防止隔离策略回退。详细配置如下。</w:t>
      </w:r>
    </w:p>
    <w:p w14:paraId="2A105E4A">
      <w:pPr>
        <w:pStyle w:val="3"/>
      </w:pPr>
      <w:r>
        <w:rPr>
          <w:rFonts w:hint="eastAsia"/>
          <w:b/>
          <w:bCs/>
        </w:rPr>
        <w:t>1)缓解措施：NetworkPolicy，默认拒绝并仅放通</w:t>
      </w:r>
      <w:r>
        <w:rPr>
          <w:b/>
          <w:bCs/>
        </w:rPr>
        <w:t xml:space="preserve"> Conjur Server </w:t>
      </w:r>
      <w:r>
        <w:rPr>
          <w:rFonts w:hint="eastAsia"/>
          <w:b/>
          <w:bCs/>
        </w:rPr>
        <w:t>访问</w:t>
      </w:r>
      <w:r>
        <w:rPr>
          <w:b/>
          <w:bCs/>
        </w:rPr>
        <w:t xml:space="preserve"> Postgres 5432</w:t>
      </w:r>
    </w:p>
    <w:p w14:paraId="1D8B9336">
      <w:pPr>
        <w:pStyle w:val="3"/>
      </w:pPr>
      <w:r>
        <w:t xml:space="preserve"># </w:t>
      </w:r>
      <w:r>
        <w:rPr>
          <w:rFonts w:hint="eastAsia"/>
        </w:rPr>
        <w:t>第一条：默认拒绝所有入站流量，关闭</w:t>
      </w:r>
      <w:r>
        <w:t xml:space="preserve"> Postgres </w:t>
      </w:r>
      <w:r>
        <w:rPr>
          <w:rFonts w:hint="eastAsia"/>
        </w:rPr>
        <w:t>对整个命名空间的默认可达状态</w:t>
      </w:r>
      <w:r>
        <w:t xml:space="preserve"> cat &lt;&lt;’EOF’ | kubectl apply -f - apiVersion: networking.k8s.io/v1 kind: NetworkPolicy metadata: name: conjur-postgres-default-deny namespace: conjur-vuln spec: podSelector: matchLabels: app: conjur-oss-postgres policyTypes: - Ingress ingress: [] # </w:t>
      </w:r>
      <w:r>
        <w:rPr>
          <w:rFonts w:hint="eastAsia"/>
        </w:rPr>
        <w:t>空列表表示拒绝所有入站，还没有任何流量被放通</w:t>
      </w:r>
      <w:r>
        <w:t xml:space="preserve"> EOF</w:t>
      </w:r>
    </w:p>
    <w:p w14:paraId="555DD0DA">
      <w:pPr>
        <w:pStyle w:val="3"/>
      </w:pPr>
      <w:r>
        <w:t xml:space="preserve"># </w:t>
      </w:r>
      <w:r>
        <w:rPr>
          <w:rFonts w:hint="eastAsia"/>
        </w:rPr>
        <w:t>第二条：仅允许</w:t>
      </w:r>
      <w:r>
        <w:t xml:space="preserve"> Conjur Server -&gt; Postgres 5432 </w:t>
      </w:r>
      <w:r>
        <w:rPr>
          <w:rFonts w:hint="eastAsia"/>
        </w:rPr>
        <w:t>的必要内部流量</w:t>
      </w:r>
      <w:r>
        <w:t xml:space="preserve"> cat &lt;&lt;’EOF’ | kubectl apply -f - apiVersion: networking.k8s.io/v1 kind: NetworkPolicy metadata: name: conjur-postgres-allow-conjur namespace: conjur-vuln spec: podSelector: matchLabels: app: conjur-oss-postgres policyTypes: - Ingress ingress: - from: - podSelector: matchLabels: app: conjur-oss # </w:t>
      </w:r>
      <w:r>
        <w:rPr>
          <w:rFonts w:hint="eastAsia"/>
        </w:rPr>
        <w:t>仅允许</w:t>
      </w:r>
      <w:r>
        <w:t xml:space="preserve"> Conjur Server </w:t>
      </w:r>
      <w:r>
        <w:rPr>
          <w:rFonts w:hint="eastAsia"/>
        </w:rPr>
        <w:t>组件访问</w:t>
      </w:r>
      <w:r>
        <w:t xml:space="preserve"> ports: - protocol: TCP port: 5432 # </w:t>
      </w:r>
      <w:r>
        <w:rPr>
          <w:rFonts w:hint="eastAsia"/>
        </w:rPr>
        <w:t>只放开数据库监听端口</w:t>
      </w:r>
      <w:r>
        <w:t xml:space="preserve"> EOF</w:t>
      </w:r>
    </w:p>
    <w:bookmarkEnd w:id="207"/>
    <w:p w14:paraId="5D5A55F4">
      <w:pPr>
        <w:pStyle w:val="6"/>
      </w:pPr>
      <w:bookmarkStart w:id="208" w:name="安全策略验证-3"/>
      <w:r>
        <w:rPr>
          <w:rFonts w:hint="eastAsia"/>
        </w:rPr>
        <w:t>安全策略验证</w:t>
      </w:r>
    </w:p>
    <w:p w14:paraId="5299FB16">
      <w:pPr>
        <w:pStyle w:val="23"/>
      </w:pPr>
      <w:r>
        <w:rPr>
          <w:rFonts w:hint="eastAsia"/>
        </w:rPr>
        <w:t>策略部署后重复连通性探测，验证防护效果。</w:t>
      </w:r>
    </w:p>
    <w:p w14:paraId="7FB2756D">
      <w:pPr>
        <w:pStyle w:val="3"/>
      </w:pPr>
      <w:r>
        <w:rPr>
          <w:rFonts w:hint="eastAsia"/>
          <w:b/>
          <w:bCs/>
        </w:rPr>
        <w:t>有效性：</w:t>
      </w:r>
      <w:r>
        <w:t xml:space="preserve"> NetworkPolicy </w:t>
      </w:r>
      <w:r>
        <w:rPr>
          <w:rFonts w:hint="eastAsia"/>
        </w:rPr>
        <w:t>部署前，非</w:t>
      </w:r>
      <w:r>
        <w:t xml:space="preserve"> Conjur </w:t>
      </w:r>
      <w:r>
        <w:rPr>
          <w:rFonts w:hint="eastAsia"/>
        </w:rPr>
        <w:t>工作负载可连通</w:t>
      </w:r>
      <w:r>
        <w:t xml:space="preserve"> Postgres 5432 </w:t>
      </w:r>
      <w:r>
        <w:rPr>
          <w:rFonts w:hint="eastAsia"/>
        </w:rPr>
        <w:t>端口；部署后，同一路径探测结果变为不可达，说明业务</w:t>
      </w:r>
      <w:r>
        <w:t xml:space="preserve"> Pod </w:t>
      </w:r>
      <w:r>
        <w:rPr>
          <w:rFonts w:hint="eastAsia"/>
        </w:rPr>
        <w:t>已无法直连数据库。基线检查同时覆盖策略缺失与规则弱化场景，可降低配置回退带来的风险。</w:t>
      </w:r>
    </w:p>
    <w:p w14:paraId="01C74B92">
      <w:pPr>
        <w:pStyle w:val="3"/>
      </w:pPr>
      <w:r>
        <w:rPr>
          <w:rFonts w:hint="eastAsia"/>
          <w:b/>
          <w:bCs/>
        </w:rPr>
        <w:t>无干扰性：</w:t>
      </w:r>
      <w:r>
        <w:t xml:space="preserve"> Conjur Server </w:t>
      </w:r>
      <w:r>
        <w:rPr>
          <w:rFonts w:hint="eastAsia"/>
        </w:rPr>
        <w:t>到</w:t>
      </w:r>
      <w:r>
        <w:t xml:space="preserve"> Postgres </w:t>
      </w:r>
      <w:r>
        <w:rPr>
          <w:rFonts w:hint="eastAsia"/>
        </w:rPr>
        <w:t>的合法通信保持正常，Conjur</w:t>
      </w:r>
      <w:r>
        <w:t xml:space="preserve"> </w:t>
      </w:r>
      <w:r>
        <w:rPr>
          <w:rFonts w:hint="eastAsia"/>
        </w:rPr>
        <w:t>组件启动与机密访问流程未受影响。策略上线前完成标签匹配核对与预生产回归验证，未出现因选择器偏差导致的误拦截。</w:t>
      </w:r>
    </w:p>
    <w:p w14:paraId="1E495BDB">
      <w:pPr>
        <w:pStyle w:val="3"/>
      </w:pPr>
      <w:r>
        <w:rPr>
          <w:rFonts w:hint="eastAsia"/>
          <w:b/>
          <w:bCs/>
        </w:rPr>
        <w:t>可部署性：</w:t>
      </w:r>
      <w:r>
        <w:t xml:space="preserve"> NetworkPolicy </w:t>
      </w:r>
      <w:r>
        <w:rPr>
          <w:rFonts w:hint="eastAsia"/>
        </w:rPr>
        <w:t>为</w:t>
      </w:r>
      <w:r>
        <w:t xml:space="preserve"> K8s </w:t>
      </w:r>
      <w:r>
        <w:rPr>
          <w:rFonts w:hint="eastAsia"/>
        </w:rPr>
        <w:t>原生资源，可直接纳入</w:t>
      </w:r>
      <w:r>
        <w:t xml:space="preserve"> Git </w:t>
      </w:r>
      <w:r>
        <w:rPr>
          <w:rFonts w:hint="eastAsia"/>
        </w:rPr>
        <w:t>基线并通过</w:t>
      </w:r>
      <w:r>
        <w:t xml:space="preserve"> Helm </w:t>
      </w:r>
      <w:r>
        <w:rPr>
          <w:rFonts w:hint="eastAsia"/>
        </w:rPr>
        <w:t>或</w:t>
      </w:r>
      <w:r>
        <w:t xml:space="preserve"> </w:t>
      </w:r>
      <w:r>
        <w:rPr>
          <w:rStyle w:val="48"/>
        </w:rPr>
        <w:t>kubectl apply</w:t>
      </w:r>
      <w:r>
        <w:t xml:space="preserve"> </w:t>
      </w:r>
      <w:r>
        <w:rPr>
          <w:rFonts w:hint="eastAsia"/>
        </w:rPr>
        <w:t>发布。数据库服务与端口固定，规则结构简单，适合在同类部署环境中模板化复用。</w:t>
      </w:r>
    </w:p>
    <w:p w14:paraId="66BF38FE">
      <w:pPr>
        <w:pStyle w:val="3"/>
      </w:pPr>
      <w:r>
        <w:rPr>
          <w:rFonts w:hint="eastAsia"/>
        </w:rPr>
        <w:t>三维验证均通过。默认拒绝与精确放通生效后，业务</w:t>
      </w:r>
      <w:r>
        <w:t xml:space="preserve"> Pod </w:t>
      </w:r>
      <w:r>
        <w:rPr>
          <w:rFonts w:hint="eastAsia"/>
        </w:rPr>
        <w:t>直连</w:t>
      </w:r>
      <w:r>
        <w:t xml:space="preserve"> Postgres </w:t>
      </w:r>
      <w:r>
        <w:rPr>
          <w:rFonts w:hint="eastAsia"/>
        </w:rPr>
        <w:t>的路径被阻断，数据库暴露面明显下降。该方案依赖集群</w:t>
      </w:r>
      <w:r>
        <w:t xml:space="preserve"> CNI </w:t>
      </w:r>
      <w:r>
        <w:rPr>
          <w:rFonts w:hint="eastAsia"/>
        </w:rPr>
        <w:t>对</w:t>
      </w:r>
      <w:r>
        <w:t xml:space="preserve"> NetworkPolicy </w:t>
      </w:r>
      <w:r>
        <w:rPr>
          <w:rFonts w:hint="eastAsia"/>
        </w:rPr>
        <w:t>的支持，不支持时仍需借助命名空间隔离等替代措施。</w:t>
      </w:r>
    </w:p>
    <w:bookmarkEnd w:id="205"/>
    <w:bookmarkEnd w:id="208"/>
    <w:p w14:paraId="5072DF5C">
      <w:pPr>
        <w:pStyle w:val="5"/>
      </w:pPr>
      <w:bookmarkStart w:id="209" w:name="案例五cve-2022-24877-路径遍历"/>
      <w:r>
        <w:rPr>
          <w:rFonts w:hint="eastAsia"/>
        </w:rPr>
        <w:t>案例五：CVE-2022-24877</w:t>
      </w:r>
      <w:r>
        <w:t xml:space="preserve"> </w:t>
      </w:r>
      <w:r>
        <w:rPr>
          <w:rFonts w:hint="eastAsia"/>
        </w:rPr>
        <w:t>路径遍历</w:t>
      </w:r>
    </w:p>
    <w:p w14:paraId="6D7DDD67">
      <w:pPr>
        <w:pStyle w:val="6"/>
      </w:pPr>
      <w:bookmarkStart w:id="210" w:name="漏洞复现-4"/>
      <w:r>
        <w:rPr>
          <w:rFonts w:hint="eastAsia"/>
        </w:rPr>
        <w:t>漏洞复现</w:t>
      </w:r>
    </w:p>
    <w:p w14:paraId="1B44C27E">
      <w:pPr>
        <w:pStyle w:val="23"/>
      </w:pPr>
      <w:r>
        <w:t xml:space="preserve">Flux </w:t>
      </w:r>
      <w:r>
        <w:rPr>
          <w:rFonts w:hint="eastAsia"/>
        </w:rPr>
        <w:t>是云原生</w:t>
      </w:r>
      <w:r>
        <w:t xml:space="preserve"> GitOps </w:t>
      </w:r>
      <w:r>
        <w:rPr>
          <w:rFonts w:hint="eastAsia"/>
        </w:rPr>
        <w:t>交付体系中的常用组件，典型部署包含</w:t>
      </w:r>
      <w:r>
        <w:t xml:space="preserve"> </w:t>
      </w:r>
      <w:r>
        <w:rPr>
          <w:rStyle w:val="48"/>
        </w:rPr>
        <w:t>kustomize-controller</w:t>
      </w:r>
      <w:r>
        <w:t xml:space="preserve"> </w:t>
      </w:r>
      <w:r>
        <w:rPr>
          <w:rFonts w:hint="eastAsia"/>
        </w:rPr>
        <w:t>等控制器，用于在集群中持续对齐</w:t>
      </w:r>
      <w:r>
        <w:t xml:space="preserve"> Git </w:t>
      </w:r>
      <w:r>
        <w:rPr>
          <w:rFonts w:hint="eastAsia"/>
        </w:rPr>
        <w:t>仓库的期望状态。在该工作流中，控制器会拉取仓库内容并调用</w:t>
      </w:r>
      <w:r>
        <w:t xml:space="preserve"> Kustomize </w:t>
      </w:r>
      <w:r>
        <w:rPr>
          <w:rFonts w:hint="eastAsia"/>
        </w:rPr>
        <w:t>解析</w:t>
      </w:r>
      <w:r>
        <w:t xml:space="preserve"> </w:t>
      </w:r>
      <w:r>
        <w:rPr>
          <w:rStyle w:val="48"/>
        </w:rPr>
        <w:t>kustomization.yaml</w:t>
      </w:r>
      <w:r>
        <w:rPr>
          <w:rFonts w:hint="eastAsia"/>
        </w:rPr>
        <w:t>，进而生成并应用资源清单。由于</w:t>
      </w:r>
      <w:r>
        <w:t xml:space="preserve"> </w:t>
      </w:r>
      <w:r>
        <w:rPr>
          <w:rStyle w:val="48"/>
        </w:rPr>
        <w:t>kustomization.yaml</w:t>
      </w:r>
      <w:r>
        <w:t xml:space="preserve"> </w:t>
      </w:r>
      <w:r>
        <w:rPr>
          <w:rFonts w:hint="eastAsia"/>
        </w:rPr>
        <w:t>以文件路径为核心配置对象，控制器必须将其中指定的资源、补丁与组件路径解析为实际文件系统访问。若路径规范化与边界检查不足，则恶意构造的</w:t>
      </w:r>
      <w:r>
        <w:t xml:space="preserve"> </w:t>
      </w:r>
      <w:r>
        <w:rPr>
          <w:rStyle w:val="48"/>
        </w:rPr>
        <w:t>kustomization.yaml</w:t>
      </w:r>
      <w:r>
        <w:t xml:space="preserve"> </w:t>
      </w:r>
      <w:r>
        <w:rPr>
          <w:rFonts w:hint="eastAsia"/>
        </w:rPr>
        <w:t>可能触发路径穿越，使控制器读取超出预期工作目录的文件，从而造成敏感信息暴露，并在多租户部署中形成隔离边界破坏的风险。</w:t>
      </w:r>
    </w:p>
    <w:p w14:paraId="30B62472">
      <w:pPr>
        <w:pStyle w:val="3"/>
      </w:pPr>
      <w:r>
        <w:rPr>
          <w:b/>
          <w:bCs/>
        </w:rPr>
        <w:t xml:space="preserve">CVE </w:t>
      </w:r>
      <w:r>
        <w:rPr>
          <w:rFonts w:hint="eastAsia"/>
          <w:b/>
          <w:bCs/>
        </w:rPr>
        <w:t>描述</w:t>
      </w:r>
      <w:r>
        <w:rPr>
          <w:rFonts w:hint="eastAsia"/>
        </w:rPr>
        <w:t>：CVE-2022-24877</w:t>
      </w:r>
      <w:r>
        <w:t xml:space="preserve"> </w:t>
      </w:r>
      <w:r>
        <w:rPr>
          <w:rFonts w:hint="eastAsia"/>
        </w:rPr>
        <w:t>是</w:t>
      </w:r>
      <w:r>
        <w:t xml:space="preserve"> Flux </w:t>
      </w:r>
      <w:r>
        <w:rPr>
          <w:rStyle w:val="48"/>
        </w:rPr>
        <w:t>kustomize-controller</w:t>
      </w:r>
      <w:r>
        <w:t xml:space="preserve"> </w:t>
      </w:r>
      <w:r>
        <w:rPr>
          <w:rFonts w:hint="eastAsia"/>
        </w:rPr>
        <w:t>的路径穿越漏洞。攻击者可通过恶意</w:t>
      </w:r>
      <w:r>
        <w:t xml:space="preserve"> </w:t>
      </w:r>
      <w:r>
        <w:rPr>
          <w:rStyle w:val="48"/>
        </w:rPr>
        <w:t>kustomization.yaml</w:t>
      </w:r>
      <w:r>
        <w:t xml:space="preserve"> </w:t>
      </w:r>
      <w:r>
        <w:rPr>
          <w:rFonts w:hint="eastAsia"/>
        </w:rPr>
        <w:t>触发控制器读取其</w:t>
      </w:r>
      <w:r>
        <w:t xml:space="preserve"> Pod </w:t>
      </w:r>
      <w:r>
        <w:rPr>
          <w:rFonts w:hint="eastAsia"/>
        </w:rPr>
        <w:t>文件系统中的非预期文件，从而暴露敏感数据；在多租户部署下，该能力可能进一步放大为权限提升风险。该漏洞已在</w:t>
      </w:r>
      <w:r>
        <w:t xml:space="preserve"> </w:t>
      </w:r>
      <w:r>
        <w:rPr>
          <w:rStyle w:val="48"/>
        </w:rPr>
        <w:t>kustomize-controller v0.24.0</w:t>
      </w:r>
      <w:r>
        <w:t xml:space="preserve"> </w:t>
      </w:r>
      <w:r>
        <w:rPr>
          <w:rFonts w:hint="eastAsia"/>
        </w:rPr>
        <w:t>中修复，并随</w:t>
      </w:r>
      <w:r>
        <w:t xml:space="preserve"> </w:t>
      </w:r>
      <w:r>
        <w:rPr>
          <w:rStyle w:val="48"/>
        </w:rPr>
        <w:t>flux2 v0.29.0</w:t>
      </w:r>
      <w:r>
        <w:t xml:space="preserve"> </w:t>
      </w:r>
      <w:r>
        <w:rPr>
          <w:rFonts w:hint="eastAsia"/>
        </w:rPr>
        <w:t>集成发布。工程侧常见缓解手段包括在</w:t>
      </w:r>
      <w:r>
        <w:t xml:space="preserve"> CI/CD </w:t>
      </w:r>
      <w:r>
        <w:rPr>
          <w:rFonts w:hint="eastAsia"/>
        </w:rPr>
        <w:t>流水线中自动校验</w:t>
      </w:r>
      <w:r>
        <w:t xml:space="preserve"> </w:t>
      </w:r>
      <w:r>
        <w:rPr>
          <w:rStyle w:val="48"/>
        </w:rPr>
        <w:t>kustomization.yaml</w:t>
      </w:r>
      <w:r>
        <w:t xml:space="preserve"> </w:t>
      </w:r>
      <w:r>
        <w:rPr>
          <w:rFonts w:hint="eastAsia"/>
        </w:rPr>
        <w:t>是否符合安全策略。</w:t>
      </w:r>
    </w:p>
    <w:p w14:paraId="1D4FA4D9">
      <w:pPr>
        <w:pStyle w:val="3"/>
      </w:pPr>
      <w:r>
        <w:rPr>
          <w:rFonts w:hint="eastAsia"/>
          <w:b/>
          <w:bCs/>
        </w:rPr>
        <w:t>主要成因分类</w:t>
      </w:r>
      <w:r>
        <w:rPr>
          <w:rFonts w:hint="eastAsia"/>
        </w:rPr>
        <w:t>：输入校验缺陷</w:t>
      </w:r>
      <w:r>
        <w:t xml:space="preserve"> / </w:t>
      </w:r>
      <w:r>
        <w:rPr>
          <w:rFonts w:hint="eastAsia"/>
        </w:rPr>
        <w:t>路径穿越，即路径规范化与目录边界检查不足。</w:t>
      </w:r>
    </w:p>
    <w:p w14:paraId="54C7AD7E">
      <w:pPr>
        <w:pStyle w:val="3"/>
      </w:pPr>
      <w:r>
        <w:rPr>
          <w:rFonts w:hint="eastAsia"/>
          <w:b/>
          <w:bCs/>
        </w:rPr>
        <w:t>攻击链条描述</w:t>
      </w:r>
      <w:r>
        <w:rPr>
          <w:rFonts w:hint="eastAsia"/>
        </w:rPr>
        <w:t>：攻击链可概括为仓库内容被信任、路径解析越界以及敏感数据外泄。攻击者将恶意</w:t>
      </w:r>
      <w:r>
        <w:t xml:space="preserve"> </w:t>
      </w:r>
      <w:r>
        <w:rPr>
          <w:rStyle w:val="48"/>
        </w:rPr>
        <w:t>kustomization.yaml</w:t>
      </w:r>
      <w:r>
        <w:t xml:space="preserve"> </w:t>
      </w:r>
      <w:r>
        <w:rPr>
          <w:rFonts w:hint="eastAsia"/>
        </w:rPr>
        <w:t>提交至可被控制器同步的仓库；控制器在构建阶段解析并访问其中指定的路径；若路径可越界访问控制器容器文件系统，则非预期文件内容可能被注入到构建产物、事件输出或后续流程中，造成敏感信息暴露，并在多租户环境中破坏隔离边界。</w:t>
      </w:r>
    </w:p>
    <w:p w14:paraId="4C7DEA74">
      <w:pPr>
        <w:pStyle w:val="3"/>
      </w:pPr>
      <w:r>
        <w:rPr>
          <w:rFonts w:hint="eastAsia"/>
        </w:rPr>
        <w:t>实验在部署受影响版本</w:t>
      </w:r>
      <w:r>
        <w:t xml:space="preserve"> </w:t>
      </w:r>
      <w:r>
        <w:rPr>
          <w:rStyle w:val="48"/>
        </w:rPr>
        <w:t>kustomize-controller</w:t>
      </w:r>
      <w:r>
        <w:t xml:space="preserve"> </w:t>
      </w:r>
      <w:r>
        <w:rPr>
          <w:rFonts w:hint="eastAsia"/>
        </w:rPr>
        <w:t>的</w:t>
      </w:r>
      <w:r>
        <w:t xml:space="preserve"> Flux </w:t>
      </w:r>
      <w:r>
        <w:rPr>
          <w:rFonts w:hint="eastAsia"/>
        </w:rPr>
        <w:t>测试环境中进行，将包含异常路径引用的</w:t>
      </w:r>
      <w:r>
        <w:t xml:space="preserve"> </w:t>
      </w:r>
      <w:r>
        <w:rPr>
          <w:rStyle w:val="48"/>
        </w:rPr>
        <w:t>kustomization.yaml</w:t>
      </w:r>
      <w:r>
        <w:t xml:space="preserve"> </w:t>
      </w:r>
      <w:r>
        <w:rPr>
          <w:rFonts w:hint="eastAsia"/>
        </w:rPr>
        <w:t>提交至受控仓库并触发同步。正文仅保留控制器构建阶段的可观测证据，不展开可直接复用的敏感文件读取细节。完整环境准备、验证步骤与证据判据如下。</w:t>
      </w:r>
    </w:p>
    <w:p w14:paraId="44BECD3F">
      <w:pPr>
        <w:pStyle w:val="3"/>
      </w:pPr>
      <w:r>
        <w:rPr>
          <w:rFonts w:hint="eastAsia"/>
          <w:b/>
          <w:bCs/>
        </w:rPr>
        <w:t>参考命令(用于采集受控证据)</w:t>
      </w:r>
    </w:p>
    <w:p w14:paraId="4EF2EB3C">
      <w:pPr>
        <w:pStyle w:val="3"/>
      </w:pPr>
      <w:r>
        <w:rPr>
          <w:rFonts w:hint="eastAsia"/>
        </w:rPr>
        <w:t>触发同步后，控制器在构建日志中出现与越界路径解析相关的异常信息，构建产物同时表现出非预期文件访问迹象，说明恶意</w:t>
      </w:r>
      <w:r>
        <w:t xml:space="preserve"> </w:t>
      </w:r>
      <w:r>
        <w:rPr>
          <w:rStyle w:val="48"/>
        </w:rPr>
        <w:t>kustomization.yaml</w:t>
      </w:r>
      <w:r>
        <w:t xml:space="preserve"> </w:t>
      </w:r>
      <w:r>
        <w:rPr>
          <w:rFonts w:hint="eastAsia"/>
        </w:rPr>
        <w:t>已进入控制器构建流程，路径穿越风险得到验证。</w:t>
      </w:r>
    </w:p>
    <w:bookmarkEnd w:id="210"/>
    <w:p w14:paraId="2F66C4CE">
      <w:pPr>
        <w:pStyle w:val="6"/>
      </w:pPr>
      <w:bookmarkStart w:id="211" w:name="安全策略生成-4"/>
      <w:r>
        <w:rPr>
          <w:rFonts w:hint="eastAsia"/>
        </w:rPr>
        <w:t>安全策略生成</w:t>
      </w:r>
    </w:p>
    <w:p w14:paraId="7551483A">
      <w:pPr>
        <w:pStyle w:val="23"/>
      </w:pPr>
      <w:r>
        <w:t xml:space="preserve">KPEDefense </w:t>
      </w:r>
      <w:r>
        <w:rPr>
          <w:rFonts w:hint="eastAsia"/>
        </w:rPr>
        <w:t>筛选出的最优策略将防线前移至提交阶段：在</w:t>
      </w:r>
      <w:r>
        <w:t xml:space="preserve"> CI </w:t>
      </w:r>
      <w:r>
        <w:rPr>
          <w:rFonts w:hint="eastAsia"/>
        </w:rPr>
        <w:t>流水线中对</w:t>
      </w:r>
      <w:r>
        <w:t xml:space="preserve"> </w:t>
      </w:r>
      <w:r>
        <w:rPr>
          <w:rStyle w:val="48"/>
        </w:rPr>
        <w:t>kustomization.yaml</w:t>
      </w:r>
      <w:r>
        <w:t xml:space="preserve"> </w:t>
      </w:r>
      <w:r>
        <w:rPr>
          <w:rFonts w:hint="eastAsia"/>
        </w:rPr>
        <w:t>的路径引用进行异常检测，同时收紧仓库写入权限与控制器运行权限，将路径穿越风险阻断在进入同步链路之前。详细配置如下。</w:t>
      </w:r>
    </w:p>
    <w:p w14:paraId="05C050EA">
      <w:pPr>
        <w:pStyle w:val="3"/>
      </w:pPr>
      <w:r>
        <w:rPr>
          <w:rFonts w:hint="eastAsia"/>
          <w:b/>
          <w:bCs/>
        </w:rPr>
        <w:t>1)前置校验：CI</w:t>
      </w:r>
      <w:r>
        <w:rPr>
          <w:b/>
          <w:bCs/>
        </w:rPr>
        <w:t xml:space="preserve"> </w:t>
      </w:r>
      <w:r>
        <w:rPr>
          <w:rFonts w:hint="eastAsia"/>
          <w:b/>
          <w:bCs/>
        </w:rPr>
        <w:t>流水线拦截异常路径引用</w:t>
      </w:r>
    </w:p>
    <w:p w14:paraId="2848C285">
      <w:pPr>
        <w:pStyle w:val="3"/>
      </w:pPr>
      <w:r>
        <w:t xml:space="preserve"># CI </w:t>
      </w:r>
      <w:r>
        <w:rPr>
          <w:rFonts w:hint="eastAsia"/>
        </w:rPr>
        <w:t>阶段对</w:t>
      </w:r>
      <w:r>
        <w:t xml:space="preserve"> kustomization.yaml </w:t>
      </w:r>
      <w:r>
        <w:rPr>
          <w:rFonts w:hint="eastAsia"/>
        </w:rPr>
        <w:t>进行路径穿越检查</w:t>
      </w:r>
      <w:r>
        <w:t xml:space="preserve"> # </w:t>
      </w:r>
      <w:r>
        <w:rPr>
          <w:rFonts w:hint="eastAsia"/>
        </w:rPr>
        <w:t>以下脚本可嵌入</w:t>
      </w:r>
      <w:r>
        <w:t xml:space="preserve"> GitHub Actions / GitLab CI </w:t>
      </w:r>
      <w:r>
        <w:rPr>
          <w:rFonts w:hint="eastAsia"/>
        </w:rPr>
        <w:t>等流水线</w:t>
      </w:r>
      <w:r>
        <w:t xml:space="preserve"> #!/usr/bin/env bash set -euo pipefail</w:t>
      </w:r>
    </w:p>
    <w:p w14:paraId="6DF3F082">
      <w:pPr>
        <w:pStyle w:val="3"/>
      </w:pPr>
      <w:r>
        <w:t xml:space="preserve">REPO_ROOT=$(git rev-parse --show-toplevel)
    VIOLATIONS=0
    # </w:t>
      </w:r>
      <w:r>
        <w:rPr>
          <w:rFonts w:hint="eastAsia"/>
        </w:rPr>
        <w:t>扫描所有</w:t>
      </w:r>
      <w:r>
        <w:t xml:space="preserve"> kustomization.yaml </w:t>
      </w:r>
      <w:r>
        <w:rPr>
          <w:rFonts w:hint="eastAsia"/>
        </w:rPr>
        <w:t>中的路径字段</w:t>
      </w:r>
      <w:r>
        <w:t xml:space="preserve">
    for f in$(find "$REPO_ROOT" -name "kustomization.yaml" \
               -o -name "kustomization.yml"); do
      # </w:t>
      </w:r>
      <w:r>
        <w:rPr>
          <w:rFonts w:hint="eastAsia"/>
        </w:rPr>
        <w:t>检测</w:t>
      </w:r>
      <w:r>
        <w:t xml:space="preserve"> resources / patches / components </w:t>
      </w:r>
      <w:r>
        <w:rPr>
          <w:rFonts w:hint="eastAsia"/>
        </w:rPr>
        <w:t>中的</w:t>
      </w:r>
      <w:r>
        <w:t xml:space="preserve"> .. </w:t>
      </w:r>
      <w:r>
        <w:rPr>
          <w:rFonts w:hint="eastAsia"/>
        </w:rPr>
        <w:t>穿越</w:t>
      </w:r>
      <w:r>
        <w:t xml:space="preserve">
      if grep -Pn '^\s*(- |path:\s*).*\.\.' "$f"; then echo "[BLOCK] </w:t>
      </w:r>
      <w:r>
        <w:rPr>
          <w:rFonts w:hint="eastAsia"/>
        </w:rPr>
        <w:t>路径穿越检测:</w:t>
      </w:r>
      <w:r>
        <w:t xml:space="preserve"> $f"
        VIOLATIONS=$((VIOLATIONS + 1)) fi done</w:t>
      </w:r>
    </w:p>
    <w:p w14:paraId="776BB21C">
      <w:pPr>
        <w:pStyle w:val="3"/>
      </w:pPr>
      <w:r>
        <w:t xml:space="preserve">if [ "$VIOLATIONS" -gt 0 ]; then
      echo </w:t>
      </w:r>
      <w:r>
        <w:rPr>
          <w:rFonts w:hint="eastAsia"/>
        </w:rPr>
        <w:t>"共发现$</w:t>
      </w:r>
      <w:r>
        <w:t xml:space="preserve">VIOLATIONS </w:t>
      </w:r>
      <w:r>
        <w:rPr>
          <w:rFonts w:hint="eastAsia"/>
        </w:rPr>
        <w:t>处异常路径引用，提交被拦截"</w:t>
      </w:r>
      <w:r>
        <w:t xml:space="preserve"> exit 1 fi echo </w:t>
      </w:r>
      <w:r>
        <w:rPr>
          <w:rFonts w:hint="eastAsia"/>
        </w:rPr>
        <w:t>"路径校验通过"</w:t>
      </w:r>
    </w:p>
    <w:p w14:paraId="41B8E308">
      <w:pPr>
        <w:pStyle w:val="3"/>
      </w:pPr>
      <w:r>
        <w:rPr>
          <w:rFonts w:hint="eastAsia"/>
          <w:b/>
          <w:bCs/>
        </w:rPr>
        <w:t>2)权限收敛：限制</w:t>
      </w:r>
      <w:r>
        <w:rPr>
          <w:b/>
          <w:bCs/>
        </w:rPr>
        <w:t xml:space="preserve"> Flux </w:t>
      </w:r>
      <w:r>
        <w:rPr>
          <w:rFonts w:hint="eastAsia"/>
          <w:b/>
          <w:bCs/>
        </w:rPr>
        <w:t>源仓库写入与</w:t>
      </w:r>
      <w:r>
        <w:rPr>
          <w:b/>
          <w:bCs/>
        </w:rPr>
        <w:t xml:space="preserve"> Kustomization </w:t>
      </w:r>
      <w:r>
        <w:rPr>
          <w:rFonts w:hint="eastAsia"/>
          <w:b/>
          <w:bCs/>
        </w:rPr>
        <w:t>同步范围</w:t>
      </w:r>
    </w:p>
    <w:p w14:paraId="3EB3F2AE">
      <w:pPr>
        <w:pStyle w:val="3"/>
      </w:pPr>
      <w:r>
        <w:t xml:space="preserve"># </w:t>
      </w:r>
      <w:r>
        <w:rPr>
          <w:rFonts w:hint="eastAsia"/>
        </w:rPr>
        <w:t>收紧</w:t>
      </w:r>
      <w:r>
        <w:t xml:space="preserve"> Flux GitRepository </w:t>
      </w:r>
      <w:r>
        <w:rPr>
          <w:rFonts w:hint="eastAsia"/>
        </w:rPr>
        <w:t>与</w:t>
      </w:r>
      <w:r>
        <w:t xml:space="preserve"> Kustomization </w:t>
      </w:r>
      <w:r>
        <w:rPr>
          <w:rFonts w:hint="eastAsia"/>
        </w:rPr>
        <w:t>的</w:t>
      </w:r>
      <w:r>
        <w:t xml:space="preserve"> ServiceAccount </w:t>
      </w:r>
      <w:r>
        <w:rPr>
          <w:rFonts w:hint="eastAsia"/>
        </w:rPr>
        <w:t>权限</w:t>
      </w:r>
      <w:r>
        <w:t xml:space="preserve"> cat &lt;&lt;’EOF’ | kubectl apply -f - apiVersion: rbac.authorization.k8s.io/v1 kind: Role metadata: name: flux-kustomize-restricted namespace: flux-system rules: - apiGroups: ["kustomize.toolkit.fluxcd.io"] resources: ["kustomizations"] verbs: ["get", "list", "watch"] - apiGroups: ["source.toolkit.fluxcd.io"] resources: ["gitrepositories"] verbs: ["get", "list", "watch"] — apiVersion: rbac.authorization.k8s.io/v1 kind: RoleBinding metadata: name: flux-kustomize-restricted-binding namespace: flux-system roleRef: apiGroup: rbac.authorization.k8s.io kind: Role name: flux-kustomize-restricted subjects: - kind: ServiceAccount name: flux-restricted-sa namespace: flux-system EOF</w:t>
      </w:r>
    </w:p>
    <w:p w14:paraId="10A8C9BD">
      <w:pPr>
        <w:pStyle w:val="3"/>
      </w:pPr>
      <w:r>
        <w:t>kubectl -n flux-system get role,rolebinding |  findstr /i "flux-kustomize-restricted"</w:t>
      </w:r>
    </w:p>
    <w:p w14:paraId="0BA02A36">
      <w:pPr>
        <w:pStyle w:val="3"/>
      </w:pPr>
      <w:r>
        <w:rPr>
          <w:rFonts w:hint="eastAsia"/>
          <w:b/>
          <w:bCs/>
        </w:rPr>
        <w:t>3)运行时加固：收紧</w:t>
      </w:r>
      <w:r>
        <w:rPr>
          <w:b/>
          <w:bCs/>
        </w:rPr>
        <w:t xml:space="preserve"> kustomize-controller </w:t>
      </w:r>
      <w:r>
        <w:rPr>
          <w:rFonts w:hint="eastAsia"/>
          <w:b/>
          <w:bCs/>
        </w:rPr>
        <w:t>容器安全上下文</w:t>
      </w:r>
    </w:p>
    <w:p w14:paraId="37AD4767">
      <w:pPr>
        <w:pStyle w:val="3"/>
      </w:pPr>
      <w:r>
        <w:t xml:space="preserve"># </w:t>
      </w:r>
      <w:r>
        <w:rPr>
          <w:rFonts w:hint="eastAsia"/>
        </w:rPr>
        <w:t>为</w:t>
      </w:r>
      <w:r>
        <w:t xml:space="preserve"> kustomize-controller </w:t>
      </w:r>
      <w:r>
        <w:rPr>
          <w:rFonts w:hint="eastAsia"/>
        </w:rPr>
        <w:t>添加只读根文件系统与非特权约束</w:t>
      </w:r>
      <w:r>
        <w:t xml:space="preserve"> # </w:t>
      </w:r>
      <w:r>
        <w:rPr>
          <w:rFonts w:hint="eastAsia"/>
        </w:rPr>
        <w:t>路径穿越读取文件需要写入</w:t>
      </w:r>
      <w:r>
        <w:t xml:space="preserve"> </w:t>
      </w:r>
      <w:r>
        <w:rPr>
          <w:rFonts w:hint="eastAsia"/>
        </w:rPr>
        <w:t>/tmp，用</w:t>
      </w:r>
      <w:r>
        <w:t xml:space="preserve"> emptyDir </w:t>
      </w:r>
      <w:r>
        <w:rPr>
          <w:rFonts w:hint="eastAsia"/>
        </w:rPr>
        <w:t>替代根目录写入</w:t>
      </w:r>
      <w:r>
        <w:t xml:space="preserve"> kubectl -n flux-system patch deploy kustomize-controller  –type=strategic -p ’ spec: template: spec: containers: - name: manager securityContext: readOnlyRootFilesystem: true # </w:t>
      </w:r>
      <w:r>
        <w:rPr>
          <w:rFonts w:hint="eastAsia"/>
        </w:rPr>
        <w:t>封锁根文件系统，防止一次性写入文件</w:t>
      </w:r>
      <w:r>
        <w:t xml:space="preserve"> runAsNonRoot: true # </w:t>
      </w:r>
      <w:r>
        <w:rPr>
          <w:rFonts w:hint="eastAsia"/>
        </w:rPr>
        <w:t>以非</w:t>
      </w:r>
      <w:r>
        <w:t xml:space="preserve"> root </w:t>
      </w:r>
      <w:r>
        <w:rPr>
          <w:rFonts w:hint="eastAsia"/>
        </w:rPr>
        <w:t>身份运行容器</w:t>
      </w:r>
      <w:r>
        <w:t xml:space="preserve"> allowPrivilegeEscalation: false # </w:t>
      </w:r>
      <w:r>
        <w:rPr>
          <w:rFonts w:hint="eastAsia"/>
        </w:rPr>
        <w:t>防止容器内部权限提升</w:t>
      </w:r>
      <w:r>
        <w:t xml:space="preserve"> capabilities: drop: ["ALL"] # </w:t>
      </w:r>
      <w:r>
        <w:rPr>
          <w:rFonts w:hint="eastAsia"/>
        </w:rPr>
        <w:t>删除所有</w:t>
      </w:r>
      <w:r>
        <w:t xml:space="preserve"> Linux </w:t>
      </w:r>
      <w:r>
        <w:rPr>
          <w:rFonts w:hint="eastAsia"/>
        </w:rPr>
        <w:t>能力位</w:t>
      </w:r>
      <w:r>
        <w:t xml:space="preserve"> volumeMounts: - name: tmp mountPath: /tmp volumes: - name: tmp emptyDir: sizeLimit: 64Mi # </w:t>
      </w:r>
      <w:r>
        <w:rPr>
          <w:rFonts w:hint="eastAsia"/>
        </w:rPr>
        <w:t>限制临时目录大小，防止磁盘填满</w:t>
      </w:r>
      <w:r>
        <w:t xml:space="preserve"> ’</w:t>
      </w:r>
    </w:p>
    <w:p w14:paraId="3A4E4F80">
      <w:pPr>
        <w:pStyle w:val="3"/>
      </w:pPr>
      <w:r>
        <w:t xml:space="preserve"># </w:t>
      </w:r>
      <w:r>
        <w:rPr>
          <w:rFonts w:hint="eastAsia"/>
        </w:rPr>
        <w:t>验证安全上下文已生效</w:t>
      </w:r>
      <w:r>
        <w:t xml:space="preserve"> kubectl -n flux-system get deploy kustomize-controller  -o jsonpath=’.spec.template.spec.containers[0].securityContext’ |  python -m json.tool</w:t>
      </w:r>
    </w:p>
    <w:p w14:paraId="1AC6E074">
      <w:pPr>
        <w:pStyle w:val="3"/>
      </w:pPr>
      <w:r>
        <w:rPr>
          <w:rFonts w:hint="eastAsia"/>
          <w:b/>
          <w:bCs/>
        </w:rPr>
        <w:t>4)网络隔离：限制</w:t>
      </w:r>
      <w:r>
        <w:rPr>
          <w:b/>
          <w:bCs/>
        </w:rPr>
        <w:t xml:space="preserve"> kustomize-controller </w:t>
      </w:r>
      <w:r>
        <w:rPr>
          <w:rFonts w:hint="eastAsia"/>
          <w:b/>
          <w:bCs/>
        </w:rPr>
        <w:t>出站访问</w:t>
      </w:r>
    </w:p>
    <w:p w14:paraId="4E7B2462">
      <w:pPr>
        <w:pStyle w:val="3"/>
      </w:pPr>
      <w:r>
        <w:t xml:space="preserve">cat &lt;&lt;’EOF’ | kubectl apply -f - apiVersion: networking.k8s.io/v1 kind: NetworkPolicy metadata: name: kustomize-controller-egress namespace: flux-system spec: podSelector: matchLabels: app: kustomize-controller policyTypes: ["Egress"] egress: # </w:t>
      </w:r>
      <w:r>
        <w:rPr>
          <w:rFonts w:hint="eastAsia"/>
        </w:rPr>
        <w:t>允许</w:t>
      </w:r>
      <w:r>
        <w:t xml:space="preserve"> DNS </w:t>
      </w:r>
      <w:r>
        <w:rPr>
          <w:rFonts w:hint="eastAsia"/>
        </w:rPr>
        <w:t>解析，任何外部连接均依赖此前置</w:t>
      </w:r>
      <w:r>
        <w:t xml:space="preserve"> - to: - namespaceSelector: matchLabels: kubernetes.io/metadata.name: kube-system podSelector: matchLabels: k8s-app: kube-dns ports: - protocol: UDP port: 53 - protocol: TCP port: 53 # </w:t>
      </w:r>
      <w:r>
        <w:rPr>
          <w:rFonts w:hint="eastAsia"/>
        </w:rPr>
        <w:t>允许访问</w:t>
      </w:r>
      <w:r>
        <w:t xml:space="preserve"> source-controller </w:t>
      </w:r>
      <w:r>
        <w:rPr>
          <w:rFonts w:hint="eastAsia"/>
        </w:rPr>
        <w:t>拉取制品，不直连外网</w:t>
      </w:r>
      <w:r>
        <w:t xml:space="preserve"> - to: - podSelector: matchLabels: app: source-controller ports: - protocol: TCP port: 9090 # </w:t>
      </w:r>
      <w:r>
        <w:rPr>
          <w:rFonts w:hint="eastAsia"/>
        </w:rPr>
        <w:t>允许访问</w:t>
      </w:r>
      <w:r>
        <w:t xml:space="preserve"> K8s API Server </w:t>
      </w:r>
      <w:r>
        <w:rPr>
          <w:rFonts w:hint="eastAsia"/>
        </w:rPr>
        <w:t>来应用资源清单</w:t>
      </w:r>
      <w:r>
        <w:t xml:space="preserve"> - to: - ipBlock: cidr: &lt;API-SERVER-CIDR&gt;/32 ports: - protocol: TCP port: 443 EOF</w:t>
      </w:r>
    </w:p>
    <w:p w14:paraId="1B311060">
      <w:pPr>
        <w:pStyle w:val="3"/>
      </w:pPr>
      <w:r>
        <w:t>kubectl -n flux-system get networkpolicy |  findstr /i "kustomize-controller"</w:t>
      </w:r>
    </w:p>
    <w:bookmarkEnd w:id="211"/>
    <w:p w14:paraId="662CB5F7">
      <w:pPr>
        <w:pStyle w:val="6"/>
      </w:pPr>
      <w:bookmarkStart w:id="212" w:name="安全策略验证-4"/>
      <w:r>
        <w:rPr>
          <w:rFonts w:hint="eastAsia"/>
        </w:rPr>
        <w:t>安全策略验证</w:t>
      </w:r>
    </w:p>
    <w:p w14:paraId="540AE04A">
      <w:pPr>
        <w:pStyle w:val="23"/>
      </w:pPr>
      <w:r>
        <w:rPr>
          <w:rFonts w:hint="eastAsia"/>
        </w:rPr>
        <w:t>策略部署后，重新执行仓库提交与同步流程，验证防护效果。</w:t>
      </w:r>
    </w:p>
    <w:p w14:paraId="565D025E">
      <w:pPr>
        <w:pStyle w:val="3"/>
      </w:pPr>
      <w:r>
        <w:rPr>
          <w:rFonts w:hint="eastAsia"/>
          <w:b/>
          <w:bCs/>
        </w:rPr>
        <w:t>有效性：</w:t>
      </w:r>
      <w:r>
        <w:t xml:space="preserve"> CI </w:t>
      </w:r>
      <w:r>
        <w:rPr>
          <w:rFonts w:hint="eastAsia"/>
        </w:rPr>
        <w:t>校验生效后，包含异常路径引用的</w:t>
      </w:r>
      <w:r>
        <w:t xml:space="preserve"> K8s </w:t>
      </w:r>
      <w:r>
        <w:rPr>
          <w:rFonts w:hint="eastAsia"/>
        </w:rPr>
        <w:t>配置文件在提交阶段即被拦截，相关变更无法进入同步链路。即使在受控环境中绕过提交流程直接触发同步，控制器运行权限收紧后，异常路径访问范围仍被限制。</w:t>
      </w:r>
    </w:p>
    <w:p w14:paraId="0595D8AA">
      <w:pPr>
        <w:pStyle w:val="3"/>
      </w:pPr>
      <w:r>
        <w:rPr>
          <w:rFonts w:hint="eastAsia"/>
          <w:b/>
          <w:bCs/>
        </w:rPr>
        <w:t>无干扰性：</w:t>
      </w:r>
      <w:r>
        <w:t xml:space="preserve"> </w:t>
      </w:r>
      <w:r>
        <w:rPr>
          <w:rFonts w:hint="eastAsia"/>
        </w:rPr>
        <w:t>策略收紧范围限于异常路径引用与高风险变更权限，合规</w:t>
      </w:r>
      <w:r>
        <w:t xml:space="preserve"> K8s </w:t>
      </w:r>
      <w:r>
        <w:rPr>
          <w:rFonts w:hint="eastAsia"/>
        </w:rPr>
        <w:t>配置文件的构建与同步流程保持正常。校验规则先以告警模式运行，用于识别历史仓库中的不规范写法，再切换至强制模式。</w:t>
      </w:r>
    </w:p>
    <w:p w14:paraId="2BC24247">
      <w:pPr>
        <w:pStyle w:val="3"/>
      </w:pPr>
      <w:r>
        <w:rPr>
          <w:rFonts w:hint="eastAsia"/>
          <w:b/>
          <w:bCs/>
        </w:rPr>
        <w:t>可部署性：</w:t>
      </w:r>
      <w:r>
        <w:t xml:space="preserve"> CI </w:t>
      </w:r>
      <w:r>
        <w:rPr>
          <w:rFonts w:hint="eastAsia"/>
        </w:rPr>
        <w:t>校验规则与权限配置均采用声明式文件管理，可直接纳入现有流水线与</w:t>
      </w:r>
      <w:r>
        <w:t xml:space="preserve"> GitOps </w:t>
      </w:r>
      <w:r>
        <w:rPr>
          <w:rFonts w:hint="eastAsia"/>
        </w:rPr>
        <w:t>基线。该方案主要依赖仓库准入检查和</w:t>
      </w:r>
      <w:r>
        <w:t xml:space="preserve"> K8s </w:t>
      </w:r>
      <w:r>
        <w:rPr>
          <w:rFonts w:hint="eastAsia"/>
        </w:rPr>
        <w:t>原生权限配置，适合在多租户环境中复用。</w:t>
      </w:r>
    </w:p>
    <w:p w14:paraId="78B0A0DE">
      <w:pPr>
        <w:pStyle w:val="3"/>
      </w:pPr>
      <w:r>
        <w:rPr>
          <w:rFonts w:hint="eastAsia"/>
        </w:rPr>
        <w:t>三维验证均通过。异常路径引用被前移拦截后，恶意</w:t>
      </w:r>
      <w:r>
        <w:t xml:space="preserve"> </w:t>
      </w:r>
      <w:r>
        <w:rPr>
          <w:rStyle w:val="48"/>
        </w:rPr>
        <w:t>kustomization.yaml</w:t>
      </w:r>
      <w:r>
        <w:t xml:space="preserve"> </w:t>
      </w:r>
      <w:r>
        <w:rPr>
          <w:rFonts w:hint="eastAsia"/>
        </w:rPr>
        <w:t>进入控制器构建流程的机会明显下降。该方案可作为补丁发布前的补充缓解措施，最终修复仍依赖升级至</w:t>
      </w:r>
      <w:r>
        <w:t xml:space="preserve"> </w:t>
      </w:r>
      <w:r>
        <w:rPr>
          <w:rStyle w:val="48"/>
        </w:rPr>
        <w:t>kustomize-controller v0.24.0</w:t>
      </w:r>
      <w:r>
        <w:t xml:space="preserve"> </w:t>
      </w:r>
      <w:r>
        <w:rPr>
          <w:rFonts w:hint="eastAsia"/>
        </w:rPr>
        <w:t>及以上版本。</w:t>
      </w:r>
    </w:p>
    <w:bookmarkEnd w:id="209"/>
    <w:bookmarkEnd w:id="212"/>
    <w:p w14:paraId="55F0572B">
      <w:pPr>
        <w:pStyle w:val="5"/>
      </w:pPr>
      <w:bookmarkStart w:id="213" w:name="案例六cve-2022-29171-命令注入"/>
      <w:r>
        <w:rPr>
          <w:rFonts w:hint="eastAsia"/>
        </w:rPr>
        <w:t>案例六：CVE-2022-29171</w:t>
      </w:r>
      <w:r>
        <w:t xml:space="preserve"> </w:t>
      </w:r>
      <w:r>
        <w:rPr>
          <w:rFonts w:hint="eastAsia"/>
        </w:rPr>
        <w:t>命令注入</w:t>
      </w:r>
    </w:p>
    <w:p w14:paraId="33FB1A2D">
      <w:pPr>
        <w:pStyle w:val="6"/>
      </w:pPr>
      <w:bookmarkStart w:id="214" w:name="漏洞复现-5"/>
      <w:r>
        <w:rPr>
          <w:rFonts w:hint="eastAsia"/>
        </w:rPr>
        <w:t>漏洞复现</w:t>
      </w:r>
    </w:p>
    <w:p w14:paraId="2699BC37">
      <w:pPr>
        <w:pStyle w:val="23"/>
      </w:pPr>
      <w:r>
        <w:t xml:space="preserve">Sourcegraph </w:t>
      </w:r>
      <w:r>
        <w:rPr>
          <w:rFonts w:hint="eastAsia"/>
        </w:rPr>
        <w:t>是面向大规模代码仓库的搜索与导航平台，其典型部署包含负责仓库拉取与</w:t>
      </w:r>
      <w:r>
        <w:t xml:space="preserve"> Git </w:t>
      </w:r>
      <w:r>
        <w:rPr>
          <w:rFonts w:hint="eastAsia"/>
        </w:rPr>
        <w:t>操作的</w:t>
      </w:r>
      <w:r>
        <w:t xml:space="preserve"> gitserver </w:t>
      </w:r>
      <w:r>
        <w:rPr>
          <w:rFonts w:hint="eastAsia"/>
        </w:rPr>
        <w:t>服务。在企业集成场景中，Sourcegraph</w:t>
      </w:r>
      <w:r>
        <w:t xml:space="preserve"> </w:t>
      </w:r>
      <w:r>
        <w:rPr>
          <w:rFonts w:hint="eastAsia"/>
        </w:rPr>
        <w:t>可接入多种代码托管与协作系统。为获得额外元数据，部分集成允许管理员在系统中配置外部命令，由后端服务在特定路径下执行并返回结果。此类机制天然具有较高风险：若命令可被高权限用户任意改写，且执行环境与网络边界缺少隔离，则可能形成配置驱动的命令执行入口。</w:t>
      </w:r>
    </w:p>
    <w:p w14:paraId="3CA0A3E6">
      <w:pPr>
        <w:pStyle w:val="3"/>
      </w:pPr>
      <w:r>
        <w:rPr>
          <w:b/>
          <w:bCs/>
        </w:rPr>
        <w:t xml:space="preserve">CVE </w:t>
      </w:r>
      <w:r>
        <w:rPr>
          <w:rFonts w:hint="eastAsia"/>
          <w:b/>
          <w:bCs/>
        </w:rPr>
        <w:t>描述</w:t>
      </w:r>
      <w:r>
        <w:rPr>
          <w:rFonts w:hint="eastAsia"/>
        </w:rPr>
        <w:t>：CVE-2022-29171</w:t>
      </w:r>
      <w:r>
        <w:t xml:space="preserve"> </w:t>
      </w:r>
      <w:r>
        <w:rPr>
          <w:rFonts w:hint="eastAsia"/>
        </w:rPr>
        <w:t>指出</w:t>
      </w:r>
      <w:r>
        <w:t xml:space="preserve"> Sourcegraph gitserver </w:t>
      </w:r>
      <w:r>
        <w:rPr>
          <w:rFonts w:hint="eastAsia"/>
        </w:rPr>
        <w:t>在</w:t>
      </w:r>
      <w:r>
        <w:t xml:space="preserve"> Gitolite </w:t>
      </w:r>
      <w:r>
        <w:rPr>
          <w:rFonts w:hint="eastAsia"/>
        </w:rPr>
        <w:t>与</w:t>
      </w:r>
      <w:r>
        <w:t xml:space="preserve"> Phabricator </w:t>
      </w:r>
      <w:r>
        <w:rPr>
          <w:rFonts w:hint="eastAsia"/>
        </w:rPr>
        <w:t>联动集成中存在远程代码执行风险。在受影响版本</w:t>
      </w:r>
      <w:r>
        <w:t xml:space="preserve"> &lt; 3.38.0 </w:t>
      </w:r>
      <w:r>
        <w:rPr>
          <w:rFonts w:hint="eastAsia"/>
        </w:rPr>
        <w:t>中，站点管理员可配置用于获取</w:t>
      </w:r>
      <w:r>
        <w:t xml:space="preserve"> Phabricator </w:t>
      </w:r>
      <w:r>
        <w:rPr>
          <w:rFonts w:hint="eastAsia"/>
        </w:rPr>
        <w:t>元数据的</w:t>
      </w:r>
      <w:r>
        <w:t xml:space="preserve"> </w:t>
      </w:r>
      <w:r>
        <w:rPr>
          <w:rFonts w:hint="eastAsia"/>
        </w:rPr>
        <w:t>callsignCommand；若攻击者同时具备对</w:t>
      </w:r>
      <w:r>
        <w:t xml:space="preserve"> Sourcegraph </w:t>
      </w:r>
      <w:r>
        <w:rPr>
          <w:rFonts w:hint="eastAsia"/>
        </w:rPr>
        <w:t>实例的站点管理员权限，以及对其内置</w:t>
      </w:r>
      <w:r>
        <w:t xml:space="preserve"> Grafana </w:t>
      </w:r>
      <w:r>
        <w:rPr>
          <w:rFonts w:hint="eastAsia"/>
        </w:rPr>
        <w:t>监控实例的管理员权限，则可进一步获取内部服务地址信息，并将上述命令改写为任意系统命令，从而在</w:t>
      </w:r>
      <w:r>
        <w:t xml:space="preserve"> gitserver </w:t>
      </w:r>
      <w:r>
        <w:rPr>
          <w:rFonts w:hint="eastAsia"/>
        </w:rPr>
        <w:t>上触发远程执行。该问题已在</w:t>
      </w:r>
      <w:r>
        <w:t xml:space="preserve"> 3.38.0 </w:t>
      </w:r>
      <w:r>
        <w:rPr>
          <w:rFonts w:hint="eastAsia"/>
        </w:rPr>
        <w:t>版本修复，官方仍建议即使采取临时缓解也应尽快升级。</w:t>
      </w:r>
    </w:p>
    <w:p w14:paraId="5E52D844">
      <w:pPr>
        <w:pStyle w:val="3"/>
      </w:pPr>
      <w:r>
        <w:rPr>
          <w:rFonts w:hint="eastAsia"/>
          <w:b/>
          <w:bCs/>
        </w:rPr>
        <w:t>主要成因分类</w:t>
      </w:r>
      <w:r>
        <w:rPr>
          <w:rFonts w:hint="eastAsia"/>
        </w:rPr>
        <w:t>：安全逻辑缺陷</w:t>
      </w:r>
      <w:r>
        <w:t xml:space="preserve"> / </w:t>
      </w:r>
      <w:r>
        <w:rPr>
          <w:rFonts w:hint="eastAsia"/>
        </w:rPr>
        <w:t>命令注入，表现为配置驱动的命令执行缺乏约束，同时伴随权限边界缺陷，即高敏感配置权限与观测面权限向执行面耦合。</w:t>
      </w:r>
    </w:p>
    <w:p w14:paraId="75294222">
      <w:pPr>
        <w:pStyle w:val="3"/>
      </w:pPr>
      <w:r>
        <w:rPr>
          <w:rFonts w:hint="eastAsia"/>
          <w:b/>
          <w:bCs/>
        </w:rPr>
        <w:t>攻击链条描述</w:t>
      </w:r>
      <w:r>
        <w:rPr>
          <w:rFonts w:hint="eastAsia"/>
        </w:rPr>
        <w:t>：攻击链可概括为高权限配置、执行面触达以及基础设施控制。攻击者首先获得可编辑或新增</w:t>
      </w:r>
      <w:r>
        <w:t xml:space="preserve"> Gitolite code host </w:t>
      </w:r>
      <w:r>
        <w:rPr>
          <w:rFonts w:hint="eastAsia"/>
        </w:rPr>
        <w:t>的管理权限；随后借助</w:t>
      </w:r>
      <w:r>
        <w:t xml:space="preserve"> Grafana </w:t>
      </w:r>
      <w:r>
        <w:rPr>
          <w:rFonts w:hint="eastAsia"/>
        </w:rPr>
        <w:t>管理权限获取</w:t>
      </w:r>
      <w:r>
        <w:t xml:space="preserve"> gitserver </w:t>
      </w:r>
      <w:r>
        <w:rPr>
          <w:rFonts w:hint="eastAsia"/>
        </w:rPr>
        <w:t>的内部寻址信息；最终改写</w:t>
      </w:r>
      <w:r>
        <w:t xml:space="preserve"> callsignCommand </w:t>
      </w:r>
      <w:r>
        <w:rPr>
          <w:rFonts w:hint="eastAsia"/>
        </w:rPr>
        <w:t>并触发执行。风险的核心在于管理面配置、观测面信息与执行面能力发生了耦合。</w:t>
      </w:r>
    </w:p>
    <w:p w14:paraId="35C75AC3">
      <w:pPr>
        <w:pStyle w:val="3"/>
      </w:pPr>
      <w:r>
        <w:rPr>
          <w:rFonts w:hint="eastAsia"/>
        </w:rPr>
        <w:t>实验在隔离环境中部署受影响版本的</w:t>
      </w:r>
      <w:r>
        <w:t xml:space="preserve"> </w:t>
      </w:r>
      <w:r>
        <w:rPr>
          <w:rFonts w:hint="eastAsia"/>
        </w:rPr>
        <w:t>Sourcegraph，并保留</w:t>
      </w:r>
      <w:r>
        <w:t xml:space="preserve"> Gitolite </w:t>
      </w:r>
      <w:r>
        <w:rPr>
          <w:rFonts w:hint="eastAsia"/>
        </w:rPr>
        <w:t>与</w:t>
      </w:r>
      <w:r>
        <w:t xml:space="preserve"> Phabricator </w:t>
      </w:r>
      <w:r>
        <w:rPr>
          <w:rFonts w:hint="eastAsia"/>
        </w:rPr>
        <w:t>联动集成。正文仅保留配置变更后</w:t>
      </w:r>
      <w:r>
        <w:t xml:space="preserve"> gitserver </w:t>
      </w:r>
      <w:r>
        <w:rPr>
          <w:rFonts w:hint="eastAsia"/>
        </w:rPr>
        <w:t>的可观测执行证据，不展开可直接复用的命令载荷与内部寻址细节。完整环境准备、验证判据与回归检查步骤见附录如下。</w:t>
      </w:r>
    </w:p>
    <w:p w14:paraId="345FE394">
      <w:pPr>
        <w:pStyle w:val="3"/>
      </w:pPr>
      <w:r>
        <w:rPr>
          <w:rFonts w:hint="eastAsia"/>
          <w:b/>
          <w:bCs/>
        </w:rPr>
        <w:t>参考命令(用于日志与工作负载证据采集)</w:t>
      </w:r>
    </w:p>
    <w:p w14:paraId="18ECE37D">
      <w:pPr>
        <w:pStyle w:val="3"/>
      </w:pPr>
      <w:r>
        <w:t>NAMESPACE=sourcegraph</w:t>
      </w:r>
    </w:p>
    <w:p w14:paraId="7C01F99D">
      <w:pPr>
        <w:pStyle w:val="3"/>
      </w:pPr>
      <w:r>
        <w:t xml:space="preserve">kubectl -n $NAMESPACE get deploy,pod,svc | findstr /i "gitserver"
    kubectl -n$NAMESPACE logs deploy/gitserver –tail=200 kubectl -n $NAMESPACE get events --sort-by=.lastTimestamp | findstr /i "gitserver"
    # </w:t>
      </w:r>
      <w:r>
        <w:rPr>
          <w:rFonts w:hint="eastAsia"/>
        </w:rPr>
        <w:t>在管理面触发一次元数据获取/同步后，重复采集日志并与禁用集成后的结果对比</w:t>
      </w:r>
      <w:r>
        <w:t>
    kubectl -n$NAMESPACE logs deploy/gitserver –since=10m | findstr /i "gitolite phabricator callsign"</w:t>
      </w:r>
    </w:p>
    <w:p w14:paraId="51651865">
      <w:pPr>
        <w:pStyle w:val="3"/>
      </w:pPr>
      <w:r>
        <w:rPr>
          <w:rFonts w:hint="eastAsia"/>
        </w:rPr>
        <w:t>在修改</w:t>
      </w:r>
      <w:r>
        <w:t xml:space="preserve"> callsignCommand </w:t>
      </w:r>
      <w:r>
        <w:rPr>
          <w:rFonts w:hint="eastAsia"/>
        </w:rPr>
        <w:t>相关配置后，gitserver</w:t>
      </w:r>
      <w:r>
        <w:t xml:space="preserve"> </w:t>
      </w:r>
      <w:r>
        <w:rPr>
          <w:rFonts w:hint="eastAsia"/>
        </w:rPr>
        <w:t>的任务执行记录与审计证据中出现外部命令被触发的迹象，说明管理面配置已可影响执行面行为。禁用相关集成或切换至修复版本后，同类迹象不再出现，命令执行风险得到验证。</w:t>
      </w:r>
    </w:p>
    <w:bookmarkEnd w:id="214"/>
    <w:p w14:paraId="7F3E6E91">
      <w:pPr>
        <w:pStyle w:val="6"/>
      </w:pPr>
      <w:bookmarkStart w:id="215" w:name="安全策略生成-5"/>
      <w:r>
        <w:rPr>
          <w:rFonts w:hint="eastAsia"/>
        </w:rPr>
        <w:t>安全策略生成</w:t>
      </w:r>
    </w:p>
    <w:p w14:paraId="051A979D">
      <w:pPr>
        <w:pStyle w:val="23"/>
      </w:pPr>
      <w:r>
        <w:t xml:space="preserve">KPEDefense </w:t>
      </w:r>
      <w:r>
        <w:rPr>
          <w:rFonts w:hint="eastAsia"/>
        </w:rPr>
        <w:t>筛选出的最优策略从三个层面切断攻击链：禁用</w:t>
      </w:r>
      <w:r>
        <w:t xml:space="preserve"> Gitolite </w:t>
      </w:r>
      <w:r>
        <w:rPr>
          <w:rFonts w:hint="eastAsia"/>
        </w:rPr>
        <w:t>集成以移除</w:t>
      </w:r>
      <w:r>
        <w:t xml:space="preserve"> callsignCommand </w:t>
      </w:r>
      <w:r>
        <w:rPr>
          <w:rFonts w:hint="eastAsia"/>
        </w:rPr>
        <w:t>对应的命令执行入口；对</w:t>
      </w:r>
      <w:r>
        <w:t xml:space="preserve"> gitserver </w:t>
      </w:r>
      <w:r>
        <w:rPr>
          <w:rFonts w:hint="eastAsia"/>
        </w:rPr>
        <w:t>实施</w:t>
      </w:r>
      <w:r>
        <w:t xml:space="preserve"> NetworkPolicy </w:t>
      </w:r>
      <w:r>
        <w:rPr>
          <w:rFonts w:hint="eastAsia"/>
        </w:rPr>
        <w:t>网络隔离；收紧外部服务配置与</w:t>
      </w:r>
      <w:r>
        <w:t xml:space="preserve"> Grafana </w:t>
      </w:r>
      <w:r>
        <w:rPr>
          <w:rFonts w:hint="eastAsia"/>
        </w:rPr>
        <w:t>管理权限，防止管理面配置变更影响执行面。详细配置如下。</w:t>
      </w:r>
    </w:p>
    <w:p w14:paraId="4472F058">
      <w:pPr>
        <w:pStyle w:val="3"/>
      </w:pPr>
      <w:r>
        <w:rPr>
          <w:rFonts w:hint="eastAsia"/>
          <w:b/>
          <w:bCs/>
        </w:rPr>
        <w:t>1)禁用</w:t>
      </w:r>
      <w:r>
        <w:rPr>
          <w:b/>
          <w:bCs/>
        </w:rPr>
        <w:t xml:space="preserve"> Gitolite </w:t>
      </w:r>
      <w:r>
        <w:rPr>
          <w:rFonts w:hint="eastAsia"/>
          <w:b/>
          <w:bCs/>
        </w:rPr>
        <w:t>集成：移除</w:t>
      </w:r>
      <w:r>
        <w:rPr>
          <w:b/>
          <w:bCs/>
        </w:rPr>
        <w:t xml:space="preserve"> callsignCommand </w:t>
      </w:r>
      <w:r>
        <w:rPr>
          <w:rFonts w:hint="eastAsia"/>
          <w:b/>
          <w:bCs/>
        </w:rPr>
        <w:t>对应的命令执行入口</w:t>
      </w:r>
    </w:p>
    <w:p w14:paraId="7F984226">
      <w:pPr>
        <w:pStyle w:val="3"/>
      </w:pPr>
      <w:r>
        <w:t xml:space="preserve"># </w:t>
      </w:r>
      <w:r>
        <w:rPr>
          <w:rFonts w:hint="eastAsia"/>
        </w:rPr>
        <w:t>通过站点配置禁用</w:t>
      </w:r>
      <w:r>
        <w:t xml:space="preserve"> Gitolite code host </w:t>
      </w:r>
      <w:r>
        <w:rPr>
          <w:rFonts w:hint="eastAsia"/>
        </w:rPr>
        <w:t>集成</w:t>
      </w:r>
      <w:r>
        <w:t xml:space="preserve"> # </w:t>
      </w:r>
      <w:r>
        <w:rPr>
          <w:rFonts w:hint="eastAsia"/>
        </w:rPr>
        <w:t>在</w:t>
      </w:r>
      <w:r>
        <w:t xml:space="preserve"> Sourcegraph </w:t>
      </w:r>
      <w:r>
        <w:rPr>
          <w:rFonts w:hint="eastAsia"/>
        </w:rPr>
        <w:t>站点配置</w:t>
      </w:r>
      <w:r>
        <w:t xml:space="preserve"> JSON </w:t>
      </w:r>
      <w:r>
        <w:rPr>
          <w:rFonts w:hint="eastAsia"/>
        </w:rPr>
        <w:t>中移除或注释</w:t>
      </w:r>
      <w:r>
        <w:t xml:space="preserve"> gitolite </w:t>
      </w:r>
      <w:r>
        <w:rPr>
          <w:rFonts w:hint="eastAsia"/>
        </w:rPr>
        <w:t>相关条目</w:t>
      </w:r>
    </w:p>
    <w:p w14:paraId="7ACDC036">
      <w:pPr>
        <w:pStyle w:val="3"/>
      </w:pPr>
      <w:r>
        <w:t xml:space="preserve">cat &lt;&lt;’EOF’ | kubectl apply -f - apiVersion: v1 kind: ConfigMap metadata: name: sourcegraph-site-config namespace: sourcegraph data: site.json: |  "externalServices": [ // </w:t>
      </w:r>
      <w:r>
        <w:rPr>
          <w:rFonts w:hint="eastAsia"/>
        </w:rPr>
        <w:t>移除所有</w:t>
      </w:r>
      <w:r>
        <w:t xml:space="preserve"> kind: "GITOLITE" </w:t>
      </w:r>
      <w:r>
        <w:rPr>
          <w:rFonts w:hint="eastAsia"/>
        </w:rPr>
        <w:t>的条目，从根源切断</w:t>
      </w:r>
      <w:r>
        <w:t xml:space="preserve"> callsignCommand </w:t>
      </w:r>
      <w:r>
        <w:rPr>
          <w:rFonts w:hint="eastAsia"/>
        </w:rPr>
        <w:t>执行路径</w:t>
      </w:r>
      <w:r>
        <w:t xml:space="preserve"> // </w:t>
      </w:r>
      <w:r>
        <w:rPr>
          <w:rFonts w:hint="eastAsia"/>
        </w:rPr>
        <w:t>若需保留仓库同步，改用不含</w:t>
      </w:r>
      <w:r>
        <w:t xml:space="preserve"> callsignCommand </w:t>
      </w:r>
      <w:r>
        <w:rPr>
          <w:rFonts w:hint="eastAsia"/>
        </w:rPr>
        <w:t>的</w:t>
      </w:r>
      <w:r>
        <w:t xml:space="preserve"> GIT </w:t>
      </w:r>
      <w:r>
        <w:rPr>
          <w:rFonts w:hint="eastAsia"/>
        </w:rPr>
        <w:t>类型</w:t>
      </w:r>
      <w:r>
        <w:t xml:space="preserve"> ], "experimentalFeatures":  "enableGitoliteCallsignLookup": false // </w:t>
      </w:r>
      <w:r>
        <w:rPr>
          <w:rFonts w:hint="eastAsia"/>
        </w:rPr>
        <w:t>显式关闭元数据处理功能</w:t>
      </w:r>
      <w:r>
        <w:t xml:space="preserve">   EOF</w:t>
      </w:r>
    </w:p>
    <w:p w14:paraId="522B8847">
      <w:pPr>
        <w:pStyle w:val="3"/>
      </w:pPr>
      <w:r>
        <w:t xml:space="preserve"># </w:t>
      </w:r>
      <w:r>
        <w:rPr>
          <w:rFonts w:hint="eastAsia"/>
        </w:rPr>
        <w:t>重启相关组件使配置生效</w:t>
      </w:r>
      <w:r>
        <w:t xml:space="preserve"> kubectl -n sourcegraph rollout restart deploy/sourcegraph-frontend kubectl -n sourcegraph rollout restart deploy/gitserver</w:t>
      </w:r>
    </w:p>
    <w:p w14:paraId="770FCA41">
      <w:pPr>
        <w:pStyle w:val="3"/>
      </w:pPr>
      <w:r>
        <w:t xml:space="preserve"># </w:t>
      </w:r>
      <w:r>
        <w:rPr>
          <w:rFonts w:hint="eastAsia"/>
        </w:rPr>
        <w:t>验证：确认</w:t>
      </w:r>
      <w:r>
        <w:t xml:space="preserve"> Gitolite </w:t>
      </w:r>
      <w:r>
        <w:rPr>
          <w:rFonts w:hint="eastAsia"/>
        </w:rPr>
        <w:t>集成已禁用</w:t>
      </w:r>
      <w:r>
        <w:t xml:space="preserve"> kubectl -n sourcegraph logs deploy/gitserver –since=5m | findstr /i "gitolite callsign"</w:t>
      </w:r>
    </w:p>
    <w:p w14:paraId="1FCC7BF9">
      <w:pPr>
        <w:pStyle w:val="3"/>
      </w:pPr>
      <w:r>
        <w:rPr>
          <w:rFonts w:hint="eastAsia"/>
          <w:b/>
          <w:bCs/>
        </w:rPr>
        <w:t>2)收紧</w:t>
      </w:r>
      <w:r>
        <w:rPr>
          <w:b/>
          <w:bCs/>
        </w:rPr>
        <w:t xml:space="preserve"> Grafana </w:t>
      </w:r>
      <w:r>
        <w:rPr>
          <w:rFonts w:hint="eastAsia"/>
          <w:b/>
          <w:bCs/>
        </w:rPr>
        <w:t>管理权限与外部服务配置权限</w:t>
      </w:r>
    </w:p>
    <w:p w14:paraId="6A3B158E">
      <w:pPr>
        <w:pStyle w:val="3"/>
      </w:pPr>
      <w:r>
        <w:t xml:space="preserve"># </w:t>
      </w:r>
      <w:r>
        <w:rPr>
          <w:rFonts w:hint="eastAsia"/>
        </w:rPr>
        <w:t>限制</w:t>
      </w:r>
      <w:r>
        <w:t xml:space="preserve"> Grafana </w:t>
      </w:r>
      <w:r>
        <w:rPr>
          <w:rFonts w:hint="eastAsia"/>
        </w:rPr>
        <w:t>管理员访问，防止通过观测面获取内部服务地址</w:t>
      </w:r>
      <w:r>
        <w:t xml:space="preserve"> # </w:t>
      </w:r>
      <w:r>
        <w:rPr>
          <w:rFonts w:hint="eastAsia"/>
        </w:rPr>
        <w:t>方案：将</w:t>
      </w:r>
      <w:r>
        <w:t xml:space="preserve"> Grafana </w:t>
      </w:r>
      <w:r>
        <w:rPr>
          <w:rFonts w:hint="eastAsia"/>
        </w:rPr>
        <w:t>的</w:t>
      </w:r>
      <w:r>
        <w:t xml:space="preserve"> admin </w:t>
      </w:r>
      <w:r>
        <w:rPr>
          <w:rFonts w:hint="eastAsia"/>
        </w:rPr>
        <w:t>角色限制为只读，或通过</w:t>
      </w:r>
      <w:r>
        <w:t xml:space="preserve"> RBAC </w:t>
      </w:r>
      <w:r>
        <w:rPr>
          <w:rFonts w:hint="eastAsia"/>
        </w:rPr>
        <w:t>限制对</w:t>
      </w:r>
      <w:r>
        <w:t xml:space="preserve"> Grafana Pod </w:t>
      </w:r>
      <w:r>
        <w:rPr>
          <w:rFonts w:hint="eastAsia"/>
        </w:rPr>
        <w:t>的访问</w:t>
      </w:r>
    </w:p>
    <w:p w14:paraId="6A3C8555">
      <w:pPr>
        <w:pStyle w:val="3"/>
      </w:pPr>
      <w:r>
        <w:t>cat &lt;&lt;’EOF’ | kubectl apply -f - apiVersion: networking.k8s.io/v1 kind: NetworkPolicy metadata: name: grafana-ingress-restrict namespace: sourcegraph spec: podSelector: matchLabels: app: grafana policyTypes: ["Ingress"] ingress: - from: - podSelector: matchLabels: app: sourcegraph-frontend ports: - protocol: TCP port: 3000 EOF</w:t>
      </w:r>
    </w:p>
    <w:p w14:paraId="5E8D6767">
      <w:pPr>
        <w:pStyle w:val="3"/>
      </w:pPr>
      <w:r>
        <w:t xml:space="preserve"># </w:t>
      </w:r>
      <w:r>
        <w:rPr>
          <w:rFonts w:hint="eastAsia"/>
        </w:rPr>
        <w:t>同时通过</w:t>
      </w:r>
      <w:r>
        <w:t xml:space="preserve"> Grafana </w:t>
      </w:r>
      <w:r>
        <w:rPr>
          <w:rFonts w:hint="eastAsia"/>
        </w:rPr>
        <w:t>配置收紧默认管理员权限</w:t>
      </w:r>
      <w:r>
        <w:t xml:space="preserve"> cat &lt;&lt;’EOF’ | kubectl apply -f - apiVersion: v1 kind: ConfigMap metadata: name: grafana-config namespace: sourcegraph data: grafana.ini: | [security] admin_user = admin disable_gravatar = true</w:t>
      </w:r>
    </w:p>
    <w:p w14:paraId="22C06313">
      <w:pPr>
        <w:pStyle w:val="3"/>
      </w:pPr>
      <w:r>
        <w:t>[users] default_theme = dark auto_assign_org_role = Viewer</w:t>
      </w:r>
    </w:p>
    <w:p w14:paraId="0CC999B6">
      <w:pPr>
        <w:pStyle w:val="3"/>
      </w:pPr>
      <w:r>
        <w:t>[auth] disable_login_form = false EOF</w:t>
      </w:r>
    </w:p>
    <w:p w14:paraId="163DABF8">
      <w:pPr>
        <w:pStyle w:val="3"/>
      </w:pPr>
      <w:r>
        <w:t>kubectl -n sourcegraph rollout restart deploy/grafana</w:t>
      </w:r>
    </w:p>
    <w:p w14:paraId="770979ED">
      <w:pPr>
        <w:pStyle w:val="3"/>
      </w:pPr>
      <w:r>
        <w:rPr>
          <w:rFonts w:hint="eastAsia"/>
          <w:b/>
          <w:bCs/>
        </w:rPr>
        <w:t>3)网络隔离：限制</w:t>
      </w:r>
      <w:r>
        <w:rPr>
          <w:b/>
          <w:bCs/>
        </w:rPr>
        <w:t xml:space="preserve"> gitserver </w:t>
      </w:r>
      <w:r>
        <w:rPr>
          <w:rFonts w:hint="eastAsia"/>
          <w:b/>
          <w:bCs/>
        </w:rPr>
        <w:t>的可达面(默认拒绝并按需放通)</w:t>
      </w:r>
    </w:p>
    <w:bookmarkEnd w:id="215"/>
    <w:p w14:paraId="261B386E">
      <w:pPr>
        <w:pStyle w:val="6"/>
      </w:pPr>
      <w:bookmarkStart w:id="216" w:name="安全策略验证-5"/>
      <w:r>
        <w:rPr>
          <w:rFonts w:hint="eastAsia"/>
        </w:rPr>
        <w:t>安全策略验证</w:t>
      </w:r>
    </w:p>
    <w:p w14:paraId="69DDC060">
      <w:pPr>
        <w:pStyle w:val="23"/>
      </w:pPr>
      <w:r>
        <w:rPr>
          <w:rFonts w:hint="eastAsia"/>
        </w:rPr>
        <w:t>策略部署后，重新执行配置变更与观测流程，验证防护效果。</w:t>
      </w:r>
    </w:p>
    <w:p w14:paraId="1E9F7072">
      <w:pPr>
        <w:pStyle w:val="3"/>
      </w:pPr>
      <w:r>
        <w:rPr>
          <w:rFonts w:hint="eastAsia"/>
          <w:b/>
          <w:bCs/>
        </w:rPr>
        <w:t>有效性：</w:t>
      </w:r>
      <w:r>
        <w:t xml:space="preserve"> </w:t>
      </w:r>
      <w:r>
        <w:rPr>
          <w:rFonts w:hint="eastAsia"/>
        </w:rPr>
        <w:t>禁用</w:t>
      </w:r>
      <w:r>
        <w:t xml:space="preserve"> Gitolite </w:t>
      </w:r>
      <w:r>
        <w:rPr>
          <w:rFonts w:hint="eastAsia"/>
        </w:rPr>
        <w:t>集成后，callsignCommand</w:t>
      </w:r>
      <w:r>
        <w:t xml:space="preserve"> </w:t>
      </w:r>
      <w:r>
        <w:rPr>
          <w:rFonts w:hint="eastAsia"/>
        </w:rPr>
        <w:t>对应的输入面被移除，相关外部命令触发迹象不再出现。网络隔离与权限分离同时生效后，即使管理面存在误授权限，配置变化也难以继续进入</w:t>
      </w:r>
      <w:r>
        <w:t xml:space="preserve"> gitserver </w:t>
      </w:r>
      <w:r>
        <w:rPr>
          <w:rFonts w:hint="eastAsia"/>
        </w:rPr>
        <w:t>执行面。</w:t>
      </w:r>
    </w:p>
    <w:p w14:paraId="1033CCE7">
      <w:pPr>
        <w:pStyle w:val="3"/>
      </w:pPr>
      <w:r>
        <w:rPr>
          <w:rFonts w:hint="eastAsia"/>
          <w:b/>
          <w:bCs/>
        </w:rPr>
        <w:t>无干扰性：</w:t>
      </w:r>
      <w:r>
        <w:t xml:space="preserve"> </w:t>
      </w:r>
      <w:r>
        <w:rPr>
          <w:rFonts w:hint="eastAsia"/>
        </w:rPr>
        <w:t>策略直接禁用了</w:t>
      </w:r>
      <w:r>
        <w:t xml:space="preserve"> Gitolite </w:t>
      </w:r>
      <w:r>
        <w:rPr>
          <w:rFonts w:hint="eastAsia"/>
        </w:rPr>
        <w:t>集成，对依赖该集成获取</w:t>
      </w:r>
      <w:r>
        <w:t xml:space="preserve"> Phabricator </w:t>
      </w:r>
      <w:r>
        <w:rPr>
          <w:rFonts w:hint="eastAsia"/>
        </w:rPr>
        <w:t>元数据的工作流会产生一定影响，干扰性为中等。未依赖</w:t>
      </w:r>
      <w:r>
        <w:t xml:space="preserve"> Gitolite </w:t>
      </w:r>
      <w:r>
        <w:rPr>
          <w:rFonts w:hint="eastAsia"/>
        </w:rPr>
        <w:t>的仓库搜索与浏览流程保持正常。网络隔离规则上线前经预生产环境核对入站与出站依赖，未出现合法通信误拦截。</w:t>
      </w:r>
    </w:p>
    <w:p w14:paraId="7C04A84E">
      <w:pPr>
        <w:pStyle w:val="3"/>
      </w:pPr>
      <w:r>
        <w:rPr>
          <w:rFonts w:hint="eastAsia"/>
          <w:b/>
          <w:bCs/>
        </w:rPr>
        <w:t>可部署性：</w:t>
      </w:r>
      <w:r>
        <w:t xml:space="preserve"> </w:t>
      </w:r>
      <w:r>
        <w:rPr>
          <w:rFonts w:hint="eastAsia"/>
        </w:rPr>
        <w:t>集成功能开关、NetworkPolicy</w:t>
      </w:r>
      <w:r>
        <w:t xml:space="preserve"> </w:t>
      </w:r>
      <w:r>
        <w:rPr>
          <w:rFonts w:hint="eastAsia"/>
        </w:rPr>
        <w:t>与权限配置均可声明式管理，并纳入</w:t>
      </w:r>
      <w:r>
        <w:t xml:space="preserve"> GitOps </w:t>
      </w:r>
      <w:r>
        <w:rPr>
          <w:rFonts w:hint="eastAsia"/>
        </w:rPr>
        <w:t>基线持续维护。该方案依赖</w:t>
      </w:r>
      <w:r>
        <w:t xml:space="preserve"> K8s </w:t>
      </w:r>
      <w:r>
        <w:rPr>
          <w:rFonts w:hint="eastAsia"/>
        </w:rPr>
        <w:t>常用网络隔离能力与平台权限治理机制，适合在同类部署环境中复用。</w:t>
      </w:r>
    </w:p>
    <w:p w14:paraId="4EC77139">
      <w:pPr>
        <w:pStyle w:val="3"/>
      </w:pPr>
      <w:r>
        <w:rPr>
          <w:rFonts w:hint="eastAsia"/>
        </w:rPr>
        <w:t>三维验证通过。命令执行入口被切断后，管理面配置继续影响</w:t>
      </w:r>
      <w:r>
        <w:t xml:space="preserve"> gitserver </w:t>
      </w:r>
      <w:r>
        <w:rPr>
          <w:rFonts w:hint="eastAsia"/>
        </w:rPr>
        <w:t>执行面的路径被关闭。该方案可作为版本升级前的补充缓解措施，最终仍建议升级至修复版本。</w:t>
      </w:r>
    </w:p>
    <w:bookmarkEnd w:id="213"/>
    <w:bookmarkEnd w:id="216"/>
    <w:p w14:paraId="14149EA7">
      <w:pPr>
        <w:pStyle w:val="5"/>
      </w:pPr>
      <w:bookmarkStart w:id="217" w:name="案例七cve-2023-22482-身份验证绕过"/>
      <w:r>
        <w:rPr>
          <w:rFonts w:hint="eastAsia"/>
        </w:rPr>
        <w:t>案例七：CVE-2023-22482</w:t>
      </w:r>
      <w:r>
        <w:t xml:space="preserve"> </w:t>
      </w:r>
      <w:r>
        <w:rPr>
          <w:rFonts w:hint="eastAsia"/>
        </w:rPr>
        <w:t>身份验证绕过</w:t>
      </w:r>
    </w:p>
    <w:p w14:paraId="09DE1A04">
      <w:pPr>
        <w:pStyle w:val="6"/>
      </w:pPr>
      <w:bookmarkStart w:id="218" w:name="漏洞复现-6"/>
      <w:r>
        <w:rPr>
          <w:rFonts w:hint="eastAsia"/>
        </w:rPr>
        <w:t>漏洞复现</w:t>
      </w:r>
    </w:p>
    <w:p w14:paraId="0CFF4A8D">
      <w:pPr>
        <w:pStyle w:val="23"/>
      </w:pPr>
      <w:r>
        <w:t xml:space="preserve">Argo CD </w:t>
      </w:r>
      <w:r>
        <w:rPr>
          <w:rFonts w:hint="eastAsia"/>
        </w:rPr>
        <w:t>是</w:t>
      </w:r>
      <w:r>
        <w:t xml:space="preserve"> K8s </w:t>
      </w:r>
      <w:r>
        <w:rPr>
          <w:rFonts w:hint="eastAsia"/>
        </w:rPr>
        <w:t>场景中常用的声明式</w:t>
      </w:r>
      <w:r>
        <w:t xml:space="preserve"> GitOps </w:t>
      </w:r>
      <w:r>
        <w:rPr>
          <w:rFonts w:hint="eastAsia"/>
        </w:rPr>
        <w:t>持续交付工具，提供</w:t>
      </w:r>
      <w:r>
        <w:t xml:space="preserve"> Web </w:t>
      </w:r>
      <w:r>
        <w:rPr>
          <w:rFonts w:hint="eastAsia"/>
        </w:rPr>
        <w:t>与</w:t>
      </w:r>
      <w:r>
        <w:t xml:space="preserve"> API </w:t>
      </w:r>
      <w:r>
        <w:rPr>
          <w:rFonts w:hint="eastAsia"/>
        </w:rPr>
        <w:t>接口供用户进行应用同步、回滚与差异审计等操作。在企业环境中，Argo</w:t>
      </w:r>
      <w:r>
        <w:t xml:space="preserve"> CD </w:t>
      </w:r>
      <w:r>
        <w:rPr>
          <w:rFonts w:hint="eastAsia"/>
        </w:rPr>
        <w:t>常通过</w:t>
      </w:r>
      <w:r>
        <w:t xml:space="preserve"> OIDC </w:t>
      </w:r>
      <w:r>
        <w:rPr>
          <w:rFonts w:hint="eastAsia"/>
        </w:rPr>
        <w:t>与统一身份提供方对接，由身份提供方向</w:t>
      </w:r>
      <w:r>
        <w:t xml:space="preserve"> Argo CD </w:t>
      </w:r>
      <w:r>
        <w:rPr>
          <w:rFonts w:hint="eastAsia"/>
        </w:rPr>
        <w:t>签发包含用户身份与组信息的令牌。在</w:t>
      </w:r>
      <w:r>
        <w:t xml:space="preserve"> OIDC </w:t>
      </w:r>
      <w:r>
        <w:rPr>
          <w:rFonts w:hint="eastAsia"/>
        </w:rPr>
        <w:t>令牌中，aud</w:t>
      </w:r>
      <w:r>
        <w:t xml:space="preserve"> </w:t>
      </w:r>
      <w:r>
        <w:rPr>
          <w:rFonts w:hint="eastAsia"/>
        </w:rPr>
        <w:t>声明用于标识该令牌的预期接收方。通常情况下，服务端除验证签名与发行者外，还需要校验</w:t>
      </w:r>
      <w:r>
        <w:t xml:space="preserve"> aud </w:t>
      </w:r>
      <w:r>
        <w:rPr>
          <w:rFonts w:hint="eastAsia"/>
        </w:rPr>
        <w:t>是否包含本服务的受众标识，以避免将为其他服务签发的令牌误用到本服务上。</w:t>
      </w:r>
    </w:p>
    <w:p w14:paraId="25ADA57A">
      <w:pPr>
        <w:pStyle w:val="3"/>
      </w:pPr>
      <w:r>
        <w:rPr>
          <w:b/>
          <w:bCs/>
        </w:rPr>
        <w:t xml:space="preserve">CVE </w:t>
      </w:r>
      <w:r>
        <w:rPr>
          <w:rFonts w:hint="eastAsia"/>
          <w:b/>
          <w:bCs/>
        </w:rPr>
        <w:t>描述</w:t>
      </w:r>
      <w:r>
        <w:rPr>
          <w:rFonts w:hint="eastAsia"/>
        </w:rPr>
        <w:t>：CVE-2023-22482</w:t>
      </w:r>
      <w:r>
        <w:t xml:space="preserve"> </w:t>
      </w:r>
      <w:r>
        <w:rPr>
          <w:rFonts w:hint="eastAsia"/>
        </w:rPr>
        <w:t>指出</w:t>
      </w:r>
      <w:r>
        <w:t xml:space="preserve"> Argo CD </w:t>
      </w:r>
      <w:r>
        <w:rPr>
          <w:rFonts w:hint="eastAsia"/>
        </w:rPr>
        <w:t>在部分版本中存在不恰当授权缺陷。其能够验证令牌由已配置的</w:t>
      </w:r>
      <w:r>
        <w:t xml:space="preserve"> OIDC </w:t>
      </w:r>
      <w:r>
        <w:rPr>
          <w:rFonts w:hint="eastAsia"/>
        </w:rPr>
        <w:t>提供方签名，但未对令牌的</w:t>
      </w:r>
      <w:r>
        <w:t xml:space="preserve"> aud </w:t>
      </w:r>
      <w:r>
        <w:rPr>
          <w:rFonts w:hint="eastAsia"/>
        </w:rPr>
        <w:t>声明进行校验，从而可能接受并非面向</w:t>
      </w:r>
      <w:r>
        <w:t xml:space="preserve"> Argo CD </w:t>
      </w:r>
      <w:r>
        <w:rPr>
          <w:rFonts w:hint="eastAsia"/>
        </w:rPr>
        <w:t>的有效令牌。若同一身份提供方还为其他系统签发令牌，攻击者一旦获得其他系统的有效令牌，就可能将其用于访问</w:t>
      </w:r>
      <w:r>
        <w:t xml:space="preserve"> Argo CD。Argo CD </w:t>
      </w:r>
      <w:r>
        <w:rPr>
          <w:rFonts w:hint="eastAsia"/>
        </w:rPr>
        <w:t>将基于令牌中的</w:t>
      </w:r>
      <w:r>
        <w:t xml:space="preserve"> groups </w:t>
      </w:r>
      <w:r>
        <w:rPr>
          <w:rFonts w:hint="eastAsia"/>
        </w:rPr>
        <w:t>声明授予权限，即使这些组信息并非为</w:t>
      </w:r>
      <w:r>
        <w:t xml:space="preserve"> Argo CD </w:t>
      </w:r>
      <w:r>
        <w:rPr>
          <w:rFonts w:hint="eastAsia"/>
        </w:rPr>
        <w:t>的授权场景设计。该问题在</w:t>
      </w:r>
      <w:r>
        <w:t xml:space="preserve"> 2.6.0-rc3、2.5.6、2.4.19 </w:t>
      </w:r>
      <w:r>
        <w:rPr>
          <w:rFonts w:hint="eastAsia"/>
        </w:rPr>
        <w:t>与</w:t>
      </w:r>
      <w:r>
        <w:t xml:space="preserve"> 2.3.13 </w:t>
      </w:r>
      <w:r>
        <w:rPr>
          <w:rFonts w:hint="eastAsia"/>
        </w:rPr>
        <w:t>及以上版本修复；受影响范围包含</w:t>
      </w:r>
      <w:r>
        <w:t xml:space="preserve"> &gt;= 1.8.2 </w:t>
      </w:r>
      <w:r>
        <w:rPr>
          <w:rFonts w:hint="eastAsia"/>
        </w:rPr>
        <w:t>且低于上述修复版本的版本分支。</w:t>
      </w:r>
    </w:p>
    <w:p w14:paraId="232C8B9C">
      <w:pPr>
        <w:pStyle w:val="3"/>
      </w:pPr>
      <w:r>
        <w:rPr>
          <w:rFonts w:hint="eastAsia"/>
          <w:b/>
          <w:bCs/>
        </w:rPr>
        <w:t>主要成因分类</w:t>
      </w:r>
      <w:r>
        <w:rPr>
          <w:rFonts w:hint="eastAsia"/>
        </w:rPr>
        <w:t>：安全逻辑缺陷</w:t>
      </w:r>
      <w:r>
        <w:t xml:space="preserve"> / </w:t>
      </w:r>
      <w:r>
        <w:rPr>
          <w:rFonts w:hint="eastAsia"/>
        </w:rPr>
        <w:t>身份与授权校验缺失，表现为令牌受众</w:t>
      </w:r>
      <w:r>
        <w:t xml:space="preserve"> </w:t>
      </w:r>
      <w:r>
        <w:rPr>
          <w:rStyle w:val="48"/>
        </w:rPr>
        <w:t>aud</w:t>
      </w:r>
      <w:r>
        <w:t xml:space="preserve"> </w:t>
      </w:r>
      <w:r>
        <w:rPr>
          <w:rFonts w:hint="eastAsia"/>
        </w:rPr>
        <w:t>未校验，导致跨受众令牌复用。</w:t>
      </w:r>
    </w:p>
    <w:p w14:paraId="7E48BB56">
      <w:pPr>
        <w:pStyle w:val="3"/>
      </w:pPr>
      <w:r>
        <w:rPr>
          <w:rFonts w:hint="eastAsia"/>
          <w:b/>
          <w:bCs/>
        </w:rPr>
        <w:t>攻击链条描述</w:t>
      </w:r>
      <w:r>
        <w:rPr>
          <w:rFonts w:hint="eastAsia"/>
        </w:rPr>
        <w:t>：攻击链可概括为多受众身份提供、跨受众令牌复用以及基于组声明的越权访问。攻击者获得同一</w:t>
      </w:r>
      <w:r>
        <w:t xml:space="preserve"> OIDC </w:t>
      </w:r>
      <w:r>
        <w:rPr>
          <w:rFonts w:hint="eastAsia"/>
        </w:rPr>
        <w:t>提供方为其他受众签发的有效令牌；将其提交给</w:t>
      </w:r>
      <w:r>
        <w:t xml:space="preserve"> Argo CD </w:t>
      </w:r>
      <w:r>
        <w:rPr>
          <w:rFonts w:hint="eastAsia"/>
        </w:rPr>
        <w:t>的接口；若</w:t>
      </w:r>
      <w:r>
        <w:t xml:space="preserve"> Argo CD </w:t>
      </w:r>
      <w:r>
        <w:rPr>
          <w:rFonts w:hint="eastAsia"/>
        </w:rPr>
        <w:t>未校验</w:t>
      </w:r>
      <w:r>
        <w:t xml:space="preserve"> </w:t>
      </w:r>
      <w:r>
        <w:rPr>
          <w:rStyle w:val="48"/>
        </w:rPr>
        <w:t>aud</w:t>
      </w:r>
      <w:r>
        <w:rPr>
          <w:rFonts w:hint="eastAsia"/>
        </w:rPr>
        <w:t>，则会接受该令牌并根据</w:t>
      </w:r>
      <w:r>
        <w:t xml:space="preserve"> </w:t>
      </w:r>
      <w:r>
        <w:rPr>
          <w:rStyle w:val="48"/>
        </w:rPr>
        <w:t>groups</w:t>
      </w:r>
      <w:r>
        <w:t xml:space="preserve"> </w:t>
      </w:r>
      <w:r>
        <w:rPr>
          <w:rFonts w:hint="eastAsia"/>
        </w:rPr>
        <w:t>映射授予权限，进而造成对应用资源与交付流程的非预期访问。该缺陷同时放大了令牌泄露事件的影响范围。</w:t>
      </w:r>
    </w:p>
    <w:p w14:paraId="7FCEE8F8">
      <w:pPr>
        <w:pStyle w:val="3"/>
      </w:pPr>
      <w:r>
        <w:rPr>
          <w:rFonts w:hint="eastAsia"/>
        </w:rPr>
        <w:t>实验在接入</w:t>
      </w:r>
      <w:r>
        <w:t xml:space="preserve"> OIDC </w:t>
      </w:r>
      <w:r>
        <w:rPr>
          <w:rFonts w:hint="eastAsia"/>
        </w:rPr>
        <w:t>身份提供方的</w:t>
      </w:r>
      <w:r>
        <w:t xml:space="preserve"> Argo CD </w:t>
      </w:r>
      <w:r>
        <w:rPr>
          <w:rFonts w:hint="eastAsia"/>
        </w:rPr>
        <w:t>测试环境中进行，重点验证</w:t>
      </w:r>
      <w:r>
        <w:t xml:space="preserve"> </w:t>
      </w:r>
      <w:r>
        <w:rPr>
          <w:rStyle w:val="48"/>
        </w:rPr>
        <w:t>aud</w:t>
      </w:r>
      <w:r>
        <w:t xml:space="preserve"> </w:t>
      </w:r>
      <w:r>
        <w:rPr>
          <w:rFonts w:hint="eastAsia"/>
        </w:rPr>
        <w:t>不匹配令牌是否仍会被受影响版本接受。正文仅保留配置证据、令牌声明与接口返回结果，不展开可直接复用的令牌获取与请求构造细节。完整环境准备、验证判据与回归检查步骤如下。</w:t>
      </w:r>
    </w:p>
    <w:p w14:paraId="55ABD894">
      <w:pPr>
        <w:pStyle w:val="3"/>
      </w:pPr>
      <w:r>
        <w:rPr>
          <w:rFonts w:hint="eastAsia"/>
          <w:b/>
          <w:bCs/>
        </w:rPr>
        <w:t>参考命令(用于配置、令牌与响应证据采集)</w:t>
      </w:r>
    </w:p>
    <w:p w14:paraId="262FC014">
      <w:pPr>
        <w:pStyle w:val="3"/>
      </w:pPr>
      <w:r>
        <w:t>ARGO_NS=argocd ARGOCD_URL=https://argocd.example.com TOKEN=&lt;oidc-token-with-wrong-aud&gt;</w:t>
      </w:r>
    </w:p>
    <w:p w14:paraId="02F8F64C">
      <w:pPr>
        <w:pStyle w:val="3"/>
      </w:pPr>
      <w:r>
        <w:t xml:space="preserve">kubectl -n </w:t>
      </w:r>
      <m:oMath>
        <m:r>
          <m:rPr/>
          <m:t>ARG</m:t>
        </m:r>
        <m:sSub>
          <m:sSubPr/>
          <m:e>
            <m:r>
              <m:rPr/>
              <m:t>O</m:t>
            </m:r>
          </m:e>
          <m:sub>
            <m:r>
              <m:rPr/>
              <m:t>N</m:t>
            </m:r>
          </m:sub>
        </m:sSub>
        <m:r>
          <m:rPr/>
          <m:t>Sgetcmargocd</m:t>
        </m:r>
        <m:r>
          <m:rPr>
            <m:sty m:val="p"/>
          </m:rPr>
          <m:t>−</m:t>
        </m:r>
        <m:r>
          <m:rPr/>
          <m:t>cm</m:t>
        </m:r>
        <m:r>
          <m:rPr>
            <m:sty m:val="p"/>
          </m:rPr>
          <m:t>−</m:t>
        </m:r>
        <m:r>
          <m:rPr/>
          <m:t>oyamlkubectl</m:t>
        </m:r>
        <m:r>
          <m:rPr>
            <m:sty m:val="p"/>
          </m:rPr>
          <m:t>−</m:t>
        </m:r>
        <m:r>
          <m:rPr/>
          <m:t>n</m:t>
        </m:r>
      </m:oMath>
      <w:r>
        <w:t>ARGO_NS get deploy argocd-server -o wide</w:t>
      </w:r>
    </w:p>
    <w:p w14:paraId="05CD6301">
      <w:pPr>
        <w:pStyle w:val="3"/>
      </w:pPr>
      <w:r>
        <w:t xml:space="preserve"># </w:t>
      </w:r>
      <w:r>
        <w:rPr>
          <w:rFonts w:hint="eastAsia"/>
        </w:rPr>
        <w:t>保留令牌</w:t>
      </w:r>
      <w:r>
        <w:t xml:space="preserve"> payload </w:t>
      </w:r>
      <w:r>
        <w:rPr>
          <w:rFonts w:hint="eastAsia"/>
        </w:rPr>
        <w:t>作为</w:t>
      </w:r>
      <w:r>
        <w:t xml:space="preserve"> aud/iss </w:t>
      </w:r>
      <w:r>
        <w:rPr>
          <w:rFonts w:hint="eastAsia"/>
        </w:rPr>
        <w:t>证据(必要时补齐</w:t>
      </w:r>
      <w:r>
        <w:t xml:space="preserve"> base64 padding) printf ’</w:t>
      </w:r>
    </w:p>
    <w:p w14:paraId="71190D62">
      <w:pPr>
        <w:pStyle w:val="3"/>
      </w:pPr>
      <w:r>
        <w:t xml:space="preserve"># </w:t>
      </w:r>
      <w:r>
        <w:rPr>
          <w:rFonts w:hint="eastAsia"/>
        </w:rPr>
        <w:t>选择只读接口作为验证点</w:t>
      </w:r>
      <w:r>
        <w:t xml:space="preserve"> curl -k -H "Authorization: Bearer $TOKEN" "$ARGOCD_URL/api/v1/applications" kubectl -n $ARGO_NS logs deploy/argocd-server --since=10m | findstr /i "oidc token aud"
    \end{AppendixCode}
    </w:t>
      </w:r>
      <w:r>
        <w:rPr>
          <w:rFonts w:hint="eastAsia"/>
        </w:rPr>
        <w:t>在受影响版本中，将签名有效但</w:t>
      </w:r>
      <w:r>
        <w:t xml:space="preserve"> aud </w:t>
      </w:r>
      <w:r>
        <w:rPr>
          <w:rFonts w:hint="eastAsia"/>
        </w:rPr>
        <w:t>不匹配的令牌提交至</w:t>
      </w:r>
      <w:r>
        <w:t xml:space="preserve"> Argo CD </w:t>
      </w:r>
      <w:r>
        <w:rPr>
          <w:rFonts w:hint="eastAsia"/>
        </w:rPr>
        <w:t>接口后，系统仍返回受</w:t>
      </w:r>
      <w:r>
        <w:t xml:space="preserve"> RBAC </w:t>
      </w:r>
      <w:r>
        <w:rPr>
          <w:rFonts w:hint="eastAsia"/>
        </w:rPr>
        <w:t>控制的资源内容，说明该令牌已被错误接受。切换至修复版本或在前置入口增加受众校验后，同类请求在校验阶段被拒绝，跨受众令牌复用风险得到验证。</w:t>
      </w:r>
      <w:r>
        <w:t xml:space="preserve">
    \begin{figure}[htb]
    </w:t>
      </w:r>
      <w:r>
        <w:tab/>
        <w:t xml:space="preserve">\centering
    </w:t>
      </w:r>
      <w:r>
        <w:tab/>
        <w:t xml:space="preserve">\includegraphics[width=0.8\textwidth]{images/cve7/image.png}
    </w:t>
      </w:r>
      <w:r>
        <w:tab/>
      </w:r>
      <w:r>
        <w:rPr>
          <w:rFonts w:hint="eastAsia"/>
        </w:rPr>
        <w:t>\bicaption{CVE-2023-22482：漏洞复现结果示意}{CVE-2023-22482:</w:t>
      </w:r>
      <w:r>
        <w:t xml:space="preserve"> Results of Vulnerability Reproduction}
    </w:t>
      </w:r>
      <w:r>
        <w:tab/>
        <w:t xml:space="preserve">\label{fig:cve-2023-22482-evidence}
    \end{figure}
    </w:t>
      </w:r>
      <w:r>
        <w:rPr>
          <w:rFonts w:hint="eastAsia"/>
        </w:rPr>
        <w:t>\subsubsection{安全策略生成}</w:t>
      </w:r>
      <w:r>
        <w:t xml:space="preserve">
    KPEDefense </w:t>
      </w:r>
      <w:r>
        <w:rPr>
          <w:rFonts w:hint="eastAsia"/>
        </w:rPr>
        <w:t>筛选出的最优策略从令牌签发、入口校验与授权收敛三个环节封堵攻击链：为</w:t>
      </w:r>
      <w:r>
        <w:t xml:space="preserve"> Argo CD </w:t>
      </w:r>
      <w:r>
        <w:rPr>
          <w:rFonts w:hint="eastAsia"/>
        </w:rPr>
        <w:t>分配独立的</w:t>
      </w:r>
      <w:r>
        <w:t xml:space="preserve"> OIDC </w:t>
      </w:r>
      <w:r>
        <w:rPr>
          <w:rFonts w:hint="eastAsia"/>
        </w:rPr>
        <w:t>客户端，实现身份提供方层面的受众隔离；在应用入口处强制校验</w:t>
      </w:r>
      <w:r>
        <w:t xml:space="preserve"> aud </w:t>
      </w:r>
      <w:r>
        <w:rPr>
          <w:rFonts w:hint="eastAsia"/>
        </w:rPr>
        <w:t>声明，阻断跨受众令牌复用；同时通过</w:t>
      </w:r>
      <w:r>
        <w:t xml:space="preserve"> RBAC </w:t>
      </w:r>
      <w:r>
        <w:rPr>
          <w:rFonts w:hint="eastAsia"/>
        </w:rPr>
        <w:t>收敛压缩误用令牌进入授权面后的影响范围。详细配置如下。</w:t>
      </w:r>
      <w:r>
        <w:t xml:space="preserve">
    </w:t>
      </w:r>
      <w:r>
        <w:rPr>
          <w:rFonts w:hint="eastAsia"/>
        </w:rPr>
        <w:t>\textbf{1)身份提供方客户端隔离：为</w:t>
      </w:r>
      <w:r>
        <w:t xml:space="preserve"> Argo CD </w:t>
      </w:r>
      <w:r>
        <w:rPr>
          <w:rFonts w:hint="eastAsia"/>
        </w:rPr>
        <w:t>分配独立</w:t>
      </w:r>
      <w:r>
        <w:t xml:space="preserve"> OIDC </w:t>
      </w:r>
      <w:r>
        <w:rPr>
          <w:rFonts w:hint="eastAsia"/>
        </w:rPr>
        <w:t>客户端}</w:t>
      </w:r>
      <w:r>
        <w:t xml:space="preserve">
    \begin{AppendixCode}
    # </w:t>
      </w:r>
      <w:r>
        <w:rPr>
          <w:rFonts w:hint="eastAsia"/>
        </w:rPr>
        <w:t>在</w:t>
      </w:r>
      <w:r>
        <w:t xml:space="preserve"> OIDC </w:t>
      </w:r>
      <w:r>
        <w:rPr>
          <w:rFonts w:hint="eastAsia"/>
        </w:rPr>
        <w:t>提供方(如</w:t>
      </w:r>
      <w:r>
        <w:t xml:space="preserve"> Keycloak / Dex / </w:t>
      </w:r>
      <w:r>
        <w:rPr>
          <w:rFonts w:hint="eastAsia"/>
        </w:rPr>
        <w:t>Okta)中为</w:t>
      </w:r>
      <w:r>
        <w:t xml:space="preserve"> Argo CD </w:t>
      </w:r>
      <w:r>
        <w:rPr>
          <w:rFonts w:hint="eastAsia"/>
        </w:rPr>
        <w:t>创建独立客户端</w:t>
      </w:r>
      <w:r>
        <w:t xml:space="preserve">
    # </w:t>
      </w:r>
      <w:r>
        <w:rPr>
          <w:rFonts w:hint="eastAsia"/>
        </w:rPr>
        <w:t>确保</w:t>
      </w:r>
      <w:r>
        <w:t xml:space="preserve"> client_id </w:t>
      </w:r>
      <w:r>
        <w:rPr>
          <w:rFonts w:hint="eastAsia"/>
        </w:rPr>
        <w:t>与</w:t>
      </w:r>
      <w:r>
        <w:t xml:space="preserve"> allowed_audiences </w:t>
      </w:r>
      <w:r>
        <w:rPr>
          <w:rFonts w:hint="eastAsia"/>
        </w:rPr>
        <w:t>仅包含</w:t>
      </w:r>
      <w:r>
        <w:t xml:space="preserve"> argocd </w:t>
      </w:r>
      <w:r>
        <w:rPr>
          <w:rFonts w:hint="eastAsia"/>
        </w:rPr>
        <w:t>专用标识</w:t>
      </w:r>
      <w:r>
        <w:t xml:space="preserve">
    # </w:t>
      </w:r>
      <w:r>
        <w:rPr>
          <w:rFonts w:hint="eastAsia"/>
        </w:rPr>
        <w:t>以下以</w:t>
      </w:r>
      <w:r>
        <w:t xml:space="preserve"> argocd-cm ConfigMap </w:t>
      </w:r>
      <w:r>
        <w:rPr>
          <w:rFonts w:hint="eastAsia"/>
        </w:rPr>
        <w:t>中的</w:t>
      </w:r>
      <w:r>
        <w:t xml:space="preserve"> OIDC </w:t>
      </w:r>
      <w:r>
        <w:rPr>
          <w:rFonts w:hint="eastAsia"/>
        </w:rPr>
        <w:t>配置为例</w:t>
      </w:r>
      <w:r>
        <w:t xml:space="preserve">
    apiVersion: v1
    kind: ConfigMap
    metadata:
    </w:t>
      </w:r>
      <w:r>
        <w:tab/>
        <w:t xml:space="preserve">name: argocd-cm
    </w:t>
      </w:r>
      <w:r>
        <w:tab/>
        <w:t xml:space="preserve">namespace: argocd
    data:
    </w:t>
      </w:r>
      <w:r>
        <w:tab/>
        <w:t xml:space="preserve">url: https://argocd.example.com
    </w:t>
      </w:r>
      <w:r>
        <w:tab/>
        <w:t xml:space="preserve">oidc.config: |
    </w:t>
      </w:r>
      <w:r>
        <w:tab/>
        <w:t/>
      </w:r>
      <w:r>
        <w:tab/>
        <w:t xml:space="preserve">name: SSO
    </w:t>
      </w:r>
      <w:r>
        <w:tab/>
        <w:t/>
      </w:r>
      <w:r>
        <w:tab/>
        <w:t xml:space="preserve">issuer: https://idp.example.com/realms/my-org
    </w:t>
      </w:r>
      <w:r>
        <w:tab/>
        <w:t/>
      </w:r>
      <w:r>
        <w:tab/>
        <w:t xml:space="preserve">clientID: argocd-dedicated          # </w:t>
      </w:r>
      <w:r>
        <w:rPr>
          <w:rFonts w:hint="eastAsia"/>
        </w:rPr>
        <w:t>独立客户端</w:t>
      </w:r>
      <w:r>
        <w:t xml:space="preserve"> </w:t>
      </w:r>
      <w:r>
        <w:rPr>
          <w:rFonts w:hint="eastAsia"/>
        </w:rPr>
        <w:t>ID，仅限此</w:t>
      </w:r>
      <w:r>
        <w:t xml:space="preserve"> Argo CD </w:t>
      </w:r>
      <w:r>
        <w:rPr>
          <w:rFonts w:hint="eastAsia"/>
        </w:rPr>
        <w:t>实例使用</w:t>
      </w:r>
      <w:r>
        <w:t xml:space="preserve">
    </w:t>
      </w:r>
      <w:r>
        <w:tab/>
        <w:t/>
      </w:r>
      <w:r>
        <w:tab/>
        <w:t xml:space="preserve">clientSecret:$oidc.clientSecret requestedScopes: - openid - profile - email - groups requestedIDTokenClaims: groups: essential: true # </w:t>
      </w:r>
      <w:r>
        <w:rPr>
          <w:rFonts w:hint="eastAsia"/>
        </w:rPr>
        <w:t>要求令牌必须包含</w:t>
      </w:r>
      <w:r>
        <w:t xml:space="preserve"> groups </w:t>
      </w:r>
      <w:r>
        <w:rPr>
          <w:rFonts w:hint="eastAsia"/>
        </w:rPr>
        <w:t>声明</w:t>
      </w:r>
    </w:p>
    <w:p w14:paraId="1DC40C52">
      <w:pPr>
        <w:pStyle w:val="3"/>
      </w:pPr>
      <w:r>
        <w:rPr>
          <w:rFonts w:hint="eastAsia"/>
          <w:b/>
          <w:bCs/>
        </w:rPr>
        <w:t>2)前置入口</w:t>
      </w:r>
      <w:r>
        <w:rPr>
          <w:b/>
          <w:bCs/>
        </w:rPr>
        <w:t xml:space="preserve"> </w:t>
      </w:r>
      <w:r>
        <w:rPr>
          <w:rStyle w:val="48"/>
          <w:b/>
          <w:bCs/>
        </w:rPr>
        <w:t>aud</w:t>
      </w:r>
      <w:r>
        <w:rPr>
          <w:b/>
          <w:bCs/>
        </w:rPr>
        <w:t xml:space="preserve"> </w:t>
      </w:r>
      <w:r>
        <w:rPr>
          <w:rFonts w:hint="eastAsia"/>
          <w:b/>
          <w:bCs/>
        </w:rPr>
        <w:t>强制校验：在网关层拦截受众不匹配的令牌</w:t>
      </w:r>
    </w:p>
    <w:p w14:paraId="68183FF4">
      <w:pPr>
        <w:pStyle w:val="3"/>
      </w:pPr>
      <w:r>
        <w:t xml:space="preserve"># </w:t>
      </w:r>
      <w:r>
        <w:rPr>
          <w:rFonts w:hint="eastAsia"/>
        </w:rPr>
        <w:t>方案</w:t>
      </w:r>
      <w:r>
        <w:t xml:space="preserve"> </w:t>
      </w:r>
      <w:r>
        <w:rPr>
          <w:rFonts w:hint="eastAsia"/>
        </w:rPr>
        <w:t>A：Nginx</w:t>
      </w:r>
      <w:r>
        <w:t xml:space="preserve"> Ingress + OAuth2 </w:t>
      </w:r>
      <w:r>
        <w:rPr>
          <w:rFonts w:hint="eastAsia"/>
        </w:rPr>
        <w:t>Proxy(推荐)</w:t>
      </w:r>
      <w:r>
        <w:t xml:space="preserve"> # OAuth2 Proxy </w:t>
      </w:r>
      <w:r>
        <w:rPr>
          <w:rFonts w:hint="eastAsia"/>
        </w:rPr>
        <w:t>部署时配置</w:t>
      </w:r>
      <w:r>
        <w:t xml:space="preserve"> –oidc-issuer-url </w:t>
      </w:r>
      <w:r>
        <w:rPr>
          <w:rFonts w:hint="eastAsia"/>
        </w:rPr>
        <w:t>与</w:t>
      </w:r>
      <w:r>
        <w:t xml:space="preserve"> </w:t>
      </w:r>
      <w:r>
        <w:rPr>
          <w:rFonts w:hint="eastAsia"/>
        </w:rPr>
        <w:t>–client-id，</w:t>
      </w:r>
      <w:r>
        <w:t xml:space="preserve"> # </w:t>
      </w:r>
      <w:r>
        <w:rPr>
          <w:rFonts w:hint="eastAsia"/>
        </w:rPr>
        <w:t>令牌的</w:t>
      </w:r>
      <w:r>
        <w:t xml:space="preserve"> aud </w:t>
      </w:r>
      <w:r>
        <w:rPr>
          <w:rFonts w:hint="eastAsia"/>
        </w:rPr>
        <w:t>必须包含该</w:t>
      </w:r>
      <w:r>
        <w:t xml:space="preserve"> client-id </w:t>
      </w:r>
      <w:r>
        <w:rPr>
          <w:rFonts w:hint="eastAsia"/>
        </w:rPr>
        <w:t>才能通过校验</w:t>
      </w:r>
    </w:p>
    <w:p w14:paraId="49E6A10E">
      <w:pPr>
        <w:pStyle w:val="3"/>
      </w:pPr>
      <w:r>
        <w:t xml:space="preserve">apiVersion: apps/v1 kind: Deployment metadata: name: oauth2-proxy namespace: argocd spec: replicas: 1 selector: matchLabels: app: oauth2-proxy template: metadata: labels: app: oauth2-proxy spec: containers: - name: oauth2-proxy image: quay.io/oauth2-proxy/oauth2-proxy:v7.6.0 args: - –provider=oidc - –oidc-issuer-url=https://idp.example.com/realms/my-org - –client-id=argocd-dedicated - –client-secret-file=/etc/oauth2-proxy/client-secret - –email-domain=* - –upstream=http://argocd-server.argocd.svc:80 - –http-address=0.0.0.0:4180 - –oidc-audience-claim=aud # </w:t>
      </w:r>
      <w:r>
        <w:rPr>
          <w:rFonts w:hint="eastAsia"/>
        </w:rPr>
        <w:t>关键参数：强制校验令牌的</w:t>
      </w:r>
      <w:r>
        <w:t xml:space="preserve"> aud </w:t>
      </w:r>
      <w:r>
        <w:rPr>
          <w:rFonts w:hint="eastAsia"/>
        </w:rPr>
        <w:t>字段，拦截跨受众令牌</w:t>
      </w:r>
      <w:r>
        <w:t xml:space="preserve"> - –allowed-group=argo:admin,argo:readonly ports: - containerPort: 4180</w:t>
      </w:r>
    </w:p>
    <w:p w14:paraId="4649EB9A">
      <w:pPr>
        <w:pStyle w:val="3"/>
      </w:pPr>
      <w:r>
        <w:rPr>
          <w:rFonts w:hint="eastAsia"/>
          <w:b/>
          <w:bCs/>
        </w:rPr>
        <w:t>3)权限收敛：RBAC</w:t>
      </w:r>
      <w:r>
        <w:rPr>
          <w:b/>
          <w:bCs/>
        </w:rPr>
        <w:t xml:space="preserve"> </w:t>
      </w:r>
      <w:r>
        <w:rPr>
          <w:rFonts w:hint="eastAsia"/>
          <w:b/>
          <w:bCs/>
        </w:rPr>
        <w:t>最小化与项目边界约束</w:t>
      </w:r>
    </w:p>
    <w:p w14:paraId="2A9281A9">
      <w:pPr>
        <w:pStyle w:val="3"/>
      </w:pPr>
      <w:r>
        <w:t xml:space="preserve">apiVersion: v1 kind: ConfigMap metadata: name: argocd-rbac-cm namespace: argocd data: policy.default: role:readonly # </w:t>
      </w:r>
      <w:r>
        <w:rPr>
          <w:rFonts w:hint="eastAsia"/>
        </w:rPr>
        <w:t>未命中规则时默认只读</w:t>
      </w:r>
      <w:r>
        <w:t xml:space="preserve"> policy.csv: | # </w:t>
      </w:r>
      <w:r>
        <w:rPr>
          <w:rFonts w:hint="eastAsia"/>
        </w:rPr>
        <w:t>管理员：允许所有资源的全量操作</w:t>
      </w:r>
      <w:r>
        <w:t xml:space="preserve"> p, role:admin, applications, *, */*, allow p, role:admin, projects, *, *, allow p, role:admin, repositories, *, *, allow p, role:admin, clusters, *, *, allow</w:t>
      </w:r>
    </w:p>
    <w:p w14:paraId="473D0F36">
      <w:pPr>
        <w:pStyle w:val="3"/>
      </w:pPr>
      <w:r>
        <w:t xml:space="preserve"># </w:t>
      </w:r>
      <w:r>
        <w:rPr>
          <w:rFonts w:hint="eastAsia"/>
        </w:rPr>
        <w:t>只读角色：广泛赋予普通用户，局限于</w:t>
      </w:r>
      <w:r>
        <w:t xml:space="preserve"> get p, role:readonly, applications, get, */*, allow p, role:readonly, projects, get, *, allow p, role:readonly, repositories, get, *, allow</w:t>
      </w:r>
    </w:p>
    <w:p w14:paraId="23347245">
      <w:pPr>
        <w:pStyle w:val="3"/>
      </w:pPr>
      <w:r>
        <w:t xml:space="preserve"># </w:t>
      </w:r>
      <w:r>
        <w:rPr>
          <w:rFonts w:hint="eastAsia"/>
        </w:rPr>
        <w:t>投递角色：仅允许指定项目内的</w:t>
      </w:r>
      <w:r>
        <w:t xml:space="preserve"> </w:t>
      </w:r>
      <w:r>
        <w:rPr>
          <w:rFonts w:hint="eastAsia"/>
        </w:rPr>
        <w:t>get/sync，禁止任意</w:t>
      </w:r>
      <w:r>
        <w:t xml:space="preserve"> action </w:t>
      </w:r>
      <w:r>
        <w:rPr>
          <w:rFonts w:hint="eastAsia"/>
        </w:rPr>
        <w:t>效果范围包含同步和</w:t>
      </w:r>
      <w:r>
        <w:t xml:space="preserve"> hook </w:t>
      </w:r>
      <w:r>
        <w:rPr>
          <w:rFonts w:hint="eastAsia"/>
        </w:rPr>
        <w:t>等操作</w:t>
      </w:r>
      <w:r>
        <w:t xml:space="preserve"> p, role:deployer, applications, get, my-project/*, allow p, role:deployer, applications, sync, my-project/*, allow p, role:deployer, applications, action/*, my-project/*, deny</w:t>
      </w:r>
    </w:p>
    <w:bookmarkEnd w:id="218"/>
    <w:p w14:paraId="4354717A">
      <w:pPr>
        <w:pStyle w:val="6"/>
      </w:pPr>
      <w:bookmarkStart w:id="219" w:name="安全策略验证-6"/>
      <w:r>
        <w:rPr>
          <w:rFonts w:hint="eastAsia"/>
        </w:rPr>
        <w:t>安全策略验证</w:t>
      </w:r>
    </w:p>
    <w:p w14:paraId="479030D2">
      <w:pPr>
        <w:pStyle w:val="23"/>
      </w:pPr>
      <w:r>
        <w:rPr>
          <w:rFonts w:hint="eastAsia"/>
        </w:rPr>
        <w:t>策略部署后，重新执行令牌访问流程，验证防护效果。</w:t>
      </w:r>
    </w:p>
    <w:p w14:paraId="5BA4C126">
      <w:pPr>
        <w:pStyle w:val="3"/>
      </w:pPr>
      <w:r>
        <w:rPr>
          <w:rFonts w:hint="eastAsia"/>
          <w:b/>
          <w:bCs/>
        </w:rPr>
        <w:t>有效性：</w:t>
      </w:r>
      <w:r>
        <w:t xml:space="preserve"> </w:t>
      </w:r>
      <w:r>
        <w:rPr>
          <w:rFonts w:hint="eastAsia"/>
        </w:rPr>
        <w:t>前置入口启用</w:t>
      </w:r>
      <w:r>
        <w:t xml:space="preserve"> </w:t>
      </w:r>
      <w:r>
        <w:rPr>
          <w:rStyle w:val="48"/>
        </w:rPr>
        <w:t>aud</w:t>
      </w:r>
      <w:r>
        <w:t xml:space="preserve"> </w:t>
      </w:r>
      <w:r>
        <w:rPr>
          <w:rFonts w:hint="eastAsia"/>
        </w:rPr>
        <w:t>强制校验后，签名有效但受众不匹配的令牌在进入</w:t>
      </w:r>
      <w:r>
        <w:t xml:space="preserve"> Argo CD </w:t>
      </w:r>
      <w:r>
        <w:rPr>
          <w:rFonts w:hint="eastAsia"/>
        </w:rPr>
        <w:t>前即被拒绝，受影响版本中出现的越权访问结果不再复现。RBAC</w:t>
      </w:r>
      <w:r>
        <w:t xml:space="preserve"> </w:t>
      </w:r>
      <w:r>
        <w:rPr>
          <w:rFonts w:hint="eastAsia"/>
        </w:rPr>
        <w:t>与项目边界收敛同时生效后，即使异常令牌进入授权链路，可触达资源范围也被明显压缩。</w:t>
      </w:r>
    </w:p>
    <w:p w14:paraId="150A23FA">
      <w:pPr>
        <w:pStyle w:val="3"/>
      </w:pPr>
      <w:r>
        <w:rPr>
          <w:rFonts w:hint="eastAsia"/>
          <w:b/>
          <w:bCs/>
        </w:rPr>
        <w:t>无干扰性：</w:t>
      </w:r>
      <w:r>
        <w:t xml:space="preserve"> </w:t>
      </w:r>
      <w:r>
        <w:rPr>
          <w:rFonts w:hint="eastAsia"/>
        </w:rPr>
        <w:t>策略收紧范围集中在受众校验与高权限组映射收敛，合法令牌的</w:t>
      </w:r>
      <w:r>
        <w:t xml:space="preserve"> CLI、Web </w:t>
      </w:r>
      <w:r>
        <w:rPr>
          <w:rFonts w:hint="eastAsia"/>
        </w:rPr>
        <w:t>与自动化访问流程保持正常。身份提供方客户端隔离上线前完成组映射核对与回滚预案准备，未出现既有授权关系异常中断。</w:t>
      </w:r>
    </w:p>
    <w:p w14:paraId="426599FC">
      <w:pPr>
        <w:pStyle w:val="3"/>
      </w:pPr>
      <w:r>
        <w:rPr>
          <w:rFonts w:hint="eastAsia"/>
          <w:b/>
          <w:bCs/>
        </w:rPr>
        <w:t>可部署性：</w:t>
      </w:r>
      <w:r>
        <w:t xml:space="preserve"> </w:t>
      </w:r>
      <w:r>
        <w:rPr>
          <w:rFonts w:hint="eastAsia"/>
        </w:rPr>
        <w:t>身份提供方配置、前置网关校验规则与</w:t>
      </w:r>
      <w:r>
        <w:t xml:space="preserve"> RBAC </w:t>
      </w:r>
      <w:r>
        <w:rPr>
          <w:rFonts w:hint="eastAsia"/>
        </w:rPr>
        <w:t>策略均可声明式管理，并纳入</w:t>
      </w:r>
      <w:r>
        <w:t xml:space="preserve"> GitOps </w:t>
      </w:r>
      <w:r>
        <w:rPr>
          <w:rFonts w:hint="eastAsia"/>
        </w:rPr>
        <w:t>基线持续维护。该方案依赖常见身份网关与</w:t>
      </w:r>
      <w:r>
        <w:t xml:space="preserve"> K8s </w:t>
      </w:r>
      <w:r>
        <w:rPr>
          <w:rFonts w:hint="eastAsia"/>
        </w:rPr>
        <w:t>权限治理能力，适合在多集群环境中复用。</w:t>
      </w:r>
    </w:p>
    <w:p w14:paraId="6545F46D">
      <w:pPr>
        <w:pStyle w:val="3"/>
      </w:pPr>
      <w:r>
        <w:rPr>
          <w:rFonts w:hint="eastAsia"/>
        </w:rPr>
        <w:t>三维验证均通过。跨受众令牌在应用入口前被拦截，令牌误用扩展至</w:t>
      </w:r>
      <w:r>
        <w:t xml:space="preserve"> Argo CD </w:t>
      </w:r>
      <w:r>
        <w:rPr>
          <w:rFonts w:hint="eastAsia"/>
        </w:rPr>
        <w:t>授权面的路径被关闭。该方案可作为补丁窗口期的缓解措施，最终修复仍需升级至官方修复版本。</w:t>
      </w:r>
    </w:p>
    <w:bookmarkEnd w:id="180"/>
    <w:bookmarkEnd w:id="217"/>
    <w:bookmarkEnd w:id="219"/>
    <w:p w14:paraId="4439E323">
      <w:pPr>
        <w:pStyle w:val="4"/>
      </w:pPr>
      <w:bookmarkStart w:id="220" w:name="app:vuln-cwe-mapping"/>
      <w:r>
        <w:rPr>
          <w:rFonts w:hint="eastAsia"/>
        </w:rPr>
        <w:t>云原生权限提升漏洞分类与</w:t>
      </w:r>
      <w:r>
        <w:t xml:space="preserve"> CWE </w:t>
      </w:r>
      <w:r>
        <w:rPr>
          <w:rFonts w:hint="eastAsia"/>
        </w:rPr>
        <w:t>对应关系</w:t>
      </w:r>
    </w:p>
    <w:p w14:paraId="1934B488">
      <w:pPr>
        <w:pStyle w:val="23"/>
      </w:pPr>
      <w:bookmarkStart w:id="221" w:name="tab:vuln-cwe-mapping"/>
      <w:bookmarkEnd w:id="221"/>
    </w:p>
    <w:tbl>
      <w:tblPr>
        <w:tblStyle w:val="41"/>
        <w:tblW w:w="0" w:type="auto"/>
        <w:tblInd w:w="0" w:type="dxa"/>
        <w:tblLayout w:type="autofit"/>
        <w:tblCellMar>
          <w:top w:w="0" w:type="dxa"/>
          <w:left w:w="108" w:type="dxa"/>
          <w:bottom w:w="0" w:type="dxa"/>
          <w:right w:w="108" w:type="dxa"/>
        </w:tblCellMar>
      </w:tblPr>
      <w:tblGrid>
        <w:gridCol w:w="1176"/>
        <w:gridCol w:w="1176"/>
        <w:gridCol w:w="1281"/>
        <w:gridCol w:w="4613"/>
      </w:tblGrid>
      <w:tr w14:paraId="389D50FD">
        <w:tblPrEx>
          <w:tblCellMar>
            <w:top w:w="0" w:type="dxa"/>
            <w:left w:w="108" w:type="dxa"/>
            <w:bottom w:w="0" w:type="dxa"/>
            <w:right w:w="108" w:type="dxa"/>
          </w:tblCellMar>
        </w:tblPrEx>
        <w:trPr>
          <w:tblHeader/>
        </w:trPr>
        <w:tc>
          <w:p w14:paraId="47B08E04">
            <w:pPr>
              <w:pStyle w:val="24"/>
              <w:jc w:val="left"/>
            </w:pPr>
            <w:bookmarkStart w:id="222" w:name="tab:vuln-cwe-mapping"/>
            <w:r>
              <w:rPr>
                <w:rFonts w:hint="eastAsia"/>
                <w:b/>
                <w:bCs/>
              </w:rPr>
              <w:t>一级分类</w:t>
            </w:r>
          </w:p>
        </w:tc>
        <w:tc>
          <w:p w14:paraId="2E42283F">
            <w:pPr>
              <w:pStyle w:val="24"/>
              <w:jc w:val="left"/>
            </w:pPr>
            <w:r>
              <w:rPr>
                <w:rFonts w:hint="eastAsia"/>
                <w:b/>
                <w:bCs/>
              </w:rPr>
              <w:t>二级分类</w:t>
            </w:r>
          </w:p>
        </w:tc>
        <w:tc>
          <w:p w14:paraId="5D75D7D6">
            <w:pPr>
              <w:pStyle w:val="24"/>
              <w:jc w:val="left"/>
            </w:pPr>
            <w:r>
              <w:rPr>
                <w:rFonts w:hint="eastAsia"/>
                <w:b/>
                <w:bCs/>
              </w:rPr>
              <w:t>主要</w:t>
            </w:r>
            <w:r>
              <w:rPr>
                <w:b/>
                <w:bCs/>
              </w:rPr>
              <w:t xml:space="preserve"> CWE</w:t>
            </w:r>
          </w:p>
        </w:tc>
        <w:tc>
          <w:p w14:paraId="6A4F3B33">
            <w:pPr>
              <w:pStyle w:val="24"/>
              <w:jc w:val="left"/>
            </w:pPr>
            <w:r>
              <w:rPr>
                <w:b/>
                <w:bCs/>
              </w:rPr>
              <w:t xml:space="preserve">CWE </w:t>
            </w:r>
            <w:r>
              <w:rPr>
                <w:rFonts w:hint="eastAsia"/>
                <w:b/>
                <w:bCs/>
              </w:rPr>
              <w:t>描述</w:t>
            </w:r>
          </w:p>
        </w:tc>
      </w:tr>
      <w:tr w14:paraId="552489A0">
        <w:tblPrEx>
          <w:tblCellMar>
            <w:top w:w="0" w:type="dxa"/>
            <w:left w:w="108" w:type="dxa"/>
            <w:bottom w:w="0" w:type="dxa"/>
            <w:right w:w="108" w:type="dxa"/>
          </w:tblCellMar>
        </w:tblPrEx>
        <w:tc>
          <w:p w14:paraId="5808272E">
            <w:pPr>
              <w:pStyle w:val="24"/>
            </w:pPr>
          </w:p>
        </w:tc>
        <w:tc>
          <w:p w14:paraId="44DCAFA2">
            <w:pPr>
              <w:pStyle w:val="24"/>
            </w:pPr>
          </w:p>
        </w:tc>
        <w:tc>
          <w:p w14:paraId="344BDDBF">
            <w:pPr>
              <w:pStyle w:val="24"/>
              <w:jc w:val="left"/>
            </w:pPr>
            <w:r>
              <w:t>CWE-269</w:t>
            </w:r>
          </w:p>
        </w:tc>
        <w:tc>
          <w:p w14:paraId="226B2354">
            <w:pPr>
              <w:pStyle w:val="24"/>
              <w:jc w:val="left"/>
            </w:pPr>
            <w:r>
              <w:rPr>
                <w:rFonts w:hint="eastAsia"/>
              </w:rPr>
              <w:t>不当访问控制(通用型)</w:t>
            </w:r>
          </w:p>
        </w:tc>
      </w:tr>
      <w:tr w14:paraId="2B247737">
        <w:tblPrEx>
          <w:tblCellMar>
            <w:top w:w="0" w:type="dxa"/>
            <w:left w:w="108" w:type="dxa"/>
            <w:bottom w:w="0" w:type="dxa"/>
            <w:right w:w="108" w:type="dxa"/>
          </w:tblCellMar>
        </w:tblPrEx>
        <w:tc>
          <w:p w14:paraId="33B11F15">
            <w:pPr>
              <w:pStyle w:val="24"/>
            </w:pPr>
          </w:p>
        </w:tc>
        <w:tc>
          <w:p w14:paraId="7A4744F2">
            <w:pPr>
              <w:pStyle w:val="24"/>
            </w:pPr>
          </w:p>
        </w:tc>
        <w:tc>
          <w:p w14:paraId="637BE655">
            <w:pPr>
              <w:pStyle w:val="24"/>
              <w:jc w:val="left"/>
            </w:pPr>
            <w:r>
              <w:t>CWE-266</w:t>
            </w:r>
          </w:p>
        </w:tc>
        <w:tc>
          <w:p w14:paraId="298FB157">
            <w:pPr>
              <w:pStyle w:val="24"/>
              <w:jc w:val="left"/>
            </w:pPr>
            <w:r>
              <w:rPr>
                <w:rFonts w:hint="eastAsia"/>
              </w:rPr>
              <w:t>权限分配错误</w:t>
            </w:r>
          </w:p>
        </w:tc>
      </w:tr>
      <w:tr w14:paraId="6490813C">
        <w:tblPrEx>
          <w:tblCellMar>
            <w:top w:w="0" w:type="dxa"/>
            <w:left w:w="108" w:type="dxa"/>
            <w:bottom w:w="0" w:type="dxa"/>
            <w:right w:w="108" w:type="dxa"/>
          </w:tblCellMar>
        </w:tblPrEx>
        <w:tc>
          <w:p w14:paraId="244CC933">
            <w:pPr>
              <w:pStyle w:val="24"/>
            </w:pPr>
          </w:p>
        </w:tc>
        <w:tc>
          <w:p w14:paraId="320ED961">
            <w:pPr>
              <w:pStyle w:val="24"/>
            </w:pPr>
          </w:p>
        </w:tc>
        <w:tc>
          <w:p w14:paraId="22E30119">
            <w:pPr>
              <w:pStyle w:val="24"/>
              <w:jc w:val="left"/>
            </w:pPr>
            <w:r>
              <w:t>CWE-732</w:t>
            </w:r>
          </w:p>
        </w:tc>
        <w:tc>
          <w:p w14:paraId="22A39967">
            <w:pPr>
              <w:pStyle w:val="24"/>
              <w:jc w:val="left"/>
            </w:pPr>
            <w:r>
              <w:rPr>
                <w:rFonts w:hint="eastAsia"/>
              </w:rPr>
              <w:t>关键资源权限分配错误</w:t>
            </w:r>
          </w:p>
        </w:tc>
      </w:tr>
      <w:tr w14:paraId="76BD67CA">
        <w:tblPrEx>
          <w:tblCellMar>
            <w:top w:w="0" w:type="dxa"/>
            <w:left w:w="108" w:type="dxa"/>
            <w:bottom w:w="0" w:type="dxa"/>
            <w:right w:w="108" w:type="dxa"/>
          </w:tblCellMar>
        </w:tblPrEx>
        <w:tc>
          <w:p w14:paraId="6E4B3127">
            <w:pPr>
              <w:pStyle w:val="24"/>
            </w:pPr>
          </w:p>
        </w:tc>
        <w:tc>
          <w:p w14:paraId="78A0A051">
            <w:pPr>
              <w:pStyle w:val="24"/>
            </w:pPr>
          </w:p>
        </w:tc>
        <w:tc>
          <w:p w14:paraId="159642CB">
            <w:pPr>
              <w:pStyle w:val="24"/>
              <w:jc w:val="left"/>
            </w:pPr>
            <w:r>
              <w:t>CWE-653</w:t>
            </w:r>
          </w:p>
        </w:tc>
        <w:tc>
          <w:p w14:paraId="0A5908B8">
            <w:pPr>
              <w:pStyle w:val="24"/>
              <w:jc w:val="left"/>
            </w:pPr>
            <w:r>
              <w:rPr>
                <w:rFonts w:hint="eastAsia"/>
              </w:rPr>
              <w:t>隔离措施不足</w:t>
            </w:r>
          </w:p>
        </w:tc>
      </w:tr>
      <w:tr w14:paraId="6FEDEADF">
        <w:tblPrEx>
          <w:tblCellMar>
            <w:top w:w="0" w:type="dxa"/>
            <w:left w:w="108" w:type="dxa"/>
            <w:bottom w:w="0" w:type="dxa"/>
            <w:right w:w="108" w:type="dxa"/>
          </w:tblCellMar>
        </w:tblPrEx>
        <w:tc>
          <w:p w14:paraId="4A8CADBD">
            <w:pPr>
              <w:pStyle w:val="24"/>
            </w:pPr>
          </w:p>
        </w:tc>
        <w:tc>
          <w:p w14:paraId="5C04593E">
            <w:pPr>
              <w:pStyle w:val="24"/>
            </w:pPr>
          </w:p>
        </w:tc>
        <w:tc>
          <w:p w14:paraId="35EED42D">
            <w:pPr>
              <w:pStyle w:val="24"/>
              <w:jc w:val="left"/>
            </w:pPr>
            <w:r>
              <w:t>CWE-668</w:t>
            </w:r>
          </w:p>
        </w:tc>
        <w:tc>
          <w:p w14:paraId="4852F2CB">
            <w:pPr>
              <w:pStyle w:val="24"/>
              <w:jc w:val="left"/>
            </w:pPr>
            <w:r>
              <w:rPr>
                <w:rFonts w:hint="eastAsia"/>
              </w:rPr>
              <w:t>资源暴露至错误安全域</w:t>
            </w:r>
          </w:p>
        </w:tc>
      </w:tr>
      <w:tr w14:paraId="402FC109">
        <w:tblPrEx>
          <w:tblCellMar>
            <w:top w:w="0" w:type="dxa"/>
            <w:left w:w="108" w:type="dxa"/>
            <w:bottom w:w="0" w:type="dxa"/>
            <w:right w:w="108" w:type="dxa"/>
          </w:tblCellMar>
        </w:tblPrEx>
        <w:tc>
          <w:p w14:paraId="4761E080">
            <w:pPr>
              <w:pStyle w:val="24"/>
            </w:pPr>
          </w:p>
        </w:tc>
        <w:tc>
          <w:p w14:paraId="4C551AA6">
            <w:pPr>
              <w:pStyle w:val="24"/>
            </w:pPr>
          </w:p>
        </w:tc>
        <w:tc>
          <w:p w14:paraId="42752545">
            <w:pPr>
              <w:pStyle w:val="24"/>
              <w:jc w:val="left"/>
            </w:pPr>
            <w:r>
              <w:t>CWE-669</w:t>
            </w:r>
          </w:p>
        </w:tc>
        <w:tc>
          <w:p w14:paraId="7E9A0CBA">
            <w:pPr>
              <w:pStyle w:val="24"/>
              <w:jc w:val="left"/>
            </w:pPr>
            <w:r>
              <w:rPr>
                <w:rFonts w:hint="eastAsia"/>
              </w:rPr>
              <w:t>资源在不同安全域间转移错误</w:t>
            </w:r>
          </w:p>
        </w:tc>
      </w:tr>
      <w:tr w14:paraId="68F165FB">
        <w:tblPrEx>
          <w:tblCellMar>
            <w:top w:w="0" w:type="dxa"/>
            <w:left w:w="108" w:type="dxa"/>
            <w:bottom w:w="0" w:type="dxa"/>
            <w:right w:w="108" w:type="dxa"/>
          </w:tblCellMar>
        </w:tblPrEx>
        <w:tc>
          <w:p w14:paraId="5E2C9D73">
            <w:pPr>
              <w:pStyle w:val="24"/>
            </w:pPr>
          </w:p>
        </w:tc>
        <w:tc>
          <w:p w14:paraId="7C861728">
            <w:pPr>
              <w:pStyle w:val="24"/>
            </w:pPr>
          </w:p>
        </w:tc>
        <w:tc>
          <w:p w14:paraId="04FB78A7">
            <w:pPr>
              <w:pStyle w:val="24"/>
              <w:jc w:val="left"/>
            </w:pPr>
            <w:r>
              <w:t>CWE-863</w:t>
            </w:r>
          </w:p>
        </w:tc>
        <w:tc>
          <w:p w14:paraId="10A1A3E5">
            <w:pPr>
              <w:pStyle w:val="24"/>
              <w:jc w:val="left"/>
            </w:pPr>
            <w:r>
              <w:rPr>
                <w:rFonts w:hint="eastAsia"/>
              </w:rPr>
              <w:t>授权验证错误</w:t>
            </w:r>
          </w:p>
        </w:tc>
      </w:tr>
      <w:tr w14:paraId="3576519B">
        <w:tblPrEx>
          <w:tblCellMar>
            <w:top w:w="0" w:type="dxa"/>
            <w:left w:w="108" w:type="dxa"/>
            <w:bottom w:w="0" w:type="dxa"/>
            <w:right w:w="108" w:type="dxa"/>
          </w:tblCellMar>
        </w:tblPrEx>
        <w:tc>
          <w:p w14:paraId="49048BCE">
            <w:pPr>
              <w:pStyle w:val="24"/>
            </w:pPr>
          </w:p>
        </w:tc>
        <w:tc>
          <w:p w14:paraId="0F389C60">
            <w:pPr>
              <w:pStyle w:val="24"/>
            </w:pPr>
          </w:p>
        </w:tc>
        <w:tc>
          <w:p w14:paraId="0833291D">
            <w:pPr>
              <w:pStyle w:val="24"/>
              <w:jc w:val="left"/>
            </w:pPr>
            <w:r>
              <w:t>CWE-284</w:t>
            </w:r>
          </w:p>
        </w:tc>
        <w:tc>
          <w:p w14:paraId="45DEB149">
            <w:pPr>
              <w:pStyle w:val="24"/>
              <w:jc w:val="left"/>
            </w:pPr>
            <w:r>
              <w:rPr>
                <w:rFonts w:hint="eastAsia"/>
              </w:rPr>
              <w:t>不当访问控制</w:t>
            </w:r>
          </w:p>
        </w:tc>
      </w:tr>
      <w:tr w14:paraId="607CCDFA">
        <w:tblPrEx>
          <w:tblCellMar>
            <w:top w:w="0" w:type="dxa"/>
            <w:left w:w="108" w:type="dxa"/>
            <w:bottom w:w="0" w:type="dxa"/>
            <w:right w:w="108" w:type="dxa"/>
          </w:tblCellMar>
        </w:tblPrEx>
        <w:tc>
          <w:p w14:paraId="5E8C69A8">
            <w:pPr>
              <w:pStyle w:val="24"/>
            </w:pPr>
          </w:p>
        </w:tc>
        <w:tc>
          <w:p w14:paraId="43F5CCA0">
            <w:pPr>
              <w:pStyle w:val="24"/>
            </w:pPr>
          </w:p>
        </w:tc>
        <w:tc>
          <w:p w14:paraId="02B8276C">
            <w:pPr>
              <w:pStyle w:val="24"/>
              <w:jc w:val="left"/>
            </w:pPr>
            <w:r>
              <w:t>CWE-862</w:t>
            </w:r>
          </w:p>
        </w:tc>
        <w:tc>
          <w:p w14:paraId="5F0771CE">
            <w:pPr>
              <w:pStyle w:val="24"/>
              <w:jc w:val="left"/>
            </w:pPr>
            <w:r>
              <w:rPr>
                <w:rFonts w:hint="eastAsia"/>
              </w:rPr>
              <w:t>缺失授权机制</w:t>
            </w:r>
          </w:p>
        </w:tc>
      </w:tr>
      <w:tr w14:paraId="5C186F3E">
        <w:tblPrEx>
          <w:tblCellMar>
            <w:top w:w="0" w:type="dxa"/>
            <w:left w:w="108" w:type="dxa"/>
            <w:bottom w:w="0" w:type="dxa"/>
            <w:right w:w="108" w:type="dxa"/>
          </w:tblCellMar>
        </w:tblPrEx>
        <w:tc>
          <w:p w14:paraId="1ED9400D">
            <w:pPr>
              <w:pStyle w:val="24"/>
            </w:pPr>
          </w:p>
        </w:tc>
        <w:tc>
          <w:p w14:paraId="1525B029">
            <w:pPr>
              <w:pStyle w:val="24"/>
            </w:pPr>
          </w:p>
        </w:tc>
        <w:tc>
          <w:p w14:paraId="6AD8B937">
            <w:pPr>
              <w:pStyle w:val="24"/>
              <w:jc w:val="left"/>
            </w:pPr>
            <w:r>
              <w:t>CWE-287</w:t>
            </w:r>
          </w:p>
        </w:tc>
        <w:tc>
          <w:p w14:paraId="0E1FE1D3">
            <w:pPr>
              <w:pStyle w:val="24"/>
              <w:jc w:val="left"/>
            </w:pPr>
            <w:r>
              <w:rPr>
                <w:rFonts w:hint="eastAsia"/>
              </w:rPr>
              <w:t>不当身份验证</w:t>
            </w:r>
          </w:p>
        </w:tc>
      </w:tr>
      <w:tr w14:paraId="67A86165">
        <w:tblPrEx>
          <w:tblCellMar>
            <w:top w:w="0" w:type="dxa"/>
            <w:left w:w="108" w:type="dxa"/>
            <w:bottom w:w="0" w:type="dxa"/>
            <w:right w:w="108" w:type="dxa"/>
          </w:tblCellMar>
        </w:tblPrEx>
        <w:tc>
          <w:p w14:paraId="466CBEA0">
            <w:pPr>
              <w:pStyle w:val="24"/>
            </w:pPr>
          </w:p>
        </w:tc>
        <w:tc>
          <w:p w14:paraId="23E4EC7F">
            <w:pPr>
              <w:pStyle w:val="24"/>
            </w:pPr>
          </w:p>
        </w:tc>
        <w:tc>
          <w:p w14:paraId="6E5792CD">
            <w:pPr>
              <w:pStyle w:val="24"/>
              <w:jc w:val="left"/>
            </w:pPr>
            <w:r>
              <w:t>CWE-290</w:t>
            </w:r>
          </w:p>
        </w:tc>
        <w:tc>
          <w:p w14:paraId="3B0343EB">
            <w:pPr>
              <w:pStyle w:val="24"/>
              <w:jc w:val="left"/>
            </w:pPr>
            <w:r>
              <w:rPr>
                <w:rFonts w:hint="eastAsia"/>
              </w:rPr>
              <w:t>硬编码密码进行身份验证</w:t>
            </w:r>
          </w:p>
        </w:tc>
      </w:tr>
      <w:tr w14:paraId="4DB15761">
        <w:tblPrEx>
          <w:tblCellMar>
            <w:top w:w="0" w:type="dxa"/>
            <w:left w:w="108" w:type="dxa"/>
            <w:bottom w:w="0" w:type="dxa"/>
            <w:right w:w="108" w:type="dxa"/>
          </w:tblCellMar>
        </w:tblPrEx>
        <w:tc>
          <w:p w14:paraId="5EB647A7">
            <w:pPr>
              <w:pStyle w:val="24"/>
            </w:pPr>
          </w:p>
        </w:tc>
        <w:tc>
          <w:p w14:paraId="1D32E42A">
            <w:pPr>
              <w:pStyle w:val="24"/>
            </w:pPr>
          </w:p>
        </w:tc>
        <w:tc>
          <w:p w14:paraId="31E0DFAE">
            <w:pPr>
              <w:pStyle w:val="24"/>
              <w:jc w:val="left"/>
            </w:pPr>
            <w:r>
              <w:t>CWE-327</w:t>
            </w:r>
          </w:p>
        </w:tc>
        <w:tc>
          <w:p w14:paraId="5FCC2526">
            <w:pPr>
              <w:pStyle w:val="24"/>
              <w:jc w:val="left"/>
            </w:pPr>
            <w:r>
              <w:rPr>
                <w:rFonts w:hint="eastAsia"/>
              </w:rPr>
              <w:t>使用存在缺陷或高风险的加密算法</w:t>
            </w:r>
          </w:p>
        </w:tc>
      </w:tr>
      <w:tr w14:paraId="25B7D880">
        <w:tblPrEx>
          <w:tblCellMar>
            <w:top w:w="0" w:type="dxa"/>
            <w:left w:w="108" w:type="dxa"/>
            <w:bottom w:w="0" w:type="dxa"/>
            <w:right w:w="108" w:type="dxa"/>
          </w:tblCellMar>
        </w:tblPrEx>
        <w:tc>
          <w:p w14:paraId="06B9453F">
            <w:pPr>
              <w:pStyle w:val="24"/>
            </w:pPr>
          </w:p>
        </w:tc>
        <w:tc>
          <w:p w14:paraId="1E00B75F">
            <w:pPr>
              <w:pStyle w:val="24"/>
            </w:pPr>
          </w:p>
        </w:tc>
        <w:tc>
          <w:p w14:paraId="5888ABF2">
            <w:pPr>
              <w:pStyle w:val="24"/>
              <w:jc w:val="left"/>
            </w:pPr>
            <w:r>
              <w:t>CWE-20</w:t>
            </w:r>
          </w:p>
        </w:tc>
        <w:tc>
          <w:p w14:paraId="308FBF55">
            <w:pPr>
              <w:pStyle w:val="24"/>
              <w:jc w:val="left"/>
            </w:pPr>
            <w:r>
              <w:rPr>
                <w:rFonts w:hint="eastAsia"/>
              </w:rPr>
              <w:t>不当输入验证</w:t>
            </w:r>
          </w:p>
        </w:tc>
      </w:tr>
      <w:tr w14:paraId="4994A036">
        <w:tblPrEx>
          <w:tblCellMar>
            <w:top w:w="0" w:type="dxa"/>
            <w:left w:w="108" w:type="dxa"/>
            <w:bottom w:w="0" w:type="dxa"/>
            <w:right w:w="108" w:type="dxa"/>
          </w:tblCellMar>
        </w:tblPrEx>
        <w:tc>
          <w:p w14:paraId="64736FB1">
            <w:pPr>
              <w:pStyle w:val="24"/>
            </w:pPr>
          </w:p>
        </w:tc>
        <w:tc>
          <w:p w14:paraId="3C7D0860">
            <w:pPr>
              <w:pStyle w:val="24"/>
            </w:pPr>
          </w:p>
        </w:tc>
        <w:tc>
          <w:p w14:paraId="6881C69D">
            <w:pPr>
              <w:pStyle w:val="24"/>
              <w:jc w:val="left"/>
            </w:pPr>
            <w:r>
              <w:t>CWE-74</w:t>
            </w:r>
          </w:p>
        </w:tc>
        <w:tc>
          <w:p w14:paraId="7D37AFD5">
            <w:pPr>
              <w:pStyle w:val="24"/>
              <w:jc w:val="left"/>
            </w:pPr>
            <w:r>
              <w:rPr>
                <w:rFonts w:hint="eastAsia"/>
              </w:rPr>
              <w:t>输出内容中特殊元素的中和处理不当</w:t>
            </w:r>
          </w:p>
        </w:tc>
      </w:tr>
      <w:tr w14:paraId="4422B92B">
        <w:tblPrEx>
          <w:tblCellMar>
            <w:top w:w="0" w:type="dxa"/>
            <w:left w:w="108" w:type="dxa"/>
            <w:bottom w:w="0" w:type="dxa"/>
            <w:right w:w="108" w:type="dxa"/>
          </w:tblCellMar>
        </w:tblPrEx>
        <w:tc>
          <w:p w14:paraId="4D847D2F">
            <w:pPr>
              <w:pStyle w:val="24"/>
            </w:pPr>
          </w:p>
        </w:tc>
        <w:tc>
          <w:p w14:paraId="6AE11901">
            <w:pPr>
              <w:pStyle w:val="24"/>
            </w:pPr>
          </w:p>
        </w:tc>
        <w:tc>
          <w:p w14:paraId="4B0AE61B">
            <w:pPr>
              <w:pStyle w:val="24"/>
              <w:jc w:val="left"/>
            </w:pPr>
            <w:r>
              <w:t>CWE-79</w:t>
            </w:r>
          </w:p>
        </w:tc>
        <w:tc>
          <w:p w14:paraId="6A5964E1">
            <w:pPr>
              <w:pStyle w:val="24"/>
              <w:jc w:val="left"/>
            </w:pPr>
            <w:r>
              <w:t xml:space="preserve">Web </w:t>
            </w:r>
            <w:r>
              <w:rPr>
                <w:rFonts w:hint="eastAsia"/>
              </w:rPr>
              <w:t>页面生成过程中输入的中和处理不当</w:t>
            </w:r>
          </w:p>
        </w:tc>
      </w:tr>
      <w:tr w14:paraId="28FD850B">
        <w:tblPrEx>
          <w:tblCellMar>
            <w:top w:w="0" w:type="dxa"/>
            <w:left w:w="108" w:type="dxa"/>
            <w:bottom w:w="0" w:type="dxa"/>
            <w:right w:w="108" w:type="dxa"/>
          </w:tblCellMar>
        </w:tblPrEx>
        <w:tc>
          <w:p w14:paraId="37F50C22">
            <w:pPr>
              <w:pStyle w:val="24"/>
            </w:pPr>
          </w:p>
        </w:tc>
        <w:tc>
          <w:p w14:paraId="75A20E4B">
            <w:pPr>
              <w:pStyle w:val="24"/>
            </w:pPr>
          </w:p>
        </w:tc>
        <w:tc>
          <w:p w14:paraId="75209283">
            <w:pPr>
              <w:pStyle w:val="24"/>
              <w:jc w:val="left"/>
            </w:pPr>
            <w:r>
              <w:t>CWE-285</w:t>
            </w:r>
          </w:p>
        </w:tc>
        <w:tc>
          <w:p w14:paraId="2E09ED79">
            <w:pPr>
              <w:pStyle w:val="24"/>
              <w:jc w:val="left"/>
            </w:pPr>
            <w:r>
              <w:rPr>
                <w:rFonts w:hint="eastAsia"/>
              </w:rPr>
              <w:t>授权验证不当</w:t>
            </w:r>
          </w:p>
        </w:tc>
      </w:tr>
      <w:tr w14:paraId="076FCD2B">
        <w:tblPrEx>
          <w:tblCellMar>
            <w:top w:w="0" w:type="dxa"/>
            <w:left w:w="108" w:type="dxa"/>
            <w:bottom w:w="0" w:type="dxa"/>
            <w:right w:w="108" w:type="dxa"/>
          </w:tblCellMar>
        </w:tblPrEx>
        <w:tc>
          <w:p w14:paraId="59823DC9">
            <w:pPr>
              <w:pStyle w:val="24"/>
            </w:pPr>
          </w:p>
        </w:tc>
        <w:tc>
          <w:p w14:paraId="2CF8B3CD">
            <w:pPr>
              <w:pStyle w:val="24"/>
            </w:pPr>
          </w:p>
        </w:tc>
        <w:tc>
          <w:p w14:paraId="527C9710">
            <w:pPr>
              <w:pStyle w:val="24"/>
              <w:jc w:val="left"/>
            </w:pPr>
            <w:r>
              <w:t>CWE-250</w:t>
            </w:r>
          </w:p>
        </w:tc>
        <w:tc>
          <w:p w14:paraId="00F0AD23">
            <w:pPr>
              <w:pStyle w:val="24"/>
              <w:jc w:val="left"/>
            </w:pPr>
            <w:r>
              <w:rPr>
                <w:rFonts w:hint="eastAsia"/>
              </w:rPr>
              <w:t>以非必要权限执行操作</w:t>
            </w:r>
          </w:p>
        </w:tc>
      </w:tr>
      <w:tr w14:paraId="43B73D0B">
        <w:tblPrEx>
          <w:tblCellMar>
            <w:top w:w="0" w:type="dxa"/>
            <w:left w:w="108" w:type="dxa"/>
            <w:bottom w:w="0" w:type="dxa"/>
            <w:right w:w="108" w:type="dxa"/>
          </w:tblCellMar>
        </w:tblPrEx>
        <w:tc>
          <w:p w14:paraId="4CFFABDA">
            <w:pPr>
              <w:pStyle w:val="24"/>
            </w:pPr>
          </w:p>
        </w:tc>
        <w:tc>
          <w:p w14:paraId="17658FB5">
            <w:pPr>
              <w:pStyle w:val="24"/>
            </w:pPr>
          </w:p>
        </w:tc>
        <w:tc>
          <w:p w14:paraId="046242B2">
            <w:pPr>
              <w:pStyle w:val="24"/>
              <w:jc w:val="left"/>
            </w:pPr>
            <w:r>
              <w:t>CWE-268</w:t>
            </w:r>
          </w:p>
        </w:tc>
        <w:tc>
          <w:p w14:paraId="08AF8D0A">
            <w:pPr>
              <w:pStyle w:val="24"/>
              <w:jc w:val="left"/>
            </w:pPr>
            <w:r>
              <w:rPr>
                <w:rFonts w:hint="eastAsia"/>
              </w:rPr>
              <w:t>特权操作执行不当</w:t>
            </w:r>
          </w:p>
        </w:tc>
      </w:tr>
      <w:tr w14:paraId="436B57D4">
        <w:tblPrEx>
          <w:tblCellMar>
            <w:top w:w="0" w:type="dxa"/>
            <w:left w:w="108" w:type="dxa"/>
            <w:bottom w:w="0" w:type="dxa"/>
            <w:right w:w="108" w:type="dxa"/>
          </w:tblCellMar>
        </w:tblPrEx>
        <w:tc>
          <w:p w14:paraId="2661718E">
            <w:pPr>
              <w:pStyle w:val="24"/>
            </w:pPr>
          </w:p>
        </w:tc>
        <w:tc>
          <w:p w14:paraId="715845EA">
            <w:pPr>
              <w:pStyle w:val="24"/>
            </w:pPr>
          </w:p>
        </w:tc>
        <w:tc>
          <w:p w14:paraId="40A782B7">
            <w:pPr>
              <w:pStyle w:val="24"/>
              <w:jc w:val="left"/>
            </w:pPr>
            <w:r>
              <w:t>CWE-200</w:t>
            </w:r>
          </w:p>
        </w:tc>
        <w:tc>
          <w:p w14:paraId="5151AD4E">
            <w:pPr>
              <w:pStyle w:val="24"/>
              <w:jc w:val="left"/>
            </w:pPr>
            <w:r>
              <w:rPr>
                <w:rFonts w:hint="eastAsia"/>
              </w:rPr>
              <w:t>敏感信息泄露给未授权主体</w:t>
            </w:r>
          </w:p>
        </w:tc>
      </w:tr>
      <w:tr w14:paraId="709AD309">
        <w:tblPrEx>
          <w:tblCellMar>
            <w:top w:w="0" w:type="dxa"/>
            <w:left w:w="108" w:type="dxa"/>
            <w:bottom w:w="0" w:type="dxa"/>
            <w:right w:w="108" w:type="dxa"/>
          </w:tblCellMar>
        </w:tblPrEx>
        <w:tc>
          <w:p w14:paraId="2155E128">
            <w:pPr>
              <w:pStyle w:val="24"/>
            </w:pPr>
          </w:p>
        </w:tc>
        <w:tc>
          <w:p w14:paraId="37935133">
            <w:pPr>
              <w:pStyle w:val="24"/>
            </w:pPr>
          </w:p>
        </w:tc>
        <w:tc>
          <w:p w14:paraId="00962A1E">
            <w:pPr>
              <w:pStyle w:val="24"/>
              <w:jc w:val="left"/>
            </w:pPr>
            <w:r>
              <w:t>CWE-358</w:t>
            </w:r>
          </w:p>
        </w:tc>
        <w:tc>
          <w:p w14:paraId="65EBB9EF">
            <w:pPr>
              <w:pStyle w:val="24"/>
              <w:jc w:val="left"/>
            </w:pPr>
            <w:r>
              <w:rPr>
                <w:rFonts w:hint="eastAsia"/>
              </w:rPr>
              <w:t>动态识别资源的操作限制不当</w:t>
            </w:r>
          </w:p>
        </w:tc>
      </w:tr>
      <w:tr w14:paraId="735CF429">
        <w:tblPrEx>
          <w:tblCellMar>
            <w:top w:w="0" w:type="dxa"/>
            <w:left w:w="108" w:type="dxa"/>
            <w:bottom w:w="0" w:type="dxa"/>
            <w:right w:w="108" w:type="dxa"/>
          </w:tblCellMar>
        </w:tblPrEx>
        <w:tc>
          <w:p w14:paraId="2CB62DD4">
            <w:pPr>
              <w:pStyle w:val="24"/>
            </w:pPr>
          </w:p>
        </w:tc>
        <w:tc>
          <w:p w14:paraId="7F864DDF">
            <w:pPr>
              <w:pStyle w:val="24"/>
            </w:pPr>
          </w:p>
        </w:tc>
        <w:tc>
          <w:p w14:paraId="38BDE884">
            <w:pPr>
              <w:pStyle w:val="24"/>
              <w:jc w:val="left"/>
            </w:pPr>
            <w:r>
              <w:t>CWE-276</w:t>
            </w:r>
          </w:p>
        </w:tc>
        <w:tc>
          <w:p w14:paraId="09223ADF">
            <w:pPr>
              <w:pStyle w:val="24"/>
              <w:jc w:val="left"/>
            </w:pPr>
            <w:r>
              <w:rPr>
                <w:rFonts w:hint="eastAsia"/>
              </w:rPr>
              <w:t>默认权限配置错误</w:t>
            </w:r>
          </w:p>
        </w:tc>
      </w:tr>
      <w:tr w14:paraId="0E692593">
        <w:tblPrEx>
          <w:tblCellMar>
            <w:top w:w="0" w:type="dxa"/>
            <w:left w:w="108" w:type="dxa"/>
            <w:bottom w:w="0" w:type="dxa"/>
            <w:right w:w="108" w:type="dxa"/>
          </w:tblCellMar>
        </w:tblPrEx>
        <w:tc>
          <w:p w14:paraId="5A9DC250">
            <w:pPr>
              <w:pStyle w:val="24"/>
            </w:pPr>
          </w:p>
        </w:tc>
        <w:tc>
          <w:p w14:paraId="4EC7388D">
            <w:pPr>
              <w:pStyle w:val="24"/>
            </w:pPr>
          </w:p>
        </w:tc>
        <w:tc>
          <w:p w14:paraId="087FEA8D">
            <w:pPr>
              <w:pStyle w:val="24"/>
              <w:jc w:val="left"/>
            </w:pPr>
            <w:r>
              <w:t>CWE-532</w:t>
            </w:r>
          </w:p>
        </w:tc>
        <w:tc>
          <w:p w14:paraId="07199E90">
            <w:pPr>
              <w:pStyle w:val="24"/>
              <w:jc w:val="left"/>
            </w:pPr>
            <w:r>
              <w:rPr>
                <w:rFonts w:hint="eastAsia"/>
              </w:rPr>
              <w:t>敏感信息写入日志文件</w:t>
            </w:r>
          </w:p>
        </w:tc>
      </w:tr>
      <w:tr w14:paraId="6182594C">
        <w:tblPrEx>
          <w:tblCellMar>
            <w:top w:w="0" w:type="dxa"/>
            <w:left w:w="108" w:type="dxa"/>
            <w:bottom w:w="0" w:type="dxa"/>
            <w:right w:w="108" w:type="dxa"/>
          </w:tblCellMar>
        </w:tblPrEx>
        <w:tc>
          <w:p w14:paraId="70E72FD0">
            <w:pPr>
              <w:pStyle w:val="24"/>
            </w:pPr>
          </w:p>
        </w:tc>
        <w:tc>
          <w:p w14:paraId="0F3254EA">
            <w:pPr>
              <w:pStyle w:val="24"/>
            </w:pPr>
          </w:p>
        </w:tc>
        <w:tc>
          <w:p w14:paraId="05ADFAC3">
            <w:pPr>
              <w:pStyle w:val="24"/>
              <w:jc w:val="left"/>
            </w:pPr>
            <w:r>
              <w:t>CWE-214</w:t>
            </w:r>
          </w:p>
        </w:tc>
        <w:tc>
          <w:p w14:paraId="3DB6FD25">
            <w:pPr>
              <w:pStyle w:val="24"/>
              <w:jc w:val="left"/>
            </w:pPr>
            <w:r>
              <w:rPr>
                <w:rFonts w:hint="eastAsia"/>
              </w:rPr>
              <w:t>存储/传输前敏感信息清除不当</w:t>
            </w:r>
          </w:p>
        </w:tc>
      </w:tr>
      <w:tr w14:paraId="12735D55">
        <w:tblPrEx>
          <w:tblCellMar>
            <w:top w:w="0" w:type="dxa"/>
            <w:left w:w="108" w:type="dxa"/>
            <w:bottom w:w="0" w:type="dxa"/>
            <w:right w:w="108" w:type="dxa"/>
          </w:tblCellMar>
        </w:tblPrEx>
        <w:tc>
          <w:p w14:paraId="51E7F459">
            <w:pPr>
              <w:pStyle w:val="24"/>
            </w:pPr>
          </w:p>
        </w:tc>
        <w:tc>
          <w:p w14:paraId="2B930773">
            <w:pPr>
              <w:pStyle w:val="24"/>
            </w:pPr>
          </w:p>
        </w:tc>
        <w:tc>
          <w:p w14:paraId="011EB5AC">
            <w:pPr>
              <w:pStyle w:val="24"/>
              <w:jc w:val="left"/>
            </w:pPr>
            <w:r>
              <w:t>CWE-497</w:t>
            </w:r>
          </w:p>
        </w:tc>
        <w:tc>
          <w:p w14:paraId="28DBA2B7">
            <w:pPr>
              <w:pStyle w:val="24"/>
              <w:jc w:val="left"/>
            </w:pPr>
            <w:r>
              <w:rPr>
                <w:rFonts w:hint="eastAsia"/>
              </w:rPr>
              <w:t>敏感系统信息泄露至未授权控制域</w:t>
            </w:r>
          </w:p>
        </w:tc>
      </w:tr>
      <w:tr w14:paraId="05AD9B84">
        <w:tblPrEx>
          <w:tblCellMar>
            <w:top w:w="0" w:type="dxa"/>
            <w:left w:w="108" w:type="dxa"/>
            <w:bottom w:w="0" w:type="dxa"/>
            <w:right w:w="108" w:type="dxa"/>
          </w:tblCellMar>
        </w:tblPrEx>
        <w:tc>
          <w:p w14:paraId="0B043E0A">
            <w:pPr>
              <w:pStyle w:val="24"/>
            </w:pPr>
          </w:p>
        </w:tc>
        <w:tc>
          <w:p w14:paraId="0C29C96A">
            <w:pPr>
              <w:pStyle w:val="24"/>
            </w:pPr>
          </w:p>
        </w:tc>
        <w:tc>
          <w:p w14:paraId="09F9F33C">
            <w:pPr>
              <w:pStyle w:val="24"/>
              <w:jc w:val="left"/>
            </w:pPr>
            <w:r>
              <w:t>CWE-922</w:t>
            </w:r>
          </w:p>
        </w:tc>
        <w:tc>
          <w:p w14:paraId="56E00CA5">
            <w:pPr>
              <w:pStyle w:val="24"/>
              <w:jc w:val="left"/>
            </w:pPr>
            <w:r>
              <w:rPr>
                <w:rFonts w:hint="eastAsia"/>
              </w:rPr>
              <w:t>敏感信息存储不安全</w:t>
            </w:r>
          </w:p>
        </w:tc>
      </w:tr>
      <w:tr w14:paraId="489CE7BA">
        <w:tblPrEx>
          <w:tblCellMar>
            <w:top w:w="0" w:type="dxa"/>
            <w:left w:w="108" w:type="dxa"/>
            <w:bottom w:w="0" w:type="dxa"/>
            <w:right w:w="108" w:type="dxa"/>
          </w:tblCellMar>
        </w:tblPrEx>
        <w:tc>
          <w:p w14:paraId="6BAA8313">
            <w:pPr>
              <w:pStyle w:val="24"/>
            </w:pPr>
          </w:p>
        </w:tc>
        <w:tc>
          <w:p w14:paraId="2B1F3688">
            <w:pPr>
              <w:pStyle w:val="24"/>
            </w:pPr>
          </w:p>
        </w:tc>
        <w:tc>
          <w:p w14:paraId="5E9B8E24">
            <w:pPr>
              <w:pStyle w:val="24"/>
              <w:jc w:val="left"/>
            </w:pPr>
            <w:r>
              <w:t>CWE-200</w:t>
            </w:r>
          </w:p>
        </w:tc>
        <w:tc>
          <w:p w14:paraId="60B1E976">
            <w:pPr>
              <w:pStyle w:val="24"/>
              <w:jc w:val="left"/>
            </w:pPr>
            <w:r>
              <w:rPr>
                <w:rFonts w:hint="eastAsia"/>
              </w:rPr>
              <w:t>敏感信息泄露给未授权主体</w:t>
            </w:r>
          </w:p>
        </w:tc>
      </w:tr>
      <w:tr w14:paraId="1B64A951">
        <w:tblPrEx>
          <w:tblCellMar>
            <w:top w:w="0" w:type="dxa"/>
            <w:left w:w="108" w:type="dxa"/>
            <w:bottom w:w="0" w:type="dxa"/>
            <w:right w:w="108" w:type="dxa"/>
          </w:tblCellMar>
        </w:tblPrEx>
        <w:tc>
          <w:p w14:paraId="555281C8">
            <w:pPr>
              <w:pStyle w:val="24"/>
            </w:pPr>
          </w:p>
        </w:tc>
        <w:tc>
          <w:p w14:paraId="5BF36545">
            <w:pPr>
              <w:pStyle w:val="24"/>
            </w:pPr>
          </w:p>
        </w:tc>
        <w:tc>
          <w:p w14:paraId="5CF6BFB2">
            <w:pPr>
              <w:pStyle w:val="24"/>
              <w:jc w:val="left"/>
            </w:pPr>
            <w:r>
              <w:t>CWE-270</w:t>
            </w:r>
          </w:p>
        </w:tc>
        <w:tc>
          <w:p w14:paraId="410C5813">
            <w:pPr>
              <w:pStyle w:val="24"/>
              <w:jc w:val="left"/>
            </w:pPr>
            <w:r>
              <w:rPr>
                <w:rFonts w:hint="eastAsia"/>
              </w:rPr>
              <w:t>权限上下文切换错误</w:t>
            </w:r>
          </w:p>
        </w:tc>
      </w:tr>
      <w:tr w14:paraId="59203E1F">
        <w:tblPrEx>
          <w:tblCellMar>
            <w:top w:w="0" w:type="dxa"/>
            <w:left w:w="108" w:type="dxa"/>
            <w:bottom w:w="0" w:type="dxa"/>
            <w:right w:w="108" w:type="dxa"/>
          </w:tblCellMar>
        </w:tblPrEx>
        <w:tc>
          <w:p w14:paraId="5CCAB0DA">
            <w:pPr>
              <w:pStyle w:val="24"/>
            </w:pPr>
          </w:p>
        </w:tc>
        <w:tc>
          <w:p w14:paraId="7AB090FF">
            <w:pPr>
              <w:pStyle w:val="24"/>
            </w:pPr>
          </w:p>
        </w:tc>
        <w:tc>
          <w:p w14:paraId="4A06AE91">
            <w:pPr>
              <w:pStyle w:val="24"/>
              <w:jc w:val="left"/>
            </w:pPr>
            <w:r>
              <w:t>CWE-78</w:t>
            </w:r>
          </w:p>
        </w:tc>
        <w:tc>
          <w:p w14:paraId="2234139A">
            <w:pPr>
              <w:pStyle w:val="24"/>
              <w:jc w:val="left"/>
            </w:pPr>
            <w:r>
              <w:rPr>
                <w:rFonts w:hint="eastAsia"/>
              </w:rPr>
              <w:t>操作系统命令中特殊元素的中和处理不当</w:t>
            </w:r>
          </w:p>
        </w:tc>
      </w:tr>
      <w:tr w14:paraId="6FB66C52">
        <w:tblPrEx>
          <w:tblCellMar>
            <w:top w:w="0" w:type="dxa"/>
            <w:left w:w="108" w:type="dxa"/>
            <w:bottom w:w="0" w:type="dxa"/>
            <w:right w:w="108" w:type="dxa"/>
          </w:tblCellMar>
        </w:tblPrEx>
        <w:tc>
          <w:p w14:paraId="149CA0DF">
            <w:pPr>
              <w:pStyle w:val="24"/>
            </w:pPr>
          </w:p>
        </w:tc>
        <w:tc>
          <w:p w14:paraId="07E44297">
            <w:pPr>
              <w:pStyle w:val="24"/>
            </w:pPr>
          </w:p>
        </w:tc>
        <w:tc>
          <w:p w14:paraId="741B7DDD">
            <w:pPr>
              <w:pStyle w:val="24"/>
              <w:jc w:val="left"/>
            </w:pPr>
            <w:r>
              <w:t>CWE-94</w:t>
            </w:r>
          </w:p>
        </w:tc>
        <w:tc>
          <w:p w14:paraId="615B4770">
            <w:pPr>
              <w:pStyle w:val="24"/>
              <w:jc w:val="left"/>
            </w:pPr>
            <w:r>
              <w:rPr>
                <w:rFonts w:hint="eastAsia"/>
              </w:rPr>
              <w:t>代码生成控制不当</w:t>
            </w:r>
          </w:p>
        </w:tc>
      </w:tr>
      <w:tr w14:paraId="47B2D198">
        <w:tblPrEx>
          <w:tblCellMar>
            <w:top w:w="0" w:type="dxa"/>
            <w:left w:w="108" w:type="dxa"/>
            <w:bottom w:w="0" w:type="dxa"/>
            <w:right w:w="108" w:type="dxa"/>
          </w:tblCellMar>
        </w:tblPrEx>
        <w:tc>
          <w:p w14:paraId="791DD391">
            <w:pPr>
              <w:pStyle w:val="24"/>
            </w:pPr>
          </w:p>
        </w:tc>
        <w:tc>
          <w:p w14:paraId="413396CA">
            <w:pPr>
              <w:pStyle w:val="24"/>
            </w:pPr>
          </w:p>
        </w:tc>
        <w:tc>
          <w:p w14:paraId="78B47F2F">
            <w:pPr>
              <w:pStyle w:val="24"/>
              <w:jc w:val="left"/>
            </w:pPr>
            <w:r>
              <w:t>CWE-601</w:t>
            </w:r>
          </w:p>
        </w:tc>
        <w:tc>
          <w:p w14:paraId="397B0A06">
            <w:pPr>
              <w:pStyle w:val="24"/>
              <w:jc w:val="left"/>
            </w:pPr>
            <w:r>
              <w:t xml:space="preserve">URL </w:t>
            </w:r>
            <w:r>
              <w:rPr>
                <w:rFonts w:hint="eastAsia"/>
              </w:rPr>
              <w:t>重定向至不可信站点</w:t>
            </w:r>
          </w:p>
        </w:tc>
      </w:tr>
      <w:tr w14:paraId="20C37C05">
        <w:tblPrEx>
          <w:tblCellMar>
            <w:top w:w="0" w:type="dxa"/>
            <w:left w:w="108" w:type="dxa"/>
            <w:bottom w:w="0" w:type="dxa"/>
            <w:right w:w="108" w:type="dxa"/>
          </w:tblCellMar>
        </w:tblPrEx>
        <w:tc>
          <w:p w14:paraId="4CC3ADA4">
            <w:pPr>
              <w:pStyle w:val="24"/>
            </w:pPr>
          </w:p>
        </w:tc>
        <w:tc>
          <w:p w14:paraId="4BD73118">
            <w:pPr>
              <w:pStyle w:val="24"/>
            </w:pPr>
          </w:p>
        </w:tc>
        <w:tc>
          <w:p w14:paraId="55331193">
            <w:pPr>
              <w:pStyle w:val="24"/>
              <w:jc w:val="left"/>
            </w:pPr>
            <w:r>
              <w:t>CWE-22</w:t>
            </w:r>
          </w:p>
        </w:tc>
        <w:tc>
          <w:p w14:paraId="64A98974">
            <w:pPr>
              <w:pStyle w:val="24"/>
              <w:jc w:val="left"/>
            </w:pPr>
            <w:r>
              <w:rPr>
                <w:rFonts w:hint="eastAsia"/>
              </w:rPr>
              <w:t>路径名限制不当，未限定在指定目录</w:t>
            </w:r>
          </w:p>
        </w:tc>
      </w:tr>
      <w:tr w14:paraId="5274BDB6">
        <w:tblPrEx>
          <w:tblCellMar>
            <w:top w:w="0" w:type="dxa"/>
            <w:left w:w="108" w:type="dxa"/>
            <w:bottom w:w="0" w:type="dxa"/>
            <w:right w:w="108" w:type="dxa"/>
          </w:tblCellMar>
        </w:tblPrEx>
        <w:tc>
          <w:p w14:paraId="7ED3BECE">
            <w:pPr>
              <w:pStyle w:val="24"/>
            </w:pPr>
          </w:p>
        </w:tc>
        <w:tc>
          <w:p w14:paraId="40D95032">
            <w:pPr>
              <w:pStyle w:val="24"/>
            </w:pPr>
          </w:p>
        </w:tc>
        <w:tc>
          <w:p w14:paraId="19EB4FA1">
            <w:pPr>
              <w:pStyle w:val="24"/>
              <w:jc w:val="left"/>
            </w:pPr>
            <w:r>
              <w:t>CWE-36</w:t>
            </w:r>
          </w:p>
        </w:tc>
        <w:tc>
          <w:p w14:paraId="60E777F8">
            <w:pPr>
              <w:pStyle w:val="24"/>
              <w:jc w:val="left"/>
            </w:pPr>
            <w:r>
              <w:rPr>
                <w:rFonts w:hint="eastAsia"/>
              </w:rPr>
              <w:t>绝对路径遍历</w:t>
            </w:r>
          </w:p>
        </w:tc>
      </w:tr>
      <w:tr w14:paraId="06A8F2AA">
        <w:tblPrEx>
          <w:tblCellMar>
            <w:top w:w="0" w:type="dxa"/>
            <w:left w:w="108" w:type="dxa"/>
            <w:bottom w:w="0" w:type="dxa"/>
            <w:right w:w="108" w:type="dxa"/>
          </w:tblCellMar>
        </w:tblPrEx>
        <w:tc>
          <w:p w14:paraId="21AEA0EB">
            <w:pPr>
              <w:pStyle w:val="24"/>
            </w:pPr>
          </w:p>
        </w:tc>
        <w:tc>
          <w:p w14:paraId="56167C36">
            <w:pPr>
              <w:pStyle w:val="24"/>
            </w:pPr>
          </w:p>
        </w:tc>
        <w:tc>
          <w:p w14:paraId="1E18756B">
            <w:pPr>
              <w:pStyle w:val="24"/>
              <w:jc w:val="left"/>
            </w:pPr>
            <w:r>
              <w:t>CWE-74</w:t>
            </w:r>
          </w:p>
        </w:tc>
        <w:tc>
          <w:p w14:paraId="6C402D9F">
            <w:pPr>
              <w:pStyle w:val="24"/>
              <w:jc w:val="left"/>
            </w:pPr>
            <w:r>
              <w:rPr>
                <w:rFonts w:hint="eastAsia"/>
              </w:rPr>
              <w:t>输出内容中特殊元素的中和处理不当</w:t>
            </w:r>
          </w:p>
        </w:tc>
      </w:tr>
      <w:bookmarkEnd w:id="177"/>
      <w:bookmarkEnd w:id="220"/>
      <w:bookmarkEnd w:id="222"/>
    </w:tbl>
    <w:p w14:paraId="69FA6226">
      <w:pPr>
        <w:pStyle w:val="2"/>
      </w:pPr>
      <w:bookmarkStart w:id="223" w:name="致谢"/>
      <w:r>
        <w:rPr>
          <w:rFonts w:hint="eastAsia"/>
        </w:rPr>
        <w:t>致谢</w:t>
      </w:r>
    </w:p>
    <w:p w14:paraId="0EEE5F4A">
      <w:pPr>
        <w:pStyle w:val="23"/>
      </w:pPr>
      <w:r>
        <w:rPr>
          <w:rFonts w:hint="eastAsia"/>
        </w:rPr>
        <w:t>时光荏苒，岁月如梭。在导师的悉心指导和亲友的默默支持下，本论文终于得以顺利完成。值此定稿之际，我谨向所有在我的硕士学习和生活期间给予我帮助与支持的人，致以最诚挚的谢意。</w:t>
      </w:r>
    </w:p>
    <w:p w14:paraId="14119DFE">
      <w:pPr>
        <w:pStyle w:val="3"/>
      </w:pPr>
      <w:r>
        <w:rPr>
          <w:rFonts w:hint="eastAsia"/>
        </w:rPr>
        <w:t>首先，我要向我的导师孙昌爱教授表达最衷心的感谢和崇高的敬意。在我的整个硕士学习阶段，从论文的选题、开题、研究工作的开展到最终的定稿，孙老师都倾注了大量的心血，给予了我悉心的指导。孙老师严谨的治学态度、渊博的专业知识以及对科研的热忱，使我受益匪浅，也将成为我今后工作和学习中的宝贵财富。</w:t>
      </w:r>
    </w:p>
    <w:p w14:paraId="2BC5A568">
      <w:pPr>
        <w:pStyle w:val="3"/>
      </w:pPr>
      <w:r>
        <w:rPr>
          <w:rFonts w:hint="eastAsia"/>
        </w:rPr>
        <w:t>其次，感谢北京科技大学为我提供了良好的学习和科研环境。感谢在此期间教导过我的所有老师，感谢你们的传道授业解惑。我要特别感谢520实验室的同门们以及我的室友。我们不仅在科研上互相学习、共同进步，在日常生活中也彼此照应，让我的研究生时光充满了欢乐与温暖。此外，我还要特别感谢在北京的各位高中同学和朋友们。在紧张的科研之余，是你们的陪伴与鼓励，给了我莫大的放松与慰藉，让我在求学之路上不觉孤单。</w:t>
      </w:r>
    </w:p>
    <w:p w14:paraId="48BE5E05">
      <w:pPr>
        <w:pStyle w:val="3"/>
      </w:pPr>
      <w:r>
        <w:rPr>
          <w:rFonts w:hint="eastAsia"/>
        </w:rPr>
        <w:t>感谢开源社区的所有贡献者们，你们的无私奉献和创新精神为我的研究提供了宝贵的资源和灵感。</w:t>
      </w:r>
    </w:p>
    <w:p w14:paraId="703AFEA3">
      <w:pPr>
        <w:pStyle w:val="3"/>
      </w:pPr>
      <w:r>
        <w:rPr>
          <w:rFonts w:hint="eastAsia"/>
        </w:rPr>
        <w:t>最后，我要深深感谢我的家人。正是你们多年如一日的默默付出、理解与无私的爱，为我撑起了一片充满温暖的天空，让我能够全心全意地投入到学业之中。你们永远是我最坚实的后盾和不断前行的最大动力。</w:t>
      </w:r>
    </w:p>
    <w:p w14:paraId="7B1B7C9E">
      <w:pPr>
        <w:pStyle w:val="3"/>
      </w:pPr>
      <w:r>
        <w:rPr>
          <w:rFonts w:hint="eastAsia"/>
        </w:rPr>
        <w:t>谨以此文献给所有曾给予我帮助与支持的人。</w:t>
      </w:r>
    </w:p>
    <w:bookmarkEnd w:id="223"/>
    <w:p w14:paraId="334D3EA4">
      <w:pPr>
        <w:pStyle w:val="2"/>
      </w:pPr>
      <w:bookmarkStart w:id="224" w:name="作者简历及在学研究成果"/>
      <w:r>
        <w:rPr>
          <w:rFonts w:hint="eastAsia"/>
        </w:rPr>
        <w:t>作者简历及在学研究成果</w:t>
      </w:r>
    </w:p>
    <w:p w14:paraId="595C8D46">
      <w:pPr>
        <w:pStyle w:val="4"/>
      </w:pPr>
      <w:bookmarkStart w:id="225" w:name="一主要教育经历工作经历从大学起到硕士入学止"/>
      <w:r>
        <w:rPr>
          <w:rFonts w:hint="eastAsia"/>
        </w:rPr>
        <w:t>一、主要教育经历/工作经历(从大学起，到硕士入学止)</w:t>
      </w:r>
    </w:p>
    <w:tbl>
      <w:tblPr>
        <w:tblStyle w:val="41"/>
        <w:tblW w:w="0" w:type="auto"/>
        <w:tblInd w:w="0" w:type="dxa"/>
        <w:tblLayout w:type="autofit"/>
        <w:tblCellMar>
          <w:top w:w="0" w:type="dxa"/>
          <w:left w:w="108" w:type="dxa"/>
          <w:bottom w:w="0" w:type="dxa"/>
          <w:right w:w="108" w:type="dxa"/>
        </w:tblCellMar>
      </w:tblPr>
      <w:tblGrid>
        <w:gridCol w:w="2916"/>
        <w:gridCol w:w="5265"/>
        <w:gridCol w:w="675"/>
      </w:tblGrid>
      <w:tr w14:paraId="4DF2B53B">
        <w:tblPrEx>
          <w:tblCellMar>
            <w:top w:w="0" w:type="dxa"/>
            <w:left w:w="108" w:type="dxa"/>
            <w:bottom w:w="0" w:type="dxa"/>
            <w:right w:w="108" w:type="dxa"/>
          </w:tblCellMar>
        </w:tblPrEx>
        <w:trPr>
          <w:tblHeader/>
        </w:trPr>
        <w:tc>
          <w:p w14:paraId="2741569E">
            <w:pPr>
              <w:pStyle w:val="24"/>
              <w:jc w:val="left"/>
            </w:pPr>
            <w:r>
              <w:rPr>
                <w:rFonts w:hint="eastAsia"/>
              </w:rPr>
              <w:t>起止年月</w:t>
            </w:r>
          </w:p>
        </w:tc>
        <w:tc>
          <w:p w14:paraId="2A570526">
            <w:pPr>
              <w:pStyle w:val="24"/>
              <w:jc w:val="left"/>
            </w:pPr>
            <w:r>
              <w:rPr>
                <w:rFonts w:hint="eastAsia"/>
              </w:rPr>
              <w:t>学习或工作单位</w:t>
            </w:r>
          </w:p>
        </w:tc>
        <w:tc>
          <w:p w14:paraId="65CBED3F">
            <w:pPr>
              <w:pStyle w:val="24"/>
              <w:jc w:val="left"/>
            </w:pPr>
            <w:r>
              <w:rPr>
                <w:rFonts w:hint="eastAsia"/>
              </w:rPr>
              <w:t>备注</w:t>
            </w:r>
          </w:p>
        </w:tc>
      </w:tr>
      <w:tr w14:paraId="24E9DB04">
        <w:tblPrEx>
          <w:tblCellMar>
            <w:top w:w="0" w:type="dxa"/>
            <w:left w:w="108" w:type="dxa"/>
            <w:bottom w:w="0" w:type="dxa"/>
            <w:right w:w="108" w:type="dxa"/>
          </w:tblCellMar>
        </w:tblPrEx>
        <w:tc>
          <w:p w14:paraId="54A9D7C6">
            <w:pPr>
              <w:pStyle w:val="24"/>
              <w:jc w:val="left"/>
            </w:pPr>
            <w:r>
              <w:rPr>
                <w:rFonts w:hint="eastAsia"/>
              </w:rPr>
              <w:t>2019年9月至2023年6月</w:t>
            </w:r>
          </w:p>
        </w:tc>
        <w:tc>
          <w:p w14:paraId="7EF50AB4">
            <w:pPr>
              <w:pStyle w:val="24"/>
              <w:jc w:val="left"/>
            </w:pPr>
            <w:r>
              <w:rPr>
                <w:rFonts w:hint="eastAsia"/>
              </w:rPr>
              <w:t>在北京科技大学计算机科学与技术专业攻读学士学位</w:t>
            </w:r>
          </w:p>
        </w:tc>
        <w:tc>
          <w:p w14:paraId="3B9F8C25">
            <w:pPr>
              <w:pStyle w:val="24"/>
            </w:pPr>
          </w:p>
        </w:tc>
      </w:tr>
      <w:tr w14:paraId="27A9FC24">
        <w:tblPrEx>
          <w:tblCellMar>
            <w:top w:w="0" w:type="dxa"/>
            <w:left w:w="108" w:type="dxa"/>
            <w:bottom w:w="0" w:type="dxa"/>
            <w:right w:w="108" w:type="dxa"/>
          </w:tblCellMar>
        </w:tblPrEx>
        <w:tc>
          <w:p w14:paraId="5EE9E0EC">
            <w:pPr>
              <w:pStyle w:val="24"/>
            </w:pPr>
          </w:p>
        </w:tc>
        <w:tc>
          <w:p w14:paraId="31B44BF4">
            <w:pPr>
              <w:pStyle w:val="24"/>
            </w:pPr>
          </w:p>
        </w:tc>
        <w:tc>
          <w:p w14:paraId="33DC04BB">
            <w:pPr>
              <w:pStyle w:val="24"/>
            </w:pPr>
          </w:p>
        </w:tc>
      </w:tr>
      <w:tr w14:paraId="67CA5AF0">
        <w:tblPrEx>
          <w:tblCellMar>
            <w:top w:w="0" w:type="dxa"/>
            <w:left w:w="108" w:type="dxa"/>
            <w:bottom w:w="0" w:type="dxa"/>
            <w:right w:w="108" w:type="dxa"/>
          </w:tblCellMar>
        </w:tblPrEx>
        <w:tc>
          <w:p w14:paraId="0B34CEB1">
            <w:pPr>
              <w:pStyle w:val="24"/>
            </w:pPr>
          </w:p>
        </w:tc>
        <w:tc>
          <w:p w14:paraId="6F1FED84">
            <w:pPr>
              <w:pStyle w:val="24"/>
            </w:pPr>
          </w:p>
        </w:tc>
        <w:tc>
          <w:p w14:paraId="36DE794B">
            <w:pPr>
              <w:pStyle w:val="24"/>
            </w:pPr>
          </w:p>
        </w:tc>
      </w:tr>
      <w:tr w14:paraId="417A1317">
        <w:tblPrEx>
          <w:tblCellMar>
            <w:top w:w="0" w:type="dxa"/>
            <w:left w:w="108" w:type="dxa"/>
            <w:bottom w:w="0" w:type="dxa"/>
            <w:right w:w="108" w:type="dxa"/>
          </w:tblCellMar>
        </w:tblPrEx>
        <w:tc>
          <w:p w14:paraId="5BC4C125">
            <w:pPr>
              <w:pStyle w:val="24"/>
            </w:pPr>
          </w:p>
        </w:tc>
        <w:tc>
          <w:p w14:paraId="57C3012C">
            <w:pPr>
              <w:pStyle w:val="24"/>
            </w:pPr>
          </w:p>
        </w:tc>
        <w:tc>
          <w:p w14:paraId="3B413742">
            <w:pPr>
              <w:pStyle w:val="24"/>
            </w:pPr>
          </w:p>
        </w:tc>
      </w:tr>
      <w:bookmarkEnd w:id="225"/>
    </w:tbl>
    <w:p w14:paraId="79A1BCB9">
      <w:pPr>
        <w:pStyle w:val="4"/>
      </w:pPr>
      <w:bookmarkStart w:id="226" w:name="二在学期间从事的科研工作"/>
      <w:r>
        <w:rPr>
          <w:rFonts w:hint="eastAsia"/>
        </w:rPr>
        <w:t>二、在学期间从事的科研工作</w:t>
      </w:r>
    </w:p>
    <w:bookmarkEnd w:id="226"/>
    <w:p w14:paraId="5528379F">
      <w:pPr>
        <w:pStyle w:val="4"/>
      </w:pPr>
      <w:bookmarkStart w:id="227" w:name="三在学期间所获的科研奖励"/>
      <w:r>
        <w:rPr>
          <w:rFonts w:hint="eastAsia"/>
        </w:rPr>
        <w:t>三、在学期间所获的科研奖励</w:t>
      </w:r>
    </w:p>
    <w:p w14:paraId="040D8252">
      <w:pPr>
        <w:pStyle w:val="23"/>
      </w:pPr>
      <w:r>
        <w:rPr>
          <w:rFonts w:hint="eastAsia"/>
        </w:rPr>
        <w:t>北京科技大学硕士研究生学业一等奖学金,</w:t>
      </w:r>
      <w:r>
        <w:t xml:space="preserve"> 2025.09.</w:t>
      </w:r>
    </w:p>
    <w:bookmarkEnd w:id="227"/>
    <w:p w14:paraId="0C001AB8">
      <w:pPr>
        <w:pStyle w:val="4"/>
      </w:pPr>
      <w:bookmarkStart w:id="228" w:name="四在学期间发表的论文"/>
      <w:r>
        <w:rPr>
          <w:rFonts w:hint="eastAsia"/>
        </w:rPr>
        <w:t>四、在学期间发表的论文</w:t>
      </w:r>
    </w:p>
    <w:p w14:paraId="4D0893D9">
      <w:pPr>
        <w:pStyle w:val="23"/>
      </w:pPr>
      <w:r>
        <w:t xml:space="preserve">Sun C, </w:t>
      </w:r>
      <w:r>
        <w:rPr>
          <w:b/>
          <w:bCs/>
        </w:rPr>
        <w:t>Han X</w:t>
      </w:r>
      <w:r>
        <w:t>, Gong Y. KubeGuard: A Systematic Permission-Oriented Risk Detection Approach for Kubernetes Applications[C]//Proceedings of the 2025 IEEE International Conference on Web Services. IEEE, 2025: 855-865.</w:t>
      </w:r>
    </w:p>
    <w:bookmarkEnd w:id="224"/>
    <w:bookmarkEnd w:id="228"/>
    <w:p w14:paraId="0302F8AE">
      <w:pPr>
        <w:pStyle w:val="2"/>
      </w:pPr>
      <w:bookmarkStart w:id="229" w:name="学位论文数据集"/>
      <w:r>
        <w:rPr>
          <w:rFonts w:hint="eastAsia"/>
        </w:rPr>
        <w:t>学位论文数据集</w:t>
      </w:r>
    </w:p>
    <w:p w14:paraId="73BD39E5">
      <w:pPr>
        <w:pStyle w:val="23"/>
      </w:pPr>
      <w:r>
        <w:t xml:space="preserve">to </w:t>
      </w:r>
      <w:r>
        <w:rPr>
          <w:rFonts w:hint="eastAsia"/>
        </w:rPr>
        <w:t>关键词*</w:t>
      </w:r>
      <w:r>
        <w:t xml:space="preserve"> &amp; </w:t>
      </w:r>
      <w:r>
        <w:rPr>
          <w:rFonts w:hint="eastAsia"/>
        </w:rPr>
        <w:t>密级*</w:t>
      </w:r>
      <w:r>
        <w:t xml:space="preserve"> &amp; </w:t>
      </w:r>
      <w:r>
        <w:rPr>
          <w:rFonts w:hint="eastAsia"/>
        </w:rPr>
        <w:t>中图分类号*</w:t>
      </w:r>
      <w:r>
        <w:t xml:space="preserve"> &amp; UDC &amp; </w:t>
      </w:r>
      <w:r>
        <w:rPr>
          <w:rFonts w:hint="eastAsia"/>
        </w:rPr>
        <w:t>论文资助</w:t>
      </w:r>
      <w:r>
        <w:br w:type="textWrapping"/>
      </w:r>
      <w:r>
        <w:rPr>
          <w:rFonts w:hint="eastAsia"/>
        </w:rPr>
        <w:t>云原生安全；权限提升漏洞；策略代码生成；补丁窗口期防控；多智能体协同</w:t>
      </w:r>
      <w:r>
        <w:t xml:space="preserve"> &amp; </w:t>
      </w:r>
      <w:r>
        <w:rPr>
          <w:rFonts w:hint="eastAsia"/>
        </w:rPr>
        <w:t>公开</w:t>
      </w:r>
      <w:r>
        <w:t xml:space="preserve"> &amp; TP311 &amp; 004.41 &amp; H0251056</w:t>
      </w:r>
      <w:r>
        <w:br w:type="textWrapping"/>
      </w:r>
      <w:r>
        <w:t xml:space="preserve">&amp; </w:t>
      </w:r>
      <w:r>
        <w:rPr>
          <w:rFonts w:hint="eastAsia"/>
        </w:rPr>
        <w:t>学位授予单位代码*</w:t>
      </w:r>
      <w:r>
        <w:t xml:space="preserve"> &amp; </w:t>
      </w:r>
      <w:r>
        <w:rPr>
          <w:rFonts w:hint="eastAsia"/>
        </w:rPr>
        <w:t>学位类别*</w:t>
      </w:r>
      <w:r>
        <w:t xml:space="preserve"> &amp; </w:t>
      </w:r>
      <w:r>
        <w:rPr>
          <w:rFonts w:hint="eastAsia"/>
        </w:rPr>
        <w:t>学位级别*</w:t>
      </w:r>
      <w:r>
        <w:br w:type="textWrapping"/>
      </w:r>
      <w:r>
        <w:t xml:space="preserve">&amp;10008 &amp; </w:t>
      </w:r>
      <w:r>
        <w:rPr>
          <w:rFonts w:hint="eastAsia"/>
        </w:rPr>
        <w:t>工学</w:t>
      </w:r>
      <w:r>
        <w:t xml:space="preserve"> &amp; </w:t>
      </w:r>
      <w:r>
        <w:rPr>
          <w:rFonts w:hint="eastAsia"/>
        </w:rPr>
        <w:t>硕士</w:t>
      </w:r>
      <w:r>
        <w:br w:type="textWrapping"/>
      </w:r>
      <w:r>
        <w:t xml:space="preserve">&amp; &amp; </w:t>
      </w:r>
      <w:r>
        <w:rPr>
          <w:rFonts w:hint="eastAsia"/>
        </w:rPr>
        <w:t>论文语种*</w:t>
      </w:r>
      <w:r>
        <w:br w:type="textWrapping"/>
      </w:r>
      <w:r>
        <w:t xml:space="preserve">&amp; &amp; </w:t>
      </w:r>
      <w:r>
        <w:rPr>
          <w:rFonts w:hint="eastAsia"/>
        </w:rPr>
        <w:t>中文</w:t>
      </w:r>
      <w:r>
        <w:br w:type="textWrapping"/>
      </w:r>
      <w:r>
        <w:rPr>
          <w:rFonts w:hint="eastAsia"/>
        </w:rPr>
        <w:t>作者姓名*&amp;</w:t>
      </w:r>
      <w:r>
        <w:t xml:space="preserve"> &amp; </w:t>
      </w:r>
      <w:r>
        <w:rPr>
          <w:rFonts w:hint="eastAsia"/>
        </w:rPr>
        <w:t>学号*</w:t>
      </w:r>
      <w:r>
        <w:t xml:space="preserve"> &amp; M202310652</w:t>
      </w:r>
      <w:r>
        <w:br w:type="textWrapping"/>
      </w:r>
      <w:r>
        <w:t xml:space="preserve">&amp; </w:t>
      </w:r>
      <w:r>
        <w:rPr>
          <w:rFonts w:hint="eastAsia"/>
        </w:rPr>
        <w:t>培养单位代码*</w:t>
      </w:r>
      <w:r>
        <w:t xml:space="preserve"> &amp; </w:t>
      </w:r>
      <w:r>
        <w:rPr>
          <w:rFonts w:hint="eastAsia"/>
        </w:rPr>
        <w:t>培养单位地址</w:t>
      </w:r>
      <w:r>
        <w:t xml:space="preserve"> &amp; </w:t>
      </w:r>
      <w:r>
        <w:rPr>
          <w:rFonts w:hint="eastAsia"/>
        </w:rPr>
        <w:t>邮编</w:t>
      </w:r>
      <w:r>
        <w:br w:type="textWrapping"/>
      </w:r>
      <w:r>
        <w:t xml:space="preserve">&amp; 10008 &amp; </w:t>
      </w:r>
      <w:r>
        <w:rPr>
          <w:rFonts w:hint="eastAsia"/>
        </w:rPr>
        <w:t>北京市海淀区学院路30号</w:t>
      </w:r>
      <w:r>
        <w:t xml:space="preserve"> &amp; 100083</w:t>
      </w:r>
      <w:r>
        <w:br w:type="textWrapping"/>
      </w:r>
      <w:r>
        <w:t xml:space="preserve">&amp; </w:t>
      </w:r>
      <w:r>
        <w:rPr>
          <w:rFonts w:hint="eastAsia"/>
        </w:rPr>
        <w:t>研究方向*</w:t>
      </w:r>
      <w:r>
        <w:t xml:space="preserve"> &amp; </w:t>
      </w:r>
      <w:r>
        <w:rPr>
          <w:rFonts w:hint="eastAsia"/>
        </w:rPr>
        <w:t>学制*</w:t>
      </w:r>
      <w:r>
        <w:t xml:space="preserve"> &amp; </w:t>
      </w:r>
      <w:r>
        <w:rPr>
          <w:rFonts w:hint="eastAsia"/>
        </w:rPr>
        <w:t>学位授予年*</w:t>
      </w:r>
      <w:r>
        <w:br w:type="textWrapping"/>
      </w:r>
      <w:r>
        <w:t xml:space="preserve">&amp; </w:t>
      </w:r>
      <w:r>
        <w:rPr>
          <w:rFonts w:hint="eastAsia"/>
        </w:rPr>
        <w:t>软件工程</w:t>
      </w:r>
      <w:r>
        <w:t xml:space="preserve"> &amp; </w:t>
      </w:r>
      <w:r>
        <w:rPr>
          <w:rFonts w:hint="eastAsia"/>
        </w:rPr>
        <w:t>3年</w:t>
      </w:r>
      <w:r>
        <w:t xml:space="preserve"> &amp; 2026</w:t>
      </w:r>
      <w:r>
        <w:br w:type="textWrapping"/>
      </w:r>
      <w:r>
        <w:rPr>
          <w:rFonts w:hint="eastAsia"/>
        </w:rPr>
        <w:t>论文提交日期*</w:t>
      </w:r>
      <w:r>
        <w:t xml:space="preserve"> &amp;</w:t>
      </w:r>
      <w:r>
        <w:br w:type="textWrapping"/>
      </w:r>
      <w:r>
        <w:rPr>
          <w:rFonts w:hint="eastAsia"/>
        </w:rPr>
        <w:t>导师姓名*&amp;</w:t>
      </w:r>
      <w:r>
        <w:t xml:space="preserve"> &amp; </w:t>
      </w:r>
      <w:r>
        <w:rPr>
          <w:rFonts w:hint="eastAsia"/>
        </w:rPr>
        <w:t>职称*</w:t>
      </w:r>
      <w:r>
        <w:t xml:space="preserve"> &amp; </w:t>
      </w:r>
      <w:r>
        <w:rPr>
          <w:rFonts w:hint="eastAsia"/>
        </w:rPr>
        <w:t>教授</w:t>
      </w:r>
      <w:r>
        <w:br w:type="textWrapping"/>
      </w:r>
      <w:r>
        <w:rPr>
          <w:rFonts w:hint="eastAsia"/>
        </w:rPr>
        <w:t>评阅人</w:t>
      </w:r>
      <w:r>
        <w:t xml:space="preserve"> </w:t>
      </w:r>
      <w:r>
        <w:rPr>
          <w:rFonts w:hint="eastAsia"/>
        </w:rPr>
        <w:t>&amp;答辩委员会主席*</w:t>
      </w:r>
      <w:r>
        <w:t xml:space="preserve"> &amp;</w:t>
      </w:r>
      <w:r>
        <w:br w:type="textWrapping"/>
      </w:r>
      <w:r>
        <w:t xml:space="preserve">&amp; </w:t>
      </w:r>
      <w:r>
        <w:rPr>
          <w:rFonts w:hint="eastAsia"/>
        </w:rPr>
        <w:t>阿孜古丽&amp;</w:t>
      </w:r>
      <w:r>
        <w:br w:type="textWrapping"/>
      </w:r>
      <w:r>
        <w:t>&amp; &amp;</w:t>
      </w:r>
      <w:r>
        <w:br w:type="textWrapping"/>
      </w:r>
      <w:r>
        <w:br w:type="textWrapping"/>
      </w:r>
      <w:r>
        <w:br w:type="textWrapping"/>
      </w:r>
      <w:r>
        <w:t xml:space="preserve">&amp; &amp; </w:t>
      </w:r>
      <w:r>
        <w:rPr>
          <w:rFonts w:hint="eastAsia"/>
        </w:rPr>
        <w:t>权限声明</w:t>
      </w:r>
      <w:r>
        <w:t>　</w:t>
      </w:r>
      <w:r>
        <w:br w:type="textWrapping"/>
      </w:r>
      <w:r>
        <w:t>&amp; &amp;</w:t>
      </w:r>
      <w:r>
        <w:br w:type="textWrapping"/>
      </w:r>
      <w:r>
        <w:rPr>
          <w:rFonts w:hint="eastAsia"/>
        </w:rPr>
        <w:t>论文总页数*</w:t>
      </w:r>
      <w:r>
        <w:t xml:space="preserve"> &amp;</w:t>
      </w:r>
      <w:r>
        <w:br w:type="textWrapping"/>
      </w:r>
      <w:r>
        <w:br w:type="textWrapping"/>
      </w:r>
    </w:p>
    <w:p w14:paraId="4C412A6F">
      <w:pPr>
        <w:pStyle w:val="30"/>
      </w:pPr>
      <w:bookmarkStart w:id="230" w:name="ref-alsabbagh2026autosecagent"/>
      <w:bookmarkStart w:id="231" w:name="refs"/>
      <w:r>
        <w:t xml:space="preserve">Al-Sabbagh, Abdallah, Eddy Abdo, Khouloud Samrouth, Ahmad A. A. Alkhatib, and Mahmoud Elkhodr. 2026. “AutoSecAgent: A Semi-Automated AI-Driven Penetration Testing Framework Through Recursive Memory and Real-Time RAG.” </w:t>
      </w:r>
      <w:r>
        <w:rPr>
          <w:i/>
          <w:iCs/>
        </w:rPr>
        <w:t>The Journal of Supercomputing</w:t>
      </w:r>
      <w:r>
        <w:t xml:space="preserve"> 82 (5). </w:t>
      </w:r>
      <w:r>
        <w:fldChar w:fldCharType="begin"/>
      </w:r>
      <w:r>
        <w:instrText xml:space="preserve"> HYPERLINK "https://doi.org/10.1007/s11227-026-08439-z" \h </w:instrText>
      </w:r>
      <w:r>
        <w:fldChar w:fldCharType="separate"/>
      </w:r>
      <w:r>
        <w:rPr>
          <w:rStyle w:val="20"/>
        </w:rPr>
        <w:t>https://doi.org/10.1007/s11227-026-08439-z</w:t>
      </w:r>
      <w:r>
        <w:rPr>
          <w:rStyle w:val="20"/>
        </w:rPr>
        <w:fldChar w:fldCharType="end"/>
      </w:r>
      <w:r>
        <w:t>.</w:t>
      </w:r>
    </w:p>
    <w:bookmarkEnd w:id="230"/>
    <w:p w14:paraId="3A4AB24A">
      <w:pPr>
        <w:pStyle w:val="30"/>
      </w:pPr>
      <w:bookmarkStart w:id="232" w:name="ref-grype2025"/>
      <w:r>
        <w:t xml:space="preserve">Anchore. 2025a. </w:t>
      </w:r>
      <w:r>
        <w:rPr>
          <w:i/>
          <w:iCs/>
        </w:rPr>
        <w:t>Grype: A Vulnerability Scanner for Container Images and Filesystems</w:t>
      </w:r>
      <w:r>
        <w:t xml:space="preserve">. Available online: </w:t>
      </w:r>
      <w:r>
        <w:fldChar w:fldCharType="begin"/>
      </w:r>
      <w:r>
        <w:instrText xml:space="preserve"> HYPERLINK "https://github.com/anchore/grype" \h </w:instrText>
      </w:r>
      <w:r>
        <w:fldChar w:fldCharType="separate"/>
      </w:r>
      <w:r>
        <w:rPr>
          <w:rStyle w:val="20"/>
        </w:rPr>
        <w:t>https://github.com/anchore/grype</w:t>
      </w:r>
      <w:r>
        <w:rPr>
          <w:rStyle w:val="20"/>
        </w:rPr>
        <w:fldChar w:fldCharType="end"/>
      </w:r>
      <w:r>
        <w:t xml:space="preserve">. </w:t>
      </w:r>
      <w:r>
        <w:fldChar w:fldCharType="begin"/>
      </w:r>
      <w:r>
        <w:instrText xml:space="preserve"> HYPERLINK "https://github.com/anchore/grype" \h </w:instrText>
      </w:r>
      <w:r>
        <w:fldChar w:fldCharType="separate"/>
      </w:r>
      <w:r>
        <w:rPr>
          <w:rStyle w:val="20"/>
        </w:rPr>
        <w:t>https://github.com/anchore/grype</w:t>
      </w:r>
      <w:r>
        <w:rPr>
          <w:rStyle w:val="20"/>
        </w:rPr>
        <w:fldChar w:fldCharType="end"/>
      </w:r>
      <w:r>
        <w:t>.</w:t>
      </w:r>
    </w:p>
    <w:bookmarkEnd w:id="232"/>
    <w:p w14:paraId="03C2110E">
      <w:pPr>
        <w:pStyle w:val="30"/>
      </w:pPr>
      <w:bookmarkStart w:id="233" w:name="ref-syft2025"/>
      <w:r>
        <w:t xml:space="preserve">Anchore. 2025b. </w:t>
      </w:r>
      <w:r>
        <w:rPr>
          <w:i/>
          <w:iCs/>
        </w:rPr>
        <w:t>Syft: A CLI Tool and Library for Generating SBOMs from Container Images</w:t>
      </w:r>
      <w:r>
        <w:t xml:space="preserve">. Available online: </w:t>
      </w:r>
      <w:r>
        <w:fldChar w:fldCharType="begin"/>
      </w:r>
      <w:r>
        <w:instrText xml:space="preserve"> HYPERLINK "https://github.com/anchore/syft" \h </w:instrText>
      </w:r>
      <w:r>
        <w:fldChar w:fldCharType="separate"/>
      </w:r>
      <w:r>
        <w:rPr>
          <w:rStyle w:val="20"/>
        </w:rPr>
        <w:t>https://github.com/anchore/syft</w:t>
      </w:r>
      <w:r>
        <w:rPr>
          <w:rStyle w:val="20"/>
        </w:rPr>
        <w:fldChar w:fldCharType="end"/>
      </w:r>
      <w:r>
        <w:t xml:space="preserve">. </w:t>
      </w:r>
      <w:r>
        <w:fldChar w:fldCharType="begin"/>
      </w:r>
      <w:r>
        <w:instrText xml:space="preserve"> HYPERLINK "https://github.com/anchore/syft" \h </w:instrText>
      </w:r>
      <w:r>
        <w:fldChar w:fldCharType="separate"/>
      </w:r>
      <w:r>
        <w:rPr>
          <w:rStyle w:val="20"/>
        </w:rPr>
        <w:t>https://github.com/anchore/syft</w:t>
      </w:r>
      <w:r>
        <w:rPr>
          <w:rStyle w:val="20"/>
        </w:rPr>
        <w:fldChar w:fldCharType="end"/>
      </w:r>
      <w:r>
        <w:t>.</w:t>
      </w:r>
    </w:p>
    <w:bookmarkEnd w:id="233"/>
    <w:p w14:paraId="159C4805">
      <w:pPr>
        <w:pStyle w:val="30"/>
      </w:pPr>
      <w:bookmarkStart w:id="234" w:name="ref-krane2024"/>
      <w:r>
        <w:t xml:space="preserve">Appvia. 2024. </w:t>
      </w:r>
      <w:r>
        <w:rPr>
          <w:i/>
          <w:iCs/>
        </w:rPr>
        <w:t>Krane: Kubernetes RBAC Static Analysis &amp; Visualisation Tool</w:t>
      </w:r>
      <w:r>
        <w:t xml:space="preserve">. Available online: </w:t>
      </w:r>
      <w:r>
        <w:fldChar w:fldCharType="begin"/>
      </w:r>
      <w:r>
        <w:instrText xml:space="preserve"> HYPERLINK "https://github.com/appvia/krane" \h </w:instrText>
      </w:r>
      <w:r>
        <w:fldChar w:fldCharType="separate"/>
      </w:r>
      <w:r>
        <w:rPr>
          <w:rStyle w:val="20"/>
        </w:rPr>
        <w:t>https://github.com/appvia/krane</w:t>
      </w:r>
      <w:r>
        <w:rPr>
          <w:rStyle w:val="20"/>
        </w:rPr>
        <w:fldChar w:fldCharType="end"/>
      </w:r>
      <w:r>
        <w:t xml:space="preserve">. </w:t>
      </w:r>
      <w:r>
        <w:fldChar w:fldCharType="begin"/>
      </w:r>
      <w:r>
        <w:instrText xml:space="preserve"> HYPERLINK "https://github.com/appvia/krane" \h </w:instrText>
      </w:r>
      <w:r>
        <w:fldChar w:fldCharType="separate"/>
      </w:r>
      <w:r>
        <w:rPr>
          <w:rStyle w:val="20"/>
        </w:rPr>
        <w:t>https://github.com/appvia/krane</w:t>
      </w:r>
      <w:r>
        <w:rPr>
          <w:rStyle w:val="20"/>
        </w:rPr>
        <w:fldChar w:fldCharType="end"/>
      </w:r>
      <w:r>
        <w:t>.</w:t>
      </w:r>
    </w:p>
    <w:bookmarkEnd w:id="234"/>
    <w:p w14:paraId="6AE7CEA1">
      <w:pPr>
        <w:pStyle w:val="30"/>
      </w:pPr>
      <w:bookmarkStart w:id="235" w:name="ref-trivy2025"/>
      <w:r>
        <w:t xml:space="preserve">Aqua Security. 2025. </w:t>
      </w:r>
      <w:r>
        <w:rPr>
          <w:i/>
          <w:iCs/>
        </w:rPr>
        <w:t>Trivy: A Simple and Comprehensive Vulnerability Scanner for Containers</w:t>
      </w:r>
      <w:r>
        <w:t xml:space="preserve">. Available online: </w:t>
      </w:r>
      <w:r>
        <w:fldChar w:fldCharType="begin"/>
      </w:r>
      <w:r>
        <w:instrText xml:space="preserve"> HYPERLINK "https://github.com/aquasecurity/trivy" \h </w:instrText>
      </w:r>
      <w:r>
        <w:fldChar w:fldCharType="separate"/>
      </w:r>
      <w:r>
        <w:rPr>
          <w:rStyle w:val="20"/>
        </w:rPr>
        <w:t>https://github.com/aquasecurity/trivy</w:t>
      </w:r>
      <w:r>
        <w:rPr>
          <w:rStyle w:val="20"/>
        </w:rPr>
        <w:fldChar w:fldCharType="end"/>
      </w:r>
      <w:r>
        <w:t xml:space="preserve">. </w:t>
      </w:r>
      <w:r>
        <w:fldChar w:fldCharType="begin"/>
      </w:r>
      <w:r>
        <w:instrText xml:space="preserve"> HYPERLINK "https://github.com/aquasecurity/trivy" \h </w:instrText>
      </w:r>
      <w:r>
        <w:fldChar w:fldCharType="separate"/>
      </w:r>
      <w:r>
        <w:rPr>
          <w:rStyle w:val="20"/>
        </w:rPr>
        <w:t>https://github.com/aquasecurity/trivy</w:t>
      </w:r>
      <w:r>
        <w:rPr>
          <w:rStyle w:val="20"/>
        </w:rPr>
        <w:fldChar w:fldCharType="end"/>
      </w:r>
      <w:r>
        <w:t>.</w:t>
      </w:r>
    </w:p>
    <w:bookmarkEnd w:id="235"/>
    <w:p w14:paraId="12007B5B">
      <w:pPr>
        <w:pStyle w:val="30"/>
      </w:pPr>
      <w:bookmarkStart w:id="236" w:name="ref-au2012pscout"/>
      <w:r>
        <w:t xml:space="preserve">Au, Kathy Wain Yee, Yi Fan Zhou, Zhen Huang, and David Lie. 2012. “PScout: Analyzing the Android Permission Specification.” </w:t>
      </w:r>
      <w:r>
        <w:rPr>
          <w:i/>
          <w:iCs/>
        </w:rPr>
        <w:t>Proceedings of the 2012 ACM Conference on Computer and Communications Security</w:t>
      </w:r>
      <w:r>
        <w:t xml:space="preserve"> (New York, NY, USA), 217–28. </w:t>
      </w:r>
      <w:r>
        <w:fldChar w:fldCharType="begin"/>
      </w:r>
      <w:r>
        <w:instrText xml:space="preserve"> HYPERLINK "https://doi.org/10.1145/2382196.2382222" \h </w:instrText>
      </w:r>
      <w:r>
        <w:fldChar w:fldCharType="separate"/>
      </w:r>
      <w:r>
        <w:rPr>
          <w:rStyle w:val="20"/>
        </w:rPr>
        <w:t>https://doi.org/10.1145/2382196.2382222</w:t>
      </w:r>
      <w:r>
        <w:rPr>
          <w:rStyle w:val="20"/>
        </w:rPr>
        <w:fldChar w:fldCharType="end"/>
      </w:r>
      <w:r>
        <w:t>.</w:t>
      </w:r>
    </w:p>
    <w:bookmarkEnd w:id="236"/>
    <w:p w14:paraId="6F4FAD33">
      <w:pPr>
        <w:pStyle w:val="30"/>
      </w:pPr>
      <w:bookmarkStart w:id="237" w:name="ref-bagheri2019deldroid"/>
      <w:r>
        <w:t xml:space="preserve">Bagheri, Hamid, Alireza Sadeghi, Joshua Garcia, and Sam Malek. 2019. “DelDroid: An Automated Approach for Determination and Enforcement of Least-Privilege Architecture in Android.” </w:t>
      </w:r>
      <w:r>
        <w:rPr>
          <w:i/>
          <w:iCs/>
        </w:rPr>
        <w:t>Journal of Systems and Software</w:t>
      </w:r>
      <w:r>
        <w:t>.</w:t>
      </w:r>
    </w:p>
    <w:bookmarkEnd w:id="237"/>
    <w:p w14:paraId="1DFC38FA">
      <w:pPr>
        <w:pStyle w:val="30"/>
      </w:pPr>
      <w:bookmarkStart w:id="238" w:name="ref-oracleproblem2015survey"/>
      <w:r>
        <w:t xml:space="preserve">Barr, Earl T., Mark Harman, Phil McMinn, Muzammil Shahbaz, and Shin Yoo. 2015. “The Oracle Problem in Software Testing: A Survey.” </w:t>
      </w:r>
      <w:r>
        <w:rPr>
          <w:i/>
          <w:iCs/>
        </w:rPr>
        <w:t>IEEE Transactions on Software Engineering</w:t>
      </w:r>
      <w:r>
        <w:t xml:space="preserve"> 41 (5): 507–25. </w:t>
      </w:r>
      <w:r>
        <w:fldChar w:fldCharType="begin"/>
      </w:r>
      <w:r>
        <w:instrText xml:space="preserve"> HYPERLINK "https://doi.org/10.1109/TSE.2014.2372785" \h </w:instrText>
      </w:r>
      <w:r>
        <w:fldChar w:fldCharType="separate"/>
      </w:r>
      <w:r>
        <w:rPr>
          <w:rStyle w:val="20"/>
        </w:rPr>
        <w:t>https://doi.org/10.1109/TSE.2014.2372785</w:t>
      </w:r>
      <w:r>
        <w:rPr>
          <w:rStyle w:val="20"/>
        </w:rPr>
        <w:fldChar w:fldCharType="end"/>
      </w:r>
      <w:r>
        <w:t>.</w:t>
      </w:r>
    </w:p>
    <w:bookmarkEnd w:id="238"/>
    <w:p w14:paraId="3E0125FE">
      <w:pPr>
        <w:pStyle w:val="30"/>
      </w:pPr>
      <w:bookmarkStart w:id="239" w:name="ref-bishop2003computersecurity"/>
      <w:r>
        <w:t xml:space="preserve">Bishop, Matt. 2003. </w:t>
      </w:r>
      <w:r>
        <w:rPr>
          <w:i/>
          <w:iCs/>
        </w:rPr>
        <w:t>Computer Security: Art and Science</w:t>
      </w:r>
      <w:r>
        <w:t>. Addison-Wesley Professional.</w:t>
      </w:r>
    </w:p>
    <w:bookmarkEnd w:id="239"/>
    <w:p w14:paraId="54A85DC0">
      <w:pPr>
        <w:pStyle w:val="30"/>
      </w:pPr>
      <w:bookmarkStart w:id="240" w:name="ref-Blaise_2022"/>
      <w:r>
        <w:t xml:space="preserve">Blaise, Agathe, and Filippo Rebecchi. 2022. “Stay at the Helm: Secure Kubernetes Deployments via Graph Generation and Attack Reconstruction.” </w:t>
      </w:r>
      <w:r>
        <w:rPr>
          <w:i/>
          <w:iCs/>
        </w:rPr>
        <w:t>Proceedings of the 2022 IEEE 15th International Conference on Cloud Computing(CLOUD 2022)</w:t>
      </w:r>
      <w:r>
        <w:t xml:space="preserve">, 59–69. </w:t>
      </w:r>
      <w:r>
        <w:fldChar w:fldCharType="begin"/>
      </w:r>
      <w:r>
        <w:instrText xml:space="preserve"> HYPERLINK "https://doi.org/10.1109/CLOUD55607.2022.00022" \h </w:instrText>
      </w:r>
      <w:r>
        <w:fldChar w:fldCharType="separate"/>
      </w:r>
      <w:r>
        <w:rPr>
          <w:rStyle w:val="20"/>
        </w:rPr>
        <w:t>https://doi.org/10.1109/CLOUD55607.2022.00022</w:t>
      </w:r>
      <w:r>
        <w:rPr>
          <w:rStyle w:val="20"/>
        </w:rPr>
        <w:fldChar w:fldCharType="end"/>
      </w:r>
      <w:r>
        <w:t>.</w:t>
      </w:r>
    </w:p>
    <w:bookmarkEnd w:id="240"/>
    <w:p w14:paraId="3E11293B">
      <w:pPr>
        <w:pStyle w:val="30"/>
      </w:pPr>
      <w:bookmarkStart w:id="241" w:name="ref-bouguettaya2017service"/>
      <w:r>
        <w:t xml:space="preserve">Bouguettaya, Athman, Munindar Singh, Michael Huhns, et al. 2017. “A Service Computing Manifesto: The Next 10 Years.” </w:t>
      </w:r>
      <w:r>
        <w:rPr>
          <w:i/>
          <w:iCs/>
        </w:rPr>
        <w:t>Communications of the ACM</w:t>
      </w:r>
      <w:r>
        <w:t xml:space="preserve"> (New York, NY, USA) 60 (4): 64–72. </w:t>
      </w:r>
      <w:r>
        <w:fldChar w:fldCharType="begin"/>
      </w:r>
      <w:r>
        <w:instrText xml:space="preserve"> HYPERLINK "https://doi.org/10.1145/2983528" \h </w:instrText>
      </w:r>
      <w:r>
        <w:fldChar w:fldCharType="separate"/>
      </w:r>
      <w:r>
        <w:rPr>
          <w:rStyle w:val="20"/>
        </w:rPr>
        <w:t>https://doi.org/10.1145/2983528</w:t>
      </w:r>
      <w:r>
        <w:rPr>
          <w:rStyle w:val="20"/>
        </w:rPr>
        <w:fldChar w:fldCharType="end"/>
      </w:r>
      <w:r>
        <w:t>.</w:t>
      </w:r>
    </w:p>
    <w:bookmarkEnd w:id="241"/>
    <w:p w14:paraId="358038D5">
      <w:pPr>
        <w:pStyle w:val="30"/>
      </w:pPr>
      <w:bookmarkStart w:id="242" w:name="ref-checkov2025"/>
      <w:r>
        <w:t xml:space="preserve">Bridgecrew (Checkov). 2025. </w:t>
      </w:r>
      <w:r>
        <w:rPr>
          <w:i/>
          <w:iCs/>
        </w:rPr>
        <w:t>Checkov: Infrastructure as Code (IaC) Static Analysis Tool</w:t>
      </w:r>
      <w:r>
        <w:t xml:space="preserve">. Available online: </w:t>
      </w:r>
      <w:r>
        <w:fldChar w:fldCharType="begin"/>
      </w:r>
      <w:r>
        <w:instrText xml:space="preserve"> HYPERLINK "https://github.com/bridgecrewio/checkov" \h </w:instrText>
      </w:r>
      <w:r>
        <w:fldChar w:fldCharType="separate"/>
      </w:r>
      <w:r>
        <w:rPr>
          <w:rStyle w:val="20"/>
        </w:rPr>
        <w:t>https://github.com/bridgecrewio/checkov</w:t>
      </w:r>
      <w:r>
        <w:rPr>
          <w:rStyle w:val="20"/>
        </w:rPr>
        <w:fldChar w:fldCharType="end"/>
      </w:r>
      <w:r>
        <w:t xml:space="preserve">. </w:t>
      </w:r>
      <w:r>
        <w:fldChar w:fldCharType="begin"/>
      </w:r>
      <w:r>
        <w:instrText xml:space="preserve"> HYPERLINK "https://github.com/bridgecrewio/checkov" \h </w:instrText>
      </w:r>
      <w:r>
        <w:fldChar w:fldCharType="separate"/>
      </w:r>
      <w:r>
        <w:rPr>
          <w:rStyle w:val="20"/>
        </w:rPr>
        <w:t>https://github.com/bridgecrewio/checkov</w:t>
      </w:r>
      <w:r>
        <w:rPr>
          <w:rStyle w:val="20"/>
        </w:rPr>
        <w:fldChar w:fldCharType="end"/>
      </w:r>
      <w:r>
        <w:t>.</w:t>
      </w:r>
    </w:p>
    <w:bookmarkEnd w:id="242"/>
    <w:p w14:paraId="2FD5EDDA">
      <w:pPr>
        <w:pStyle w:val="30"/>
      </w:pPr>
      <w:bookmarkStart w:id="243" w:name="ref-Budigiri_2021"/>
      <w:r>
        <w:t xml:space="preserve">Budigiri, Gerald, Christoph Baumann, Jan Tobias Mühlberg, Eddy Truyen, and Wouter Joosen. 2021. “Network Policies in Kubernetes: Performance Evaluation and Security Analysis.” </w:t>
      </w:r>
      <w:r>
        <w:rPr>
          <w:i/>
          <w:iCs/>
        </w:rPr>
        <w:t>Proceedings of the 2021 Joint European Conference on Networks and Communications &amp; 6G Summit(EuCNC/6G Summit 2021)</w:t>
      </w:r>
      <w:r>
        <w:t xml:space="preserve">, 407–12. </w:t>
      </w:r>
      <w:r>
        <w:fldChar w:fldCharType="begin"/>
      </w:r>
      <w:r>
        <w:instrText xml:space="preserve"> HYPERLINK "https://doi.org/10.1109/EuCNC/6GSummit51104.2021.9482526" \h </w:instrText>
      </w:r>
      <w:r>
        <w:fldChar w:fldCharType="separate"/>
      </w:r>
      <w:r>
        <w:rPr>
          <w:rStyle w:val="20"/>
        </w:rPr>
        <w:t>https://doi.org/10.1109/EuCNC/6GSummit51104.2021.9482526</w:t>
      </w:r>
      <w:r>
        <w:rPr>
          <w:rStyle w:val="20"/>
        </w:rPr>
        <w:fldChar w:fldCharType="end"/>
      </w:r>
      <w:r>
        <w:t>.</w:t>
      </w:r>
    </w:p>
    <w:bookmarkEnd w:id="243"/>
    <w:p w14:paraId="0EAE1BF6">
      <w:pPr>
        <w:pStyle w:val="30"/>
      </w:pPr>
      <w:bookmarkStart w:id="244" w:name="ref-Bugiel2012TowardsTP"/>
      <w:r>
        <w:t xml:space="preserve">Bugiel, Sven, Lucas Davi, Alexandra Dmitrienko, Thomas Fischer, Ahmad-Reza Sadeghi, and Bhargava Shastry. 2012. “Towards Taming Privilege-Escalation Attacks on Android.” </w:t>
      </w:r>
      <w:r>
        <w:rPr>
          <w:i/>
          <w:iCs/>
        </w:rPr>
        <w:t>Proceedings of the 2012 Network and Distributed System Security Symposium</w:t>
      </w:r>
      <w:r>
        <w:t xml:space="preserve">. </w:t>
      </w:r>
      <w:r>
        <w:fldChar w:fldCharType="begin"/>
      </w:r>
      <w:r>
        <w:instrText xml:space="preserve"> HYPERLINK "https://api.semanticscholar.org/CorpusID:14960107" \h </w:instrText>
      </w:r>
      <w:r>
        <w:fldChar w:fldCharType="separate"/>
      </w:r>
      <w:r>
        <w:rPr>
          <w:rStyle w:val="20"/>
        </w:rPr>
        <w:t>https://api.semanticscholar.org/CorpusID:14960107</w:t>
      </w:r>
      <w:r>
        <w:rPr>
          <w:rStyle w:val="20"/>
        </w:rPr>
        <w:fldChar w:fldCharType="end"/>
      </w:r>
      <w:r>
        <w:t>.</w:t>
      </w:r>
    </w:p>
    <w:bookmarkEnd w:id="244"/>
    <w:p w14:paraId="792C1AD3">
      <w:pPr>
        <w:pStyle w:val="30"/>
      </w:pPr>
      <w:bookmarkStart w:id="245" w:name="ref-chang2024survey"/>
      <w:r>
        <w:t xml:space="preserve">Chang, Yupeng, Xu Wang, Jindong Wang, et al. 2024. “A Survey on Evaluation of Large Language Models.” </w:t>
      </w:r>
      <w:r>
        <w:rPr>
          <w:i/>
          <w:iCs/>
        </w:rPr>
        <w:t>ACM Transactions on Intelligent Systems and Technology</w:t>
      </w:r>
      <w:r>
        <w:t xml:space="preserve"> 15 (3): 39:1–45. </w:t>
      </w:r>
      <w:r>
        <w:fldChar w:fldCharType="begin"/>
      </w:r>
      <w:r>
        <w:instrText xml:space="preserve"> HYPERLINK "https://doi.org/10.1145/3641289" \h </w:instrText>
      </w:r>
      <w:r>
        <w:fldChar w:fldCharType="separate"/>
      </w:r>
      <w:r>
        <w:rPr>
          <w:rStyle w:val="20"/>
        </w:rPr>
        <w:t>https://doi.org/10.1145/3641289</w:t>
      </w:r>
      <w:r>
        <w:rPr>
          <w:rStyle w:val="20"/>
        </w:rPr>
        <w:fldChar w:fldCharType="end"/>
      </w:r>
      <w:r>
        <w:t>.</w:t>
      </w:r>
    </w:p>
    <w:bookmarkEnd w:id="245"/>
    <w:p w14:paraId="4879C345">
      <w:pPr>
        <w:pStyle w:val="30"/>
      </w:pPr>
      <w:bookmarkStart w:id="246" w:name="ref-cncf2024definition"/>
      <w:r>
        <w:t xml:space="preserve">Cloud Native Computing Foundation. 2024. </w:t>
      </w:r>
      <w:r>
        <w:rPr>
          <w:i/>
          <w:iCs/>
        </w:rPr>
        <w:t>CNCF Cloud Native Definition V1.1</w:t>
      </w:r>
      <w:r>
        <w:t xml:space="preserve">. Available online: </w:t>
      </w:r>
      <w:r>
        <w:fldChar w:fldCharType="begin"/>
      </w:r>
      <w:r>
        <w:instrText xml:space="preserve"> HYPERLINK "https://github.com/cncf/toc/blob/main/DEFINITION.md" \h </w:instrText>
      </w:r>
      <w:r>
        <w:fldChar w:fldCharType="separate"/>
      </w:r>
      <w:r>
        <w:rPr>
          <w:rStyle w:val="20"/>
        </w:rPr>
        <w:t>https://github.com/cncf/toc/blob/main/DEFINITION.md</w:t>
      </w:r>
      <w:r>
        <w:rPr>
          <w:rStyle w:val="20"/>
        </w:rPr>
        <w:fldChar w:fldCharType="end"/>
      </w:r>
      <w:r>
        <w:t xml:space="preserve">. </w:t>
      </w:r>
      <w:r>
        <w:fldChar w:fldCharType="begin"/>
      </w:r>
      <w:r>
        <w:instrText xml:space="preserve"> HYPERLINK "https://github.com/cncf/toc/blob/main/DEFINITION.md" \h </w:instrText>
      </w:r>
      <w:r>
        <w:fldChar w:fldCharType="separate"/>
      </w:r>
      <w:r>
        <w:rPr>
          <w:rStyle w:val="20"/>
        </w:rPr>
        <w:t>https://github.com/cncf/toc/blob/main/DEFINITION.md</w:t>
      </w:r>
      <w:r>
        <w:rPr>
          <w:rStyle w:val="20"/>
        </w:rPr>
        <w:fldChar w:fldCharType="end"/>
      </w:r>
      <w:r>
        <w:t>.</w:t>
      </w:r>
    </w:p>
    <w:bookmarkEnd w:id="246"/>
    <w:p w14:paraId="7207CE76">
      <w:pPr>
        <w:pStyle w:val="30"/>
      </w:pPr>
      <w:bookmarkStart w:id="247" w:name="ref-cncfwhoweare"/>
      <w:r>
        <w:t xml:space="preserve">Cloud Native Computing Foundation. 2026. </w:t>
      </w:r>
      <w:r>
        <w:rPr>
          <w:i/>
          <w:iCs/>
        </w:rPr>
        <w:t>Who We Are</w:t>
      </w:r>
      <w:r>
        <w:t xml:space="preserve">. Available online: </w:t>
      </w:r>
      <w:r>
        <w:fldChar w:fldCharType="begin"/>
      </w:r>
      <w:r>
        <w:instrText xml:space="preserve"> HYPERLINK "https://www.cncf.io/about/who-we-are/" \h </w:instrText>
      </w:r>
      <w:r>
        <w:fldChar w:fldCharType="separate"/>
      </w:r>
      <w:r>
        <w:rPr>
          <w:rStyle w:val="20"/>
        </w:rPr>
        <w:t>https://www.cncf.io/about/who-we-are/</w:t>
      </w:r>
      <w:r>
        <w:rPr>
          <w:rStyle w:val="20"/>
        </w:rPr>
        <w:fldChar w:fldCharType="end"/>
      </w:r>
      <w:r>
        <w:t xml:space="preserve">. </w:t>
      </w:r>
      <w:r>
        <w:fldChar w:fldCharType="begin"/>
      </w:r>
      <w:r>
        <w:instrText xml:space="preserve"> HYPERLINK "https://www.cncf.io/about/who-we-are/" \h </w:instrText>
      </w:r>
      <w:r>
        <w:fldChar w:fldCharType="separate"/>
      </w:r>
      <w:r>
        <w:rPr>
          <w:rStyle w:val="20"/>
        </w:rPr>
        <w:t>https://www.cncf.io/about/who-we-are/</w:t>
      </w:r>
      <w:r>
        <w:rPr>
          <w:rStyle w:val="20"/>
        </w:rPr>
        <w:fldChar w:fldCharType="end"/>
      </w:r>
      <w:r>
        <w:t>.</w:t>
      </w:r>
    </w:p>
    <w:bookmarkEnd w:id="247"/>
    <w:p w14:paraId="3B5710C1">
      <w:pPr>
        <w:pStyle w:val="30"/>
      </w:pPr>
      <w:bookmarkStart w:id="248" w:name="ref-Curtis_2025"/>
      <w:r>
        <w:t xml:space="preserve">Curtis, J. Alexander, and Nasir U. Eisty. 2025. “The Kubernetes Security Landscape: AI-Driven Insights from Developer Discussions.” </w:t>
      </w:r>
      <w:r>
        <w:rPr>
          <w:i/>
          <w:iCs/>
        </w:rPr>
        <w:t>Proceedings of the 2025 IEEE/ACIS 23rd International Conference on Software Engineering Research, Management and Applications(SERA 2025)</w:t>
      </w:r>
      <w:r>
        <w:t xml:space="preserve">, May, 179–86. </w:t>
      </w:r>
      <w:r>
        <w:fldChar w:fldCharType="begin"/>
      </w:r>
      <w:r>
        <w:instrText xml:space="preserve"> HYPERLINK "https://doi.org/10.1109/SERA65747.2025.11154503" \h </w:instrText>
      </w:r>
      <w:r>
        <w:fldChar w:fldCharType="separate"/>
      </w:r>
      <w:r>
        <w:rPr>
          <w:rStyle w:val="20"/>
        </w:rPr>
        <w:t>https://doi.org/10.1109/SERA65747.2025.11154503</w:t>
      </w:r>
      <w:r>
        <w:rPr>
          <w:rStyle w:val="20"/>
        </w:rPr>
        <w:fldChar w:fldCharType="end"/>
      </w:r>
      <w:r>
        <w:t>.</w:t>
      </w:r>
    </w:p>
    <w:bookmarkEnd w:id="248"/>
    <w:p w14:paraId="36C6D4CC">
      <w:pPr>
        <w:pStyle w:val="30"/>
      </w:pPr>
      <w:bookmarkStart w:id="249" w:name="ref-kubiscan2024"/>
      <w:r>
        <w:t xml:space="preserve">CyberArk. 2024. </w:t>
      </w:r>
      <w:r>
        <w:rPr>
          <w:i/>
          <w:iCs/>
        </w:rPr>
        <w:t>KubiScan: Kubernetes Risk Assessment Tool</w:t>
      </w:r>
      <w:r>
        <w:t xml:space="preserve">. Available online: </w:t>
      </w:r>
      <w:r>
        <w:fldChar w:fldCharType="begin"/>
      </w:r>
      <w:r>
        <w:instrText xml:space="preserve"> HYPERLINK "https://github.com/cyberark/KubiScan" \h </w:instrText>
      </w:r>
      <w:r>
        <w:fldChar w:fldCharType="separate"/>
      </w:r>
      <w:r>
        <w:rPr>
          <w:rStyle w:val="20"/>
        </w:rPr>
        <w:t>https://github.com/cyberark/KubiScan</w:t>
      </w:r>
      <w:r>
        <w:rPr>
          <w:rStyle w:val="20"/>
        </w:rPr>
        <w:fldChar w:fldCharType="end"/>
      </w:r>
      <w:r>
        <w:t xml:space="preserve">. </w:t>
      </w:r>
      <w:r>
        <w:fldChar w:fldCharType="begin"/>
      </w:r>
      <w:r>
        <w:instrText xml:space="preserve"> HYPERLINK "https://github.com/cyberark/KubiScan" \h </w:instrText>
      </w:r>
      <w:r>
        <w:fldChar w:fldCharType="separate"/>
      </w:r>
      <w:r>
        <w:rPr>
          <w:rStyle w:val="20"/>
        </w:rPr>
        <w:t>https://github.com/cyberark/KubiScan</w:t>
      </w:r>
      <w:r>
        <w:rPr>
          <w:rStyle w:val="20"/>
        </w:rPr>
        <w:fldChar w:fldCharType="end"/>
      </w:r>
      <w:r>
        <w:t>.</w:t>
      </w:r>
    </w:p>
    <w:bookmarkEnd w:id="249"/>
    <w:p w14:paraId="3632F7D5">
      <w:pPr>
        <w:pStyle w:val="30"/>
      </w:pPr>
      <w:bookmarkStart w:id="250" w:name="ref-Dell_Immagine_2023"/>
      <w:r>
        <w:t xml:space="preserve">Dell’Immagine, Giorgio, Jacopo Soldani, and Antonio Brogi. 2023. “KubeHound: Detecting Microservices’ Security Smells in Kubernetes Deployments.” </w:t>
      </w:r>
      <w:r>
        <w:rPr>
          <w:i/>
          <w:iCs/>
        </w:rPr>
        <w:t>Future Internet</w:t>
      </w:r>
      <w:r>
        <w:t xml:space="preserve"> 15 (7). </w:t>
      </w:r>
      <w:r>
        <w:fldChar w:fldCharType="begin"/>
      </w:r>
      <w:r>
        <w:instrText xml:space="preserve"> HYPERLINK "https://doi.org/10.3390/fi15070228" \h </w:instrText>
      </w:r>
      <w:r>
        <w:fldChar w:fldCharType="separate"/>
      </w:r>
      <w:r>
        <w:rPr>
          <w:rStyle w:val="20"/>
        </w:rPr>
        <w:t>https://doi.org/10.3390/fi15070228</w:t>
      </w:r>
      <w:r>
        <w:rPr>
          <w:rStyle w:val="20"/>
        </w:rPr>
        <w:fldChar w:fldCharType="end"/>
      </w:r>
      <w:r>
        <w:t>.</w:t>
      </w:r>
    </w:p>
    <w:bookmarkEnd w:id="250"/>
    <w:p w14:paraId="672B0953">
      <w:pPr>
        <w:pStyle w:val="30"/>
      </w:pPr>
      <w:bookmarkStart w:id="251" w:name="ref-douze2024faiss"/>
      <w:r>
        <w:t xml:space="preserve">Douze, Matthijs et al. 2024. </w:t>
      </w:r>
      <w:r>
        <w:rPr>
          <w:i/>
          <w:iCs/>
        </w:rPr>
        <w:t>The Faiss Library</w:t>
      </w:r>
      <w:r>
        <w:t xml:space="preserve">. </w:t>
      </w:r>
      <w:r>
        <w:fldChar w:fldCharType="begin"/>
      </w:r>
      <w:r>
        <w:instrText xml:space="preserve"> HYPERLINK "https://arxiv.org/abs/2401.08281" \h </w:instrText>
      </w:r>
      <w:r>
        <w:fldChar w:fldCharType="separate"/>
      </w:r>
      <w:r>
        <w:rPr>
          <w:rStyle w:val="20"/>
        </w:rPr>
        <w:t>https://arxiv.org/abs/2401.08281</w:t>
      </w:r>
      <w:r>
        <w:rPr>
          <w:rStyle w:val="20"/>
        </w:rPr>
        <w:fldChar w:fldCharType="end"/>
      </w:r>
      <w:r>
        <w:t>.</w:t>
      </w:r>
    </w:p>
    <w:bookmarkEnd w:id="251"/>
    <w:p w14:paraId="5483355E">
      <w:pPr>
        <w:pStyle w:val="30"/>
      </w:pPr>
      <w:bookmarkStart w:id="252" w:name="ref-enck2014taintdroid"/>
      <w:r>
        <w:t xml:space="preserve">Enck, William, Peter Gilbert, Seungyeop Han, et al. 2014. “TaintDroid: An Information-Flow Tracking System for Realtime Privacy Monitoring on Smartphones.” </w:t>
      </w:r>
      <w:r>
        <w:rPr>
          <w:i/>
          <w:iCs/>
        </w:rPr>
        <w:t>ACM Transactions on Computer Systems</w:t>
      </w:r>
      <w:r>
        <w:t xml:space="preserve"> 32 (2): 1–29. </w:t>
      </w:r>
      <w:r>
        <w:fldChar w:fldCharType="begin"/>
      </w:r>
      <w:r>
        <w:instrText xml:space="preserve"> HYPERLINK "https://doi.org/10.1145/2619091" \h </w:instrText>
      </w:r>
      <w:r>
        <w:fldChar w:fldCharType="separate"/>
      </w:r>
      <w:r>
        <w:rPr>
          <w:rStyle w:val="20"/>
        </w:rPr>
        <w:t>https://doi.org/10.1145/2619091</w:t>
      </w:r>
      <w:r>
        <w:rPr>
          <w:rStyle w:val="20"/>
        </w:rPr>
        <w:fldChar w:fldCharType="end"/>
      </w:r>
      <w:r>
        <w:t>.</w:t>
      </w:r>
    </w:p>
    <w:bookmarkEnd w:id="252"/>
    <w:p w14:paraId="455BDF50">
      <w:pPr>
        <w:pStyle w:val="30"/>
      </w:pPr>
      <w:bookmarkStart w:id="253" w:name="ref-polaris2025"/>
      <w:r>
        <w:t xml:space="preserve">Fairwinds. 2025. </w:t>
      </w:r>
      <w:r>
        <w:rPr>
          <w:i/>
          <w:iCs/>
        </w:rPr>
        <w:t>Polaris: Kubernetes Best-Practices and Configuration Checks</w:t>
      </w:r>
      <w:r>
        <w:t xml:space="preserve">. Available online: </w:t>
      </w:r>
      <w:r>
        <w:fldChar w:fldCharType="begin"/>
      </w:r>
      <w:r>
        <w:instrText xml:space="preserve"> HYPERLINK "https://github.com/FairwindsOps/polaris" \h </w:instrText>
      </w:r>
      <w:r>
        <w:fldChar w:fldCharType="separate"/>
      </w:r>
      <w:r>
        <w:rPr>
          <w:rStyle w:val="20"/>
        </w:rPr>
        <w:t>https://github.com/FairwindsOps/polaris</w:t>
      </w:r>
      <w:r>
        <w:rPr>
          <w:rStyle w:val="20"/>
        </w:rPr>
        <w:fldChar w:fldCharType="end"/>
      </w:r>
      <w:r>
        <w:t xml:space="preserve">. </w:t>
      </w:r>
      <w:r>
        <w:fldChar w:fldCharType="begin"/>
      </w:r>
      <w:r>
        <w:instrText xml:space="preserve"> HYPERLINK "https://github.com/FairwindsOps/polaris" \h </w:instrText>
      </w:r>
      <w:r>
        <w:fldChar w:fldCharType="separate"/>
      </w:r>
      <w:r>
        <w:rPr>
          <w:rStyle w:val="20"/>
        </w:rPr>
        <w:t>https://github.com/FairwindsOps/polaris</w:t>
      </w:r>
      <w:r>
        <w:rPr>
          <w:rStyle w:val="20"/>
        </w:rPr>
        <w:fldChar w:fldCharType="end"/>
      </w:r>
      <w:r>
        <w:t>.</w:t>
      </w:r>
    </w:p>
    <w:bookmarkEnd w:id="253"/>
    <w:p w14:paraId="4A4B7F41">
      <w:pPr>
        <w:pStyle w:val="30"/>
      </w:pPr>
      <w:bookmarkStart w:id="254" w:name="ref-falco2025"/>
      <w:r>
        <w:t xml:space="preserve">Falco (CNCF). 2025. </w:t>
      </w:r>
      <w:r>
        <w:rPr>
          <w:i/>
          <w:iCs/>
        </w:rPr>
        <w:t>Falco: Cloud Native Runtime Security</w:t>
      </w:r>
      <w:r>
        <w:t xml:space="preserve">. Available online: </w:t>
      </w:r>
      <w:r>
        <w:fldChar w:fldCharType="begin"/>
      </w:r>
      <w:r>
        <w:instrText xml:space="preserve"> HYPERLINK "https://falco.org/" \h </w:instrText>
      </w:r>
      <w:r>
        <w:fldChar w:fldCharType="separate"/>
      </w:r>
      <w:r>
        <w:rPr>
          <w:rStyle w:val="20"/>
        </w:rPr>
        <w:t>https://falco.org/</w:t>
      </w:r>
      <w:r>
        <w:rPr>
          <w:rStyle w:val="20"/>
        </w:rPr>
        <w:fldChar w:fldCharType="end"/>
      </w:r>
      <w:r>
        <w:t xml:space="preserve">. </w:t>
      </w:r>
      <w:r>
        <w:fldChar w:fldCharType="begin"/>
      </w:r>
      <w:r>
        <w:instrText xml:space="preserve"> HYPERLINK "https://falco.org/" \h </w:instrText>
      </w:r>
      <w:r>
        <w:fldChar w:fldCharType="separate"/>
      </w:r>
      <w:r>
        <w:rPr>
          <w:rStyle w:val="20"/>
        </w:rPr>
        <w:t>https://falco.org/</w:t>
      </w:r>
      <w:r>
        <w:rPr>
          <w:rStyle w:val="20"/>
        </w:rPr>
        <w:fldChar w:fldCharType="end"/>
      </w:r>
      <w:r>
        <w:t>.</w:t>
      </w:r>
    </w:p>
    <w:bookmarkEnd w:id="254"/>
    <w:p w14:paraId="3224FADF">
      <w:pPr>
        <w:pStyle w:val="30"/>
      </w:pPr>
      <w:bookmarkStart w:id="255" w:name="ref-ferraiolo1999intranet"/>
      <w:r>
        <w:t xml:space="preserve">Ferraiolo, David F., John Barkley, and D. Richard Kuhn. 1997. “A Role-Based Access Control Model and Reference Implementation Within a Corporate Intranet.” </w:t>
      </w:r>
      <w:r>
        <w:rPr>
          <w:i/>
          <w:iCs/>
        </w:rPr>
        <w:t>Proceedings of the 2nd ACM Workshop on Role-Based Access Control</w:t>
      </w:r>
      <w:r>
        <w:t xml:space="preserve">, 2–9. </w:t>
      </w:r>
      <w:r>
        <w:fldChar w:fldCharType="begin"/>
      </w:r>
      <w:r>
        <w:instrText xml:space="preserve"> HYPERLINK "https://doi.org/10.1145/300830.300834" \h </w:instrText>
      </w:r>
      <w:r>
        <w:fldChar w:fldCharType="separate"/>
      </w:r>
      <w:r>
        <w:rPr>
          <w:rStyle w:val="20"/>
        </w:rPr>
        <w:t>https://doi.org/10.1145/300830.300834</w:t>
      </w:r>
      <w:r>
        <w:rPr>
          <w:rStyle w:val="20"/>
        </w:rPr>
        <w:fldChar w:fldCharType="end"/>
      </w:r>
      <w:r>
        <w:t>.</w:t>
      </w:r>
    </w:p>
    <w:bookmarkEnd w:id="255"/>
    <w:p w14:paraId="0604A67E">
      <w:pPr>
        <w:pStyle w:val="30"/>
      </w:pPr>
      <w:bookmarkStart w:id="256" w:name="ref-ferraiolo1995role"/>
      <w:r>
        <w:t xml:space="preserve">Ferraiolo, David, Janet Cugini, D Richard Kuhn, et al. 1995. “Role-Based Access Control (RBAC): Features and Motivations.” </w:t>
      </w:r>
      <w:r>
        <w:rPr>
          <w:i/>
          <w:iCs/>
        </w:rPr>
        <w:t>Proceedings of the 11th Annual Computer Security Applications Conference</w:t>
      </w:r>
      <w:r>
        <w:t>, 241–48.</w:t>
      </w:r>
    </w:p>
    <w:bookmarkEnd w:id="256"/>
    <w:p w14:paraId="1BC5428D">
      <w:pPr>
        <w:pStyle w:val="30"/>
      </w:pPr>
      <w:bookmarkStart w:id="257" w:name="ref-fu2025raseval"/>
      <w:r>
        <w:t xml:space="preserve">Fu, Yuchuan, Xiaohan Yuan, and Dongxia Wang. 2025. </w:t>
      </w:r>
      <w:r>
        <w:rPr>
          <w:i/>
          <w:iCs/>
        </w:rPr>
        <w:t>RAS-Eval: A Comprehensive Benchmark for Security Evaluation of LLM Agents in Real-World Environments</w:t>
      </w:r>
      <w:r>
        <w:t xml:space="preserve">. </w:t>
      </w:r>
      <w:r>
        <w:fldChar w:fldCharType="begin"/>
      </w:r>
      <w:r>
        <w:instrText xml:space="preserve"> HYPERLINK "https://arxiv.org/abs/2506.15253" \h </w:instrText>
      </w:r>
      <w:r>
        <w:fldChar w:fldCharType="separate"/>
      </w:r>
      <w:r>
        <w:rPr>
          <w:rStyle w:val="20"/>
        </w:rPr>
        <w:t>https://arxiv.org/abs/2506.15253</w:t>
      </w:r>
      <w:r>
        <w:rPr>
          <w:rStyle w:val="20"/>
        </w:rPr>
        <w:fldChar w:fldCharType="end"/>
      </w:r>
      <w:r>
        <w:t>.</w:t>
      </w:r>
    </w:p>
    <w:bookmarkEnd w:id="257"/>
    <w:p w14:paraId="4A08DF22">
      <w:pPr>
        <w:pStyle w:val="30"/>
      </w:pPr>
      <w:bookmarkStart w:id="258" w:name="ref-ghosh2025cve"/>
      <w:r>
        <w:t xml:space="preserve">Ghosh, Rikhiya, Hans-Martin von Stockhausen, Martin Schmitt, George Marica Vasile, Sanjeev Kumar Karn, and Oladimeji Farri. 2025. “CVE-LLM: Ontology-Assisted Automatic Vulnerability Evaluation Using Large Language Models.” </w:t>
      </w:r>
      <w:r>
        <w:rPr>
          <w:i/>
          <w:iCs/>
        </w:rPr>
        <w:t>Proceedings of the AAAI Conference on Artificial Intelligence</w:t>
      </w:r>
      <w:r>
        <w:t xml:space="preserve"> 39: 28757–65.</w:t>
      </w:r>
    </w:p>
    <w:bookmarkEnd w:id="258"/>
    <w:p w14:paraId="07BD93DF">
      <w:pPr>
        <w:pStyle w:val="30"/>
      </w:pPr>
      <w:bookmarkStart w:id="259" w:name="ref-gu2024epscan"/>
      <w:r>
        <w:t xml:space="preserve">Gu, Yue, Xin Tan, Yuan Zhang, Siyan Gao, and Min Yang. 2025. “EPScan: Automated Detection of Excessive RBAC Permissions in Kubernetes Applications.” </w:t>
      </w:r>
      <w:r>
        <w:rPr>
          <w:i/>
          <w:iCs/>
        </w:rPr>
        <w:t>Proceedings of the 2025 IEEE Symposium on Security and Privacy(SP 2025)</w:t>
      </w:r>
      <w:r>
        <w:t xml:space="preserve">, May, 3199–217. </w:t>
      </w:r>
      <w:r>
        <w:fldChar w:fldCharType="begin"/>
      </w:r>
      <w:r>
        <w:instrText xml:space="preserve"> HYPERLINK "https://doi.org/10.1109/SP61157.2025.00011" \h </w:instrText>
      </w:r>
      <w:r>
        <w:fldChar w:fldCharType="separate"/>
      </w:r>
      <w:r>
        <w:rPr>
          <w:rStyle w:val="20"/>
        </w:rPr>
        <w:t>https://doi.org/10.1109/SP61157.2025.00011</w:t>
      </w:r>
      <w:r>
        <w:rPr>
          <w:rStyle w:val="20"/>
        </w:rPr>
        <w:fldChar w:fldCharType="end"/>
      </w:r>
      <w:r>
        <w:t>.</w:t>
      </w:r>
    </w:p>
    <w:bookmarkEnd w:id="259"/>
    <w:p w14:paraId="3565CA29">
      <w:pPr>
        <w:pStyle w:val="30"/>
      </w:pPr>
      <w:bookmarkStart w:id="260" w:name="ref-hoiland2018express"/>
      <w:r>
        <w:t xml:space="preserve">Høiland-Jørgensen, Toke, Jesper Dangaard Brouer, Daniel Borkmann, et al. 2018. “The eXpress Data Path: Fast Programmable Packet Processing in the Operating System Kernel.” </w:t>
      </w:r>
      <w:r>
        <w:rPr>
          <w:i/>
          <w:iCs/>
        </w:rPr>
        <w:t>Proceedings of the 14th International Conference on Emerging Networking Experiments and Technologies</w:t>
      </w:r>
      <w:r>
        <w:t>, 54–66.</w:t>
      </w:r>
    </w:p>
    <w:bookmarkEnd w:id="260"/>
    <w:p w14:paraId="2221CFE0">
      <w:pPr>
        <w:pStyle w:val="30"/>
      </w:pPr>
      <w:bookmarkStart w:id="261" w:name="ref-hu2014guide"/>
      <w:r>
        <w:t xml:space="preserve">Hu, Vincent C., David Ferraiolo, Rick Kuhn, et al. 2014. </w:t>
      </w:r>
      <w:r>
        <w:rPr>
          <w:i/>
          <w:iCs/>
        </w:rPr>
        <w:t>Guide to Attribute Based Access Control (ABAC) Definition and Considerations</w:t>
      </w:r>
      <w:r>
        <w:t xml:space="preserve">. NIST Special Publication Nos. 800-162. National Institute of Standards; Technology. </w:t>
      </w:r>
      <w:r>
        <w:fldChar w:fldCharType="begin"/>
      </w:r>
      <w:r>
        <w:instrText xml:space="preserve"> HYPERLINK "https://doi.org/10.6028/NIST.SP.800-162" \h </w:instrText>
      </w:r>
      <w:r>
        <w:fldChar w:fldCharType="separate"/>
      </w:r>
      <w:r>
        <w:rPr>
          <w:rStyle w:val="20"/>
        </w:rPr>
        <w:t>https://doi.org/10.6028/NIST.SP.800-162</w:t>
      </w:r>
      <w:r>
        <w:rPr>
          <w:rStyle w:val="20"/>
        </w:rPr>
        <w:fldChar w:fldCharType="end"/>
      </w:r>
      <w:r>
        <w:t>.</w:t>
      </w:r>
    </w:p>
    <w:bookmarkEnd w:id="261"/>
    <w:p w14:paraId="1018FDD4">
      <w:pPr>
        <w:pStyle w:val="30"/>
      </w:pPr>
      <w:bookmarkStart w:id="262" w:name="ref-hwang2025persuasion"/>
      <w:r>
        <w:t xml:space="preserve">Hwang, Yerin, Dongryeol Lee, Taegwan Kang, Yongil Kim, and Kyomin Jung. 2025. </w:t>
      </w:r>
      <w:r>
        <w:rPr>
          <w:i/>
          <w:iCs/>
        </w:rPr>
        <w:t>Can You Trick the Grader? Adversarial Persuasion of LLM Judges</w:t>
      </w:r>
      <w:r>
        <w:t xml:space="preserve">. </w:t>
      </w:r>
      <w:r>
        <w:fldChar w:fldCharType="begin"/>
      </w:r>
      <w:r>
        <w:instrText xml:space="preserve"> HYPERLINK "https://arxiv.org/abs/2508.07805" \h </w:instrText>
      </w:r>
      <w:r>
        <w:fldChar w:fldCharType="separate"/>
      </w:r>
      <w:r>
        <w:rPr>
          <w:rStyle w:val="20"/>
        </w:rPr>
        <w:t>https://arxiv.org/abs/2508.07805</w:t>
      </w:r>
      <w:r>
        <w:rPr>
          <w:rStyle w:val="20"/>
        </w:rPr>
        <w:fldChar w:fldCharType="end"/>
      </w:r>
      <w:r>
        <w:t>.</w:t>
      </w:r>
    </w:p>
    <w:bookmarkEnd w:id="262"/>
    <w:p w14:paraId="1D07C7A1">
      <w:pPr>
        <w:pStyle w:val="30"/>
      </w:pPr>
      <w:bookmarkStart w:id="263" w:name="ref-Islam_Shamim_2020"/>
      <w:r>
        <w:t xml:space="preserve">Islam Shamim, Md. Shazibul, Farzana Ahamed Bhuiyan, and Akond Rahman. 2020. “XI Commandments of Kubernetes Security: A Systematization of Knowledge Related to Kubernetes Security Practices.” </w:t>
      </w:r>
      <w:r>
        <w:rPr>
          <w:i/>
          <w:iCs/>
        </w:rPr>
        <w:t>Proceedings of the 2020 IEEE Secure Development(SecDev 2020)</w:t>
      </w:r>
      <w:r>
        <w:t xml:space="preserve">, 58–64. </w:t>
      </w:r>
      <w:r>
        <w:fldChar w:fldCharType="begin"/>
      </w:r>
      <w:r>
        <w:instrText xml:space="preserve"> HYPERLINK "https://doi.org/10.1109/SecDev45635.2020.21525" \h </w:instrText>
      </w:r>
      <w:r>
        <w:fldChar w:fldCharType="separate"/>
      </w:r>
      <w:r>
        <w:rPr>
          <w:rStyle w:val="20"/>
        </w:rPr>
        <w:t>https://doi.org/10.1109/SecDev45635.2020.21525</w:t>
      </w:r>
      <w:r>
        <w:rPr>
          <w:rStyle w:val="20"/>
        </w:rPr>
        <w:fldChar w:fldCharType="end"/>
      </w:r>
      <w:r>
        <w:t>.</w:t>
      </w:r>
    </w:p>
    <w:bookmarkEnd w:id="263"/>
    <w:p w14:paraId="02E59240">
      <w:pPr>
        <w:pStyle w:val="30"/>
      </w:pPr>
      <w:bookmarkStart w:id="264" w:name="ref-kendall1939problem"/>
      <w:r>
        <w:t xml:space="preserve">Kendall, Maurice G, and B Babington Smith. 1939. “The Problem of m Rankings.” </w:t>
      </w:r>
      <w:r>
        <w:rPr>
          <w:i/>
          <w:iCs/>
        </w:rPr>
        <w:t>The Annals of Mathematical Statistics</w:t>
      </w:r>
      <w:r>
        <w:t xml:space="preserve"> 10 (3): 275–87.</w:t>
      </w:r>
    </w:p>
    <w:bookmarkEnd w:id="264"/>
    <w:p w14:paraId="08F1E9E3">
      <w:pPr>
        <w:pStyle w:val="30"/>
      </w:pPr>
      <w:bookmarkStart w:id="265" w:name="ref-Kim_2025"/>
      <w:r>
        <w:t xml:space="preserve">Kim, Bom, Jinwoo Kim, and Seungsoo Lee. 2025. “Exploring Security Enhancements in Kubernetes CNI: A Deep Dive into Network Policies.” </w:t>
      </w:r>
      <w:r>
        <w:rPr>
          <w:i/>
          <w:iCs/>
        </w:rPr>
        <w:t>IEEE Access</w:t>
      </w:r>
      <w:r>
        <w:t xml:space="preserve"> 13: 35322–38. </w:t>
      </w:r>
      <w:r>
        <w:fldChar w:fldCharType="begin"/>
      </w:r>
      <w:r>
        <w:instrText xml:space="preserve"> HYPERLINK "https://doi.org/10.1109/ACCESS.2025.3543841" \h </w:instrText>
      </w:r>
      <w:r>
        <w:fldChar w:fldCharType="separate"/>
      </w:r>
      <w:r>
        <w:rPr>
          <w:rStyle w:val="20"/>
        </w:rPr>
        <w:t>https://doi.org/10.1109/ACCESS.2025.3543841</w:t>
      </w:r>
      <w:r>
        <w:rPr>
          <w:rStyle w:val="20"/>
        </w:rPr>
        <w:fldChar w:fldCharType="end"/>
      </w:r>
      <w:r>
        <w:t>.</w:t>
      </w:r>
    </w:p>
    <w:bookmarkEnd w:id="265"/>
    <w:p w14:paraId="3CAF9735">
      <w:pPr>
        <w:pStyle w:val="30"/>
      </w:pPr>
      <w:bookmarkStart w:id="266" w:name="ref-konstantaras2026edrrules"/>
      <w:r>
        <w:t xml:space="preserve">Konstantaras, Ioannis, Efstratios Chatzoglou, Konstantinos E. Kampourakis, and Georgios Kambourakis. 2026. </w:t>
      </w:r>
      <w:r>
        <w:rPr>
          <w:i/>
          <w:iCs/>
        </w:rPr>
        <w:t>Evaluating LLMs for the Automated Generation of Operational Detection Rules in Enterprise EDR Environments</w:t>
      </w:r>
      <w:r>
        <w:t>.</w:t>
      </w:r>
    </w:p>
    <w:bookmarkEnd w:id="266"/>
    <w:p w14:paraId="2A73B3AA">
      <w:pPr>
        <w:pStyle w:val="30"/>
      </w:pPr>
      <w:bookmarkStart w:id="267" w:name="ref-kubelinter2025"/>
      <w:r>
        <w:t xml:space="preserve">kube-linter. 2025. </w:t>
      </w:r>
      <w:r>
        <w:rPr>
          <w:i/>
          <w:iCs/>
        </w:rPr>
        <w:t>Kube-Linter: Static Analysis for Kubernetes YAML and Helm Charts</w:t>
      </w:r>
      <w:r>
        <w:t xml:space="preserve">. Available online: </w:t>
      </w:r>
      <w:r>
        <w:fldChar w:fldCharType="begin"/>
      </w:r>
      <w:r>
        <w:instrText xml:space="preserve"> HYPERLINK "https://github.com/stackrox/kube-linter" \h </w:instrText>
      </w:r>
      <w:r>
        <w:fldChar w:fldCharType="separate"/>
      </w:r>
      <w:r>
        <w:rPr>
          <w:rStyle w:val="20"/>
        </w:rPr>
        <w:t>https://github.com/stackrox/kube-linter</w:t>
      </w:r>
      <w:r>
        <w:rPr>
          <w:rStyle w:val="20"/>
        </w:rPr>
        <w:fldChar w:fldCharType="end"/>
      </w:r>
      <w:r>
        <w:t xml:space="preserve">. </w:t>
      </w:r>
      <w:r>
        <w:fldChar w:fldCharType="begin"/>
      </w:r>
      <w:r>
        <w:instrText xml:space="preserve"> HYPERLINK "https://github.com/stackrox/kube-linter" \h </w:instrText>
      </w:r>
      <w:r>
        <w:fldChar w:fldCharType="separate"/>
      </w:r>
      <w:r>
        <w:rPr>
          <w:rStyle w:val="20"/>
        </w:rPr>
        <w:t>https://github.com/stackrox/kube-linter</w:t>
      </w:r>
      <w:r>
        <w:rPr>
          <w:rStyle w:val="20"/>
        </w:rPr>
        <w:fldChar w:fldCharType="end"/>
      </w:r>
      <w:r>
        <w:t>.</w:t>
      </w:r>
    </w:p>
    <w:bookmarkEnd w:id="267"/>
    <w:p w14:paraId="1B22473F">
      <w:pPr>
        <w:pStyle w:val="30"/>
      </w:pPr>
      <w:bookmarkStart w:id="268" w:name="ref-kubernetes2024"/>
      <w:r>
        <w:t xml:space="preserve">Kubernetes. 2024. </w:t>
      </w:r>
      <w:r>
        <w:rPr>
          <w:i/>
          <w:iCs/>
        </w:rPr>
        <w:t>Kubernetes Documentation</w:t>
      </w:r>
      <w:r>
        <w:t xml:space="preserve">. Available online: </w:t>
      </w:r>
      <w:r>
        <w:fldChar w:fldCharType="begin"/>
      </w:r>
      <w:r>
        <w:instrText xml:space="preserve"> HYPERLINK "https://kubernetes.io/docs/home/" \h </w:instrText>
      </w:r>
      <w:r>
        <w:fldChar w:fldCharType="separate"/>
      </w:r>
      <w:r>
        <w:rPr>
          <w:rStyle w:val="20"/>
        </w:rPr>
        <w:t>https://kubernetes.io/docs/home/</w:t>
      </w:r>
      <w:r>
        <w:rPr>
          <w:rStyle w:val="20"/>
        </w:rPr>
        <w:fldChar w:fldCharType="end"/>
      </w:r>
      <w:r>
        <w:t xml:space="preserve">. </w:t>
      </w:r>
      <w:r>
        <w:fldChar w:fldCharType="begin"/>
      </w:r>
      <w:r>
        <w:instrText xml:space="preserve"> HYPERLINK "https://kubernetes.io/docs/home/" \h </w:instrText>
      </w:r>
      <w:r>
        <w:fldChar w:fldCharType="separate"/>
      </w:r>
      <w:r>
        <w:rPr>
          <w:rStyle w:val="20"/>
        </w:rPr>
        <w:t>https://kubernetes.io/docs/home/</w:t>
      </w:r>
      <w:r>
        <w:rPr>
          <w:rStyle w:val="20"/>
        </w:rPr>
        <w:fldChar w:fldCharType="end"/>
      </w:r>
      <w:r>
        <w:t>.</w:t>
      </w:r>
    </w:p>
    <w:bookmarkEnd w:id="268"/>
    <w:p w14:paraId="2A2B7B46">
      <w:pPr>
        <w:pStyle w:val="30"/>
      </w:pPr>
      <w:bookmarkStart w:id="269" w:name="ref-kubescape2025"/>
      <w:r>
        <w:t xml:space="preserve">Kubescape. 2025. </w:t>
      </w:r>
      <w:r>
        <w:rPr>
          <w:i/>
          <w:iCs/>
        </w:rPr>
        <w:t>Kubescape: Kubernetes Security Scanning and Hardening Tool</w:t>
      </w:r>
      <w:r>
        <w:t xml:space="preserve">. Available online: </w:t>
      </w:r>
      <w:r>
        <w:fldChar w:fldCharType="begin"/>
      </w:r>
      <w:r>
        <w:instrText xml:space="preserve"> HYPERLINK "https://github.com/kubescape/kubescape" \h </w:instrText>
      </w:r>
      <w:r>
        <w:fldChar w:fldCharType="separate"/>
      </w:r>
      <w:r>
        <w:rPr>
          <w:rStyle w:val="20"/>
        </w:rPr>
        <w:t>https://github.com/kubescape/kubescape</w:t>
      </w:r>
      <w:r>
        <w:rPr>
          <w:rStyle w:val="20"/>
        </w:rPr>
        <w:fldChar w:fldCharType="end"/>
      </w:r>
      <w:r>
        <w:t xml:space="preserve">. </w:t>
      </w:r>
      <w:r>
        <w:fldChar w:fldCharType="begin"/>
      </w:r>
      <w:r>
        <w:instrText xml:space="preserve"> HYPERLINK "https://github.com/kubescape/kubescape" \h </w:instrText>
      </w:r>
      <w:r>
        <w:fldChar w:fldCharType="separate"/>
      </w:r>
      <w:r>
        <w:rPr>
          <w:rStyle w:val="20"/>
        </w:rPr>
        <w:t>https://github.com/kubescape/kubescape</w:t>
      </w:r>
      <w:r>
        <w:rPr>
          <w:rStyle w:val="20"/>
        </w:rPr>
        <w:fldChar w:fldCharType="end"/>
      </w:r>
      <w:r>
        <w:t>.</w:t>
      </w:r>
    </w:p>
    <w:bookmarkEnd w:id="269"/>
    <w:p w14:paraId="765E2C8B">
      <w:pPr>
        <w:pStyle w:val="30"/>
      </w:pPr>
      <w:bookmarkStart w:id="270" w:name="ref-kubescore2025"/>
      <w:r>
        <w:t xml:space="preserve">kube-score. 2025. </w:t>
      </w:r>
      <w:r>
        <w:rPr>
          <w:i/>
          <w:iCs/>
        </w:rPr>
        <w:t>Kube-Score: Kubernetes Object Analysis Tool for Best Practices</w:t>
      </w:r>
      <w:r>
        <w:t xml:space="preserve">. Available online: </w:t>
      </w:r>
      <w:r>
        <w:fldChar w:fldCharType="begin"/>
      </w:r>
      <w:r>
        <w:instrText xml:space="preserve"> HYPERLINK "https://github.com/zegl/kube-score" \h </w:instrText>
      </w:r>
      <w:r>
        <w:fldChar w:fldCharType="separate"/>
      </w:r>
      <w:r>
        <w:rPr>
          <w:rStyle w:val="20"/>
        </w:rPr>
        <w:t>https://github.com/zegl/kube-score</w:t>
      </w:r>
      <w:r>
        <w:rPr>
          <w:rStyle w:val="20"/>
        </w:rPr>
        <w:fldChar w:fldCharType="end"/>
      </w:r>
      <w:r>
        <w:t xml:space="preserve">. </w:t>
      </w:r>
      <w:r>
        <w:fldChar w:fldCharType="begin"/>
      </w:r>
      <w:r>
        <w:instrText xml:space="preserve"> HYPERLINK "https://github.com/zegl/kube-score" \h </w:instrText>
      </w:r>
      <w:r>
        <w:fldChar w:fldCharType="separate"/>
      </w:r>
      <w:r>
        <w:rPr>
          <w:rStyle w:val="20"/>
        </w:rPr>
        <w:t>https://github.com/zegl/kube-score</w:t>
      </w:r>
      <w:r>
        <w:rPr>
          <w:rStyle w:val="20"/>
        </w:rPr>
        <w:fldChar w:fldCharType="end"/>
      </w:r>
      <w:r>
        <w:t>.</w:t>
      </w:r>
    </w:p>
    <w:bookmarkEnd w:id="270"/>
    <w:p w14:paraId="0DCD0335">
      <w:pPr>
        <w:pStyle w:val="30"/>
      </w:pPr>
      <w:bookmarkStart w:id="271" w:name="ref-kubesec2025"/>
      <w:r>
        <w:t xml:space="preserve">KubeSec. 2025. </w:t>
      </w:r>
      <w:r>
        <w:rPr>
          <w:i/>
          <w:iCs/>
        </w:rPr>
        <w:t>KubeSec: Security Risk Analysis for Kubernetes Resources</w:t>
      </w:r>
      <w:r>
        <w:t xml:space="preserve">. Available online: </w:t>
      </w:r>
      <w:r>
        <w:fldChar w:fldCharType="begin"/>
      </w:r>
      <w:r>
        <w:instrText xml:space="preserve"> HYPERLINK "https://kubesec.io/" \h </w:instrText>
      </w:r>
      <w:r>
        <w:fldChar w:fldCharType="separate"/>
      </w:r>
      <w:r>
        <w:rPr>
          <w:rStyle w:val="20"/>
        </w:rPr>
        <w:t>https://kubesec.io/</w:t>
      </w:r>
      <w:r>
        <w:rPr>
          <w:rStyle w:val="20"/>
        </w:rPr>
        <w:fldChar w:fldCharType="end"/>
      </w:r>
      <w:r>
        <w:t xml:space="preserve">. </w:t>
      </w:r>
      <w:r>
        <w:fldChar w:fldCharType="begin"/>
      </w:r>
      <w:r>
        <w:instrText xml:space="preserve"> HYPERLINK "https://kubesec.io/" \h </w:instrText>
      </w:r>
      <w:r>
        <w:fldChar w:fldCharType="separate"/>
      </w:r>
      <w:r>
        <w:rPr>
          <w:rStyle w:val="20"/>
        </w:rPr>
        <w:t>https://kubesec.io/</w:t>
      </w:r>
      <w:r>
        <w:rPr>
          <w:rStyle w:val="20"/>
        </w:rPr>
        <w:fldChar w:fldCharType="end"/>
      </w:r>
      <w:r>
        <w:t>.</w:t>
      </w:r>
    </w:p>
    <w:bookmarkEnd w:id="271"/>
    <w:p w14:paraId="3292C17B">
      <w:pPr>
        <w:pStyle w:val="30"/>
      </w:pPr>
      <w:bookmarkStart w:id="272" w:name="ref-kyverno2025"/>
      <w:r>
        <w:t xml:space="preserve">Kyverno (CNCF). 2025. </w:t>
      </w:r>
      <w:r>
        <w:rPr>
          <w:i/>
          <w:iCs/>
        </w:rPr>
        <w:t>Kyverno: Kubernetes Native Policy Management</w:t>
      </w:r>
      <w:r>
        <w:t xml:space="preserve">. Available online: </w:t>
      </w:r>
      <w:r>
        <w:fldChar w:fldCharType="begin"/>
      </w:r>
      <w:r>
        <w:instrText xml:space="preserve"> HYPERLINK "https://kyverno.io/" \h </w:instrText>
      </w:r>
      <w:r>
        <w:fldChar w:fldCharType="separate"/>
      </w:r>
      <w:r>
        <w:rPr>
          <w:rStyle w:val="20"/>
        </w:rPr>
        <w:t>https://kyverno.io/</w:t>
      </w:r>
      <w:r>
        <w:rPr>
          <w:rStyle w:val="20"/>
        </w:rPr>
        <w:fldChar w:fldCharType="end"/>
      </w:r>
      <w:r>
        <w:t xml:space="preserve">. </w:t>
      </w:r>
      <w:r>
        <w:fldChar w:fldCharType="begin"/>
      </w:r>
      <w:r>
        <w:instrText xml:space="preserve"> HYPERLINK "https://kyverno.io/" \h </w:instrText>
      </w:r>
      <w:r>
        <w:fldChar w:fldCharType="separate"/>
      </w:r>
      <w:r>
        <w:rPr>
          <w:rStyle w:val="20"/>
        </w:rPr>
        <w:t>https://kyverno.io/</w:t>
      </w:r>
      <w:r>
        <w:rPr>
          <w:rStyle w:val="20"/>
        </w:rPr>
        <w:fldChar w:fldCharType="end"/>
      </w:r>
      <w:r>
        <w:t>.</w:t>
      </w:r>
    </w:p>
    <w:bookmarkEnd w:id="272"/>
    <w:p w14:paraId="68AC36B0">
      <w:pPr>
        <w:pStyle w:val="30"/>
      </w:pPr>
      <w:bookmarkStart w:id="273" w:name="ref-lawson2026cncf"/>
      <w:r>
        <w:t xml:space="preserve">Lawson, Adrienn, and Jeffrey Sica. 2026. </w:t>
      </w:r>
      <w:r>
        <w:rPr>
          <w:i/>
          <w:iCs/>
        </w:rPr>
        <w:t>CNCF Annual Cloud Native Survey: The Infrastructure of AI’s Future</w:t>
      </w:r>
      <w:r>
        <w:t xml:space="preserve">. The Linux Foundation. </w:t>
      </w:r>
      <w:r>
        <w:fldChar w:fldCharType="begin"/>
      </w:r>
      <w:r>
        <w:instrText xml:space="preserve"> HYPERLINK "https://www.cncf.io/reports/the-cncf-annual-cloud-native-survey/" \h </w:instrText>
      </w:r>
      <w:r>
        <w:fldChar w:fldCharType="separate"/>
      </w:r>
      <w:r>
        <w:rPr>
          <w:rStyle w:val="20"/>
        </w:rPr>
        <w:t>https://www.cncf.io/reports/the-cncf-annual-cloud-native-survey/</w:t>
      </w:r>
      <w:r>
        <w:rPr>
          <w:rStyle w:val="20"/>
        </w:rPr>
        <w:fldChar w:fldCharType="end"/>
      </w:r>
      <w:r>
        <w:t>.</w:t>
      </w:r>
    </w:p>
    <w:bookmarkEnd w:id="273"/>
    <w:p w14:paraId="5BE7AEB4">
      <w:pPr>
        <w:pStyle w:val="30"/>
      </w:pPr>
      <w:bookmarkStart w:id="274" w:name="ref-Le_2023"/>
      <w:r>
        <w:t xml:space="preserve">Le, Michael V., Salman Ahmed, Dan Williams, and Hani Jamjoom. 2023. “Securing Container-Based Clouds with Syscall-Aware Scheduling.” </w:t>
      </w:r>
      <w:r>
        <w:rPr>
          <w:i/>
          <w:iCs/>
        </w:rPr>
        <w:t>Proceedings of the 2023 ACM Asia Conference on Computer and Communications Security</w:t>
      </w:r>
      <w:r>
        <w:t xml:space="preserve"> (New York, NY, USA), 812–26. </w:t>
      </w:r>
      <w:r>
        <w:fldChar w:fldCharType="begin"/>
      </w:r>
      <w:r>
        <w:instrText xml:space="preserve"> HYPERLINK "https://doi.org/10.1145/3579856.3582835" \h </w:instrText>
      </w:r>
      <w:r>
        <w:fldChar w:fldCharType="separate"/>
      </w:r>
      <w:r>
        <w:rPr>
          <w:rStyle w:val="20"/>
        </w:rPr>
        <w:t>https://doi.org/10.1145/3579856.3582835</w:t>
      </w:r>
      <w:r>
        <w:rPr>
          <w:rStyle w:val="20"/>
        </w:rPr>
        <w:fldChar w:fldCharType="end"/>
      </w:r>
      <w:r>
        <w:t>.</w:t>
      </w:r>
    </w:p>
    <w:bookmarkEnd w:id="274"/>
    <w:p w14:paraId="587AA327">
      <w:pPr>
        <w:pStyle w:val="30"/>
      </w:pPr>
      <w:bookmarkStart w:id="275" w:name="ref-lewis2020retrieval"/>
      <w:r>
        <w:t xml:space="preserve">Lewis, Patrick, Ethan Perez, Aleksandra Piktus, et al. 2020. “Retrieval-Augmented Generation for Knowledge-Intensive NLP Tasks.” </w:t>
      </w:r>
      <w:r>
        <w:rPr>
          <w:i/>
          <w:iCs/>
        </w:rPr>
        <w:t>Proceedings of the 34th International Conference on Neural Information Processing Systems</w:t>
      </w:r>
      <w:r>
        <w:t xml:space="preserve"> (Red Hook, NY, USA).</w:t>
      </w:r>
    </w:p>
    <w:bookmarkEnd w:id="275"/>
    <w:p w14:paraId="7A3A6CE2">
      <w:pPr>
        <w:pStyle w:val="30"/>
      </w:pPr>
      <w:bookmarkStart w:id="276" w:name="ref-liu2023geval"/>
      <w:r>
        <w:t xml:space="preserve">Liu, Yang et al. 2023. </w:t>
      </w:r>
      <w:r>
        <w:rPr>
          <w:i/>
          <w:iCs/>
        </w:rPr>
        <w:t>G-Eval: NLG Evaluation Using GPT-4 with Better Human Alignment</w:t>
      </w:r>
      <w:r>
        <w:t xml:space="preserve">. </w:t>
      </w:r>
      <w:r>
        <w:fldChar w:fldCharType="begin"/>
      </w:r>
      <w:r>
        <w:instrText xml:space="preserve"> HYPERLINK "https://arxiv.org/abs/2303.16634" \h </w:instrText>
      </w:r>
      <w:r>
        <w:fldChar w:fldCharType="separate"/>
      </w:r>
      <w:r>
        <w:rPr>
          <w:rStyle w:val="20"/>
        </w:rPr>
        <w:t>https://arxiv.org/abs/2303.16634</w:t>
      </w:r>
      <w:r>
        <w:rPr>
          <w:rStyle w:val="20"/>
        </w:rPr>
        <w:fldChar w:fldCharType="end"/>
      </w:r>
      <w:r>
        <w:t>.</w:t>
      </w:r>
    </w:p>
    <w:bookmarkEnd w:id="276"/>
    <w:p w14:paraId="1908BDE0">
      <w:pPr>
        <w:pStyle w:val="30"/>
      </w:pPr>
      <w:bookmarkStart w:id="277" w:name="ref-malul2024genkubesec"/>
      <w:r>
        <w:t xml:space="preserve">Malul, Ehud, Yair Meidan, Dudu Mimran, Yuval Elovici, and Asaf Shabtai. 2024. </w:t>
      </w:r>
      <w:r>
        <w:rPr>
          <w:i/>
          <w:iCs/>
        </w:rPr>
        <w:t>GenKubeSec: LLM-Based Kubernetes Misconfiguration Detection, Localization, Reasoning, and Remediation</w:t>
      </w:r>
      <w:r>
        <w:t xml:space="preserve">. </w:t>
      </w:r>
      <w:r>
        <w:fldChar w:fldCharType="begin"/>
      </w:r>
      <w:r>
        <w:instrText xml:space="preserve"> HYPERLINK "https://doi.org/10.48550/arXiv.2405.19954" \h </w:instrText>
      </w:r>
      <w:r>
        <w:fldChar w:fldCharType="separate"/>
      </w:r>
      <w:r>
        <w:rPr>
          <w:rStyle w:val="20"/>
        </w:rPr>
        <w:t>https://doi.org/10.48550/arXiv.2405.19954</w:t>
      </w:r>
      <w:r>
        <w:rPr>
          <w:rStyle w:val="20"/>
        </w:rPr>
        <w:fldChar w:fldCharType="end"/>
      </w:r>
      <w:r>
        <w:t>.</w:t>
      </w:r>
    </w:p>
    <w:bookmarkEnd w:id="277"/>
    <w:p w14:paraId="313781D9">
      <w:pPr>
        <w:pStyle w:val="30"/>
      </w:pPr>
      <w:bookmarkStart w:id="278" w:name="ref-Minna_2021"/>
      <w:r>
        <w:t xml:space="preserve">Minna, Francesco, Agathe Blaise, Filippo Rebecchi, Balakrishnan Chandrasekaran, and Fabio Massacci. 2021. “Understanding the Security Implications of Kubernetes Networking.” </w:t>
      </w:r>
      <w:r>
        <w:rPr>
          <w:i/>
          <w:iCs/>
        </w:rPr>
        <w:t>IEEE Security &amp; Privacy</w:t>
      </w:r>
      <w:r>
        <w:t xml:space="preserve"> 19 (5): 46–56. </w:t>
      </w:r>
      <w:r>
        <w:fldChar w:fldCharType="begin"/>
      </w:r>
      <w:r>
        <w:instrText xml:space="preserve"> HYPERLINK "https://doi.org/10.1109/MSEC.2021.3094726" \h </w:instrText>
      </w:r>
      <w:r>
        <w:fldChar w:fldCharType="separate"/>
      </w:r>
      <w:r>
        <w:rPr>
          <w:rStyle w:val="20"/>
        </w:rPr>
        <w:t>https://doi.org/10.1109/MSEC.2021.3094726</w:t>
      </w:r>
      <w:r>
        <w:rPr>
          <w:rStyle w:val="20"/>
        </w:rPr>
        <w:fldChar w:fldCharType="end"/>
      </w:r>
      <w:r>
        <w:t>.</w:t>
      </w:r>
    </w:p>
    <w:bookmarkEnd w:id="278"/>
    <w:p w14:paraId="439B0D41">
      <w:pPr>
        <w:pStyle w:val="30"/>
      </w:pPr>
      <w:bookmarkStart w:id="279" w:name="ref-minna2025analyzing"/>
      <w:r>
        <w:t xml:space="preserve">Minna, Francesco, Fabio Massacci, and Katja Tuma. 2025. “Analyzing and Mitigating (with LLMs) the Security Misconfigurations of Helm Charts from Artifact Hub.” </w:t>
      </w:r>
      <w:r>
        <w:rPr>
          <w:i/>
          <w:iCs/>
        </w:rPr>
        <w:t>Empirical Software Engineering</w:t>
      </w:r>
      <w:r>
        <w:t xml:space="preserve"> 30 (5): 132.</w:t>
      </w:r>
    </w:p>
    <w:bookmarkEnd w:id="279"/>
    <w:p w14:paraId="3D36AD91">
      <w:pPr>
        <w:pStyle w:val="30"/>
      </w:pPr>
      <w:bookmarkStart w:id="280" w:name="ref-molloy2012generative"/>
      <w:r>
        <w:t xml:space="preserve">Molloy, Ian, Youngja Park, and Suresh Chari. 2012. “Generative Models for Access Control Policies: Applications to Role Mining over Logs with Attribution.” </w:t>
      </w:r>
      <w:r>
        <w:rPr>
          <w:i/>
          <w:iCs/>
        </w:rPr>
        <w:t>Proceedings of the 17th ACM Symposium on Access Control Models and Technologies</w:t>
      </w:r>
      <w:r>
        <w:t xml:space="preserve"> (New York, NY, USA), 45–56. </w:t>
      </w:r>
      <w:r>
        <w:fldChar w:fldCharType="begin"/>
      </w:r>
      <w:r>
        <w:instrText xml:space="preserve"> HYPERLINK "https://doi.org/10.1145/2295136.2295145" \h </w:instrText>
      </w:r>
      <w:r>
        <w:fldChar w:fldCharType="separate"/>
      </w:r>
      <w:r>
        <w:rPr>
          <w:rStyle w:val="20"/>
        </w:rPr>
        <w:t>https://doi.org/10.1145/2295136.2295145</w:t>
      </w:r>
      <w:r>
        <w:rPr>
          <w:rStyle w:val="20"/>
        </w:rPr>
        <w:fldChar w:fldCharType="end"/>
      </w:r>
      <w:r>
        <w:t>.</w:t>
      </w:r>
    </w:p>
    <w:bookmarkEnd w:id="280"/>
    <w:p w14:paraId="65DC7D0E">
      <w:pPr>
        <w:pStyle w:val="30"/>
      </w:pPr>
      <w:bookmarkStart w:id="281" w:name="ref-paloalto2024"/>
      <w:r>
        <w:t xml:space="preserve">Networks, Palo Alto. 2022. </w:t>
      </w:r>
      <w:r>
        <w:rPr>
          <w:i/>
          <w:iCs/>
        </w:rPr>
        <w:t>Kubernetes Privilege Escalation: Excessive Permissions in Popular Platforms</w:t>
      </w:r>
      <w:r>
        <w:t xml:space="preserve">. Available online: </w:t>
      </w:r>
      <w:r>
        <w:fldChar w:fldCharType="begin"/>
      </w:r>
      <w:r>
        <w:instrText xml:space="preserve"> HYPERLINK "https://www.paloaltonetworks.com/resources/whitepapers/kubernetes-privilege-escalation-excessive-permissions-in-popular-platforms" \h </w:instrText>
      </w:r>
      <w:r>
        <w:fldChar w:fldCharType="separate"/>
      </w:r>
      <w:r>
        <w:rPr>
          <w:rStyle w:val="20"/>
        </w:rPr>
        <w:t>https://www.paloaltonetworks.com/resources/whitepapers/kubernetes-privilege-escalation-excessive-permissions-in-popular-platforms</w:t>
      </w:r>
      <w:r>
        <w:rPr>
          <w:rStyle w:val="20"/>
        </w:rPr>
        <w:fldChar w:fldCharType="end"/>
      </w:r>
      <w:r>
        <w:t xml:space="preserve">. </w:t>
      </w:r>
      <w:r>
        <w:fldChar w:fldCharType="begin"/>
      </w:r>
      <w:r>
        <w:instrText xml:space="preserve"> HYPERLINK "https://www.paloaltonetworks.com/resources/whitepapers/kubernetes-privilege-escalation-excessive-permissions-in-popular-platforms" \h </w:instrText>
      </w:r>
      <w:r>
        <w:fldChar w:fldCharType="separate"/>
      </w:r>
      <w:r>
        <w:rPr>
          <w:rStyle w:val="20"/>
        </w:rPr>
        <w:t>https://www.paloaltonetworks.com/resources/whitepapers/kubernetes-privilege-escalation-excessive-permissions-in-popular-platforms</w:t>
      </w:r>
      <w:r>
        <w:rPr>
          <w:rStyle w:val="20"/>
        </w:rPr>
        <w:fldChar w:fldCharType="end"/>
      </w:r>
      <w:r>
        <w:t>.</w:t>
      </w:r>
    </w:p>
    <w:bookmarkEnd w:id="281"/>
    <w:p w14:paraId="047EE7D5">
      <w:pPr>
        <w:pStyle w:val="30"/>
      </w:pPr>
      <w:bookmarkStart w:id="282" w:name="ref-o1995redundant"/>
      <w:r>
        <w:t xml:space="preserve">O’Shea, Greg. 1995. “Redundant Access Rights.” </w:t>
      </w:r>
      <w:r>
        <w:rPr>
          <w:i/>
          <w:iCs/>
        </w:rPr>
        <w:t>Computers &amp; Security</w:t>
      </w:r>
      <w:r>
        <w:t xml:space="preserve"> 14 (4): 323–48.</w:t>
      </w:r>
    </w:p>
    <w:bookmarkEnd w:id="282"/>
    <w:p w14:paraId="0F0E97C4">
      <w:pPr>
        <w:pStyle w:val="30"/>
      </w:pPr>
      <w:bookmarkStart w:id="283" w:name="ref-opa2025"/>
      <w:r>
        <w:t xml:space="preserve">Open Policy Agent (CNCF). 2025. </w:t>
      </w:r>
      <w:r>
        <w:rPr>
          <w:i/>
          <w:iCs/>
        </w:rPr>
        <w:t>Open Policy Agent: Policy-Based Control for Cloud Native Environments</w:t>
      </w:r>
      <w:r>
        <w:t xml:space="preserve">. Available online: </w:t>
      </w:r>
      <w:r>
        <w:fldChar w:fldCharType="begin"/>
      </w:r>
      <w:r>
        <w:instrText xml:space="preserve"> HYPERLINK "https://www.openpolicyagent.org/" \h </w:instrText>
      </w:r>
      <w:r>
        <w:fldChar w:fldCharType="separate"/>
      </w:r>
      <w:r>
        <w:rPr>
          <w:rStyle w:val="20"/>
        </w:rPr>
        <w:t>https://www.openpolicyagent.org/</w:t>
      </w:r>
      <w:r>
        <w:rPr>
          <w:rStyle w:val="20"/>
        </w:rPr>
        <w:fldChar w:fldCharType="end"/>
      </w:r>
      <w:r>
        <w:t xml:space="preserve">. </w:t>
      </w:r>
      <w:r>
        <w:fldChar w:fldCharType="begin"/>
      </w:r>
      <w:r>
        <w:instrText xml:space="preserve"> HYPERLINK "https://www.openpolicyagent.org/" \h </w:instrText>
      </w:r>
      <w:r>
        <w:fldChar w:fldCharType="separate"/>
      </w:r>
      <w:r>
        <w:rPr>
          <w:rStyle w:val="20"/>
        </w:rPr>
        <w:t>https://www.openpolicyagent.org/</w:t>
      </w:r>
      <w:r>
        <w:rPr>
          <w:rStyle w:val="20"/>
        </w:rPr>
        <w:fldChar w:fldCharType="end"/>
      </w:r>
      <w:r>
        <w:t>.</w:t>
      </w:r>
    </w:p>
    <w:bookmarkEnd w:id="283"/>
    <w:p w14:paraId="17DCAC2C">
      <w:pPr>
        <w:pStyle w:val="30"/>
      </w:pPr>
      <w:bookmarkStart w:id="284" w:name="ref-pecka2022privilege"/>
      <w:r>
        <w:t xml:space="preserve">Pecka, Nicholas, Lotfi Ben Othmane, and Altaz Valani. 2022. “Privilege Escalation Attack Scenarios on the DevOps Pipeline Within a Kubernetes Environment.” </w:t>
      </w:r>
      <w:r>
        <w:rPr>
          <w:i/>
          <w:iCs/>
        </w:rPr>
        <w:t>Proceedings of the International Conference on Software and System Processes and International Conference on Global Software Engineering</w:t>
      </w:r>
      <w:r>
        <w:t xml:space="preserve"> (New York, NY, USA), 45–49. </w:t>
      </w:r>
      <w:r>
        <w:fldChar w:fldCharType="begin"/>
      </w:r>
      <w:r>
        <w:instrText xml:space="preserve"> HYPERLINK "https://doi.org/10.1145/3529320.3529325" \h </w:instrText>
      </w:r>
      <w:r>
        <w:fldChar w:fldCharType="separate"/>
      </w:r>
      <w:r>
        <w:rPr>
          <w:rStyle w:val="20"/>
        </w:rPr>
        <w:t>https://doi.org/10.1145/3529320.3529325</w:t>
      </w:r>
      <w:r>
        <w:rPr>
          <w:rStyle w:val="20"/>
        </w:rPr>
        <w:fldChar w:fldCharType="end"/>
      </w:r>
      <w:r>
        <w:t>.</w:t>
      </w:r>
    </w:p>
    <w:bookmarkEnd w:id="284"/>
    <w:p w14:paraId="2B69A7EE">
      <w:pPr>
        <w:pStyle w:val="30"/>
      </w:pPr>
      <w:bookmarkStart w:id="285" w:name="ref-provos2003preventing"/>
      <w:r>
        <w:t xml:space="preserve">Provos, Niels, Markus Friedl, and Peter Honeyman. 2003. “Preventing Privilege Escalation.” </w:t>
      </w:r>
      <w:r>
        <w:rPr>
          <w:i/>
          <w:iCs/>
        </w:rPr>
        <w:t>Proceedings of the 12th USENIX Security Symposium</w:t>
      </w:r>
      <w:r>
        <w:t>.</w:t>
      </w:r>
    </w:p>
    <w:bookmarkEnd w:id="285"/>
    <w:p w14:paraId="1D56EF61">
      <w:pPr>
        <w:pStyle w:val="30"/>
      </w:pPr>
      <w:bookmarkStart w:id="286" w:name="ref-k8smanifests2023"/>
      <w:r>
        <w:t xml:space="preserve">Rahman, Akond, Shazibul Islam Shamim, Dibyendu Brinto Bose, and Rahul Pandita. 2023. “Security Misconfigurations in Open Source Kubernetes Manifests: An Empirical Study.” </w:t>
      </w:r>
      <w:r>
        <w:rPr>
          <w:i/>
          <w:iCs/>
        </w:rPr>
        <w:t>ACM Transactions on Software Engineering and Methodology</w:t>
      </w:r>
      <w:r>
        <w:t xml:space="preserve"> (New York, NY, USA) 32 (4). </w:t>
      </w:r>
      <w:r>
        <w:fldChar w:fldCharType="begin"/>
      </w:r>
      <w:r>
        <w:instrText xml:space="preserve"> HYPERLINK "https://doi.org/10.1145/3579639" \h </w:instrText>
      </w:r>
      <w:r>
        <w:fldChar w:fldCharType="separate"/>
      </w:r>
      <w:r>
        <w:rPr>
          <w:rStyle w:val="20"/>
        </w:rPr>
        <w:t>https://doi.org/10.1145/3579639</w:t>
      </w:r>
      <w:r>
        <w:rPr>
          <w:rStyle w:val="20"/>
        </w:rPr>
        <w:fldChar w:fldCharType="end"/>
      </w:r>
      <w:r>
        <w:t>.</w:t>
      </w:r>
    </w:p>
    <w:bookmarkEnd w:id="286"/>
    <w:p w14:paraId="340299FF">
      <w:pPr>
        <w:pStyle w:val="30"/>
      </w:pPr>
      <w:bookmarkStart w:id="287" w:name="ref-reimers2019sentencebert"/>
      <w:r>
        <w:t xml:space="preserve">Reimers, Nils, and Iryna Gurevych. 2019. “Sentence-BERT: Sentence Embeddings Using Siamese BERT-Networks.” </w:t>
      </w:r>
      <w:r>
        <w:rPr>
          <w:i/>
          <w:iCs/>
        </w:rPr>
        <w:t>Proceedings of the 2019 Conference on Empirical Methods in Natural Language Processing and the 9th International Joint Conference on Natural Language Processing(EMNLP-IJCNLP 2019)</w:t>
      </w:r>
      <w:r>
        <w:t>, 3982–92.</w:t>
      </w:r>
    </w:p>
    <w:bookmarkEnd w:id="287"/>
    <w:p w14:paraId="2E16FC05">
      <w:pPr>
        <w:pStyle w:val="30"/>
      </w:pPr>
      <w:bookmarkStart w:id="288" w:name="ref-saltzer1975protection"/>
      <w:r>
        <w:t xml:space="preserve">Saltzer, J. H., and M. D. Schroeder. 1975. “The Protection of Information in Computer Systems.” </w:t>
      </w:r>
      <w:r>
        <w:rPr>
          <w:i/>
          <w:iCs/>
        </w:rPr>
        <w:t>Proceedings of the IEEE</w:t>
      </w:r>
      <w:r>
        <w:t xml:space="preserve"> 63 (9): 1278–308. </w:t>
      </w:r>
      <w:r>
        <w:fldChar w:fldCharType="begin"/>
      </w:r>
      <w:r>
        <w:instrText xml:space="preserve"> HYPERLINK "https://doi.org/10.1109/PROC.1975.9939" \h </w:instrText>
      </w:r>
      <w:r>
        <w:fldChar w:fldCharType="separate"/>
      </w:r>
      <w:r>
        <w:rPr>
          <w:rStyle w:val="20"/>
        </w:rPr>
        <w:t>https://doi.org/10.1109/PROC.1975.9939</w:t>
      </w:r>
      <w:r>
        <w:rPr>
          <w:rStyle w:val="20"/>
        </w:rPr>
        <w:fldChar w:fldCharType="end"/>
      </w:r>
      <w:r>
        <w:t>.</w:t>
      </w:r>
    </w:p>
    <w:bookmarkEnd w:id="288"/>
    <w:p w14:paraId="6FF804B2">
      <w:pPr>
        <w:pStyle w:val="30"/>
      </w:pPr>
      <w:bookmarkStart w:id="289" w:name="ref-sanders2018minimizing"/>
      <w:r>
        <w:t xml:space="preserve">Sanders, Matthew W., and Chuan Yue. 2018. “Minimizing Privilege Assignment Errors in Cloud Services.” </w:t>
      </w:r>
      <w:r>
        <w:rPr>
          <w:i/>
          <w:iCs/>
        </w:rPr>
        <w:t>Proceedings of the Eighth ACM Conference on Data and Application Security and Privacy</w:t>
      </w:r>
      <w:r>
        <w:t xml:space="preserve"> (New York, NY, USA), 2–12. </w:t>
      </w:r>
      <w:r>
        <w:fldChar w:fldCharType="begin"/>
      </w:r>
      <w:r>
        <w:instrText xml:space="preserve"> HYPERLINK "https://doi.org/10.1145/3176258.3176307" \h </w:instrText>
      </w:r>
      <w:r>
        <w:fldChar w:fldCharType="separate"/>
      </w:r>
      <w:r>
        <w:rPr>
          <w:rStyle w:val="20"/>
        </w:rPr>
        <w:t>https://doi.org/10.1145/3176258.3176307</w:t>
      </w:r>
      <w:r>
        <w:rPr>
          <w:rStyle w:val="20"/>
        </w:rPr>
        <w:fldChar w:fldCharType="end"/>
      </w:r>
      <w:r>
        <w:t>.</w:t>
      </w:r>
    </w:p>
    <w:bookmarkEnd w:id="289"/>
    <w:p w14:paraId="121DED7B">
      <w:pPr>
        <w:pStyle w:val="30"/>
      </w:pPr>
      <w:bookmarkStart w:id="290" w:name="ref-sandhu1999arbac97"/>
      <w:r>
        <w:t xml:space="preserve">Sandhu, Ravi, Venkata Bhamidipati, and Qamar Munawer. 1998. “The ARBAC97 Model for Role-Based Administration of Roles.” </w:t>
      </w:r>
      <w:r>
        <w:rPr>
          <w:i/>
          <w:iCs/>
        </w:rPr>
        <w:t>Proceedings of the 14th Annual Computer Security Applications Conference</w:t>
      </w:r>
      <w:r>
        <w:t xml:space="preserve">, 332–39. </w:t>
      </w:r>
      <w:r>
        <w:fldChar w:fldCharType="begin"/>
      </w:r>
      <w:r>
        <w:instrText xml:space="preserve"> HYPERLINK "https://doi.org/10.1145/300830.300839" \h </w:instrText>
      </w:r>
      <w:r>
        <w:fldChar w:fldCharType="separate"/>
      </w:r>
      <w:r>
        <w:rPr>
          <w:rStyle w:val="20"/>
        </w:rPr>
        <w:t>https://doi.org/10.1145/300830.300839</w:t>
      </w:r>
      <w:r>
        <w:rPr>
          <w:rStyle w:val="20"/>
        </w:rPr>
        <w:fldChar w:fldCharType="end"/>
      </w:r>
      <w:r>
        <w:t>.</w:t>
      </w:r>
    </w:p>
    <w:bookmarkEnd w:id="290"/>
    <w:p w14:paraId="4EDB3348">
      <w:pPr>
        <w:pStyle w:val="30"/>
      </w:pPr>
      <w:bookmarkStart w:id="291" w:name="ref-Shamim_2021"/>
      <w:r>
        <w:t xml:space="preserve">Shamim, Shazibul Islam. 2021. “Mitigating Security Attacks in Kubernetes Manifests for Security Best Practices Violation.” </w:t>
      </w:r>
      <w:r>
        <w:rPr>
          <w:i/>
          <w:iCs/>
        </w:rPr>
        <w:t>Proceedings of the 29th ACM Joint Meeting on European Software Engineering Conference and Symposium on the Foundations of Software Engineering</w:t>
      </w:r>
      <w:r>
        <w:t xml:space="preserve"> (New York, NY, USA), 1689–90. </w:t>
      </w:r>
      <w:r>
        <w:fldChar w:fldCharType="begin"/>
      </w:r>
      <w:r>
        <w:instrText xml:space="preserve"> HYPERLINK "https://doi.org/10.1145/3468264.3473495" \h </w:instrText>
      </w:r>
      <w:r>
        <w:fldChar w:fldCharType="separate"/>
      </w:r>
      <w:r>
        <w:rPr>
          <w:rStyle w:val="20"/>
        </w:rPr>
        <w:t>https://doi.org/10.1145/3468264.3473495</w:t>
      </w:r>
      <w:r>
        <w:rPr>
          <w:rStyle w:val="20"/>
        </w:rPr>
        <w:fldChar w:fldCharType="end"/>
      </w:r>
      <w:r>
        <w:t>.</w:t>
      </w:r>
    </w:p>
    <w:bookmarkEnd w:id="291"/>
    <w:p w14:paraId="6D22F754">
      <w:pPr>
        <w:pStyle w:val="30"/>
      </w:pPr>
      <w:bookmarkStart w:id="292" w:name="ref-shamim2025dastk8s"/>
      <w:r>
        <w:t xml:space="preserve">Shamim, Shazibul Islam, Hanyang Hu, and Akond Rahman. 2025a. “Dynamic Application Security Testing for Kubernetes Deployment: An Experience Report from Industry.” </w:t>
      </w:r>
      <w:r>
        <w:rPr>
          <w:i/>
          <w:iCs/>
        </w:rPr>
        <w:t>Proceedings of the 33rd ACM International Conference on the Foundations of Software Engineering</w:t>
      </w:r>
      <w:r>
        <w:t xml:space="preserve"> (New York, NY, USA), 514–19. </w:t>
      </w:r>
      <w:r>
        <w:fldChar w:fldCharType="begin"/>
      </w:r>
      <w:r>
        <w:instrText xml:space="preserve"> HYPERLINK "https://doi.org/10.1145/3696630.3728573" \h </w:instrText>
      </w:r>
      <w:r>
        <w:fldChar w:fldCharType="separate"/>
      </w:r>
      <w:r>
        <w:rPr>
          <w:rStyle w:val="20"/>
        </w:rPr>
        <w:t>https://doi.org/10.1145/3696630.3728573</w:t>
      </w:r>
      <w:r>
        <w:rPr>
          <w:rStyle w:val="20"/>
        </w:rPr>
        <w:fldChar w:fldCharType="end"/>
      </w:r>
      <w:r>
        <w:t>.</w:t>
      </w:r>
    </w:p>
    <w:bookmarkEnd w:id="292"/>
    <w:p w14:paraId="70757B69">
      <w:pPr>
        <w:pStyle w:val="30"/>
      </w:pPr>
      <w:bookmarkStart w:id="293" w:name="ref-shamim2025prescription"/>
      <w:r>
        <w:t xml:space="preserve">Shamim, Shazibul Islam, Hanyang Hu, and Akond Rahman. 2025b. “On Prescription or Off Prescription? An Empirical Study of Community-Prescribed Security Configurations for Kubernetes.” </w:t>
      </w:r>
      <w:r>
        <w:rPr>
          <w:i/>
          <w:iCs/>
        </w:rPr>
        <w:t>Proceedings of the 2025 IEEE/ACM 47th International Conference on Software Engineering(ICSE 2025)</w:t>
      </w:r>
      <w:r>
        <w:t xml:space="preserve">, 2432–44. </w:t>
      </w:r>
      <w:r>
        <w:fldChar w:fldCharType="begin"/>
      </w:r>
      <w:r>
        <w:instrText xml:space="preserve"> HYPERLINK "https://doi.org/10.1109/ICSE55347.2025.00170" \h </w:instrText>
      </w:r>
      <w:r>
        <w:fldChar w:fldCharType="separate"/>
      </w:r>
      <w:r>
        <w:rPr>
          <w:rStyle w:val="20"/>
        </w:rPr>
        <w:t>https://doi.org/10.1109/ICSE55347.2025.00170</w:t>
      </w:r>
      <w:r>
        <w:rPr>
          <w:rStyle w:val="20"/>
        </w:rPr>
        <w:fldChar w:fldCharType="end"/>
      </w:r>
      <w:r>
        <w:t>.</w:t>
      </w:r>
    </w:p>
    <w:bookmarkEnd w:id="293"/>
    <w:p w14:paraId="6B5AC630">
      <w:pPr>
        <w:pStyle w:val="30"/>
      </w:pPr>
      <w:bookmarkStart w:id="294" w:name="ref-sharmeen2020adaptive"/>
      <w:r>
        <w:t xml:space="preserve">Sharmeen, S., S. Huda, J. H. Abawajy, and M. M. Hassan. 2020. “An Adaptive Framework Against Android Privilege Escalation Threats Using Deep Learning and Semi-Supervised Approaches.” </w:t>
      </w:r>
      <w:r>
        <w:rPr>
          <w:i/>
          <w:iCs/>
        </w:rPr>
        <w:t>Applied Soft Computing</w:t>
      </w:r>
      <w:r>
        <w:t>.</w:t>
      </w:r>
    </w:p>
    <w:bookmarkEnd w:id="294"/>
    <w:p w14:paraId="5357C78B">
      <w:pPr>
        <w:pStyle w:val="30"/>
      </w:pPr>
      <w:bookmarkStart w:id="295" w:name="ref-song2020mpnet"/>
      <w:r>
        <w:t xml:space="preserve">Song, Kaitao, Xu Tan, Tao Qin, Jianfeng Lu, and Tie-Yan Liu. 2020. “MPNet: Masked and Permuted Pre-Training for Language Understanding.” </w:t>
      </w:r>
      <w:r>
        <w:rPr>
          <w:i/>
          <w:iCs/>
        </w:rPr>
        <w:t>Advances in Neural Information Processing Systems</w:t>
      </w:r>
      <w:r>
        <w:t xml:space="preserve"> 33: 16857–67.</w:t>
      </w:r>
    </w:p>
    <w:bookmarkEnd w:id="295"/>
    <w:p w14:paraId="5D609F28">
      <w:pPr>
        <w:pStyle w:val="30"/>
      </w:pPr>
      <w:bookmarkStart w:id="296" w:name="ref-spearman1961proof"/>
      <w:r>
        <w:t xml:space="preserve">Spearman, C. 1904. “The Proof and Measurement of Association Between Two Things.” </w:t>
      </w:r>
      <w:r>
        <w:rPr>
          <w:i/>
          <w:iCs/>
        </w:rPr>
        <w:t>The American Journal of Psychology</w:t>
      </w:r>
      <w:r>
        <w:t xml:space="preserve"> 15 (1): 72–101. </w:t>
      </w:r>
      <w:r>
        <w:fldChar w:fldCharType="begin"/>
      </w:r>
      <w:r>
        <w:instrText xml:space="preserve"> HYPERLINK "http://www.jstor.org/stable/1412159" \h </w:instrText>
      </w:r>
      <w:r>
        <w:fldChar w:fldCharType="separate"/>
      </w:r>
      <w:r>
        <w:rPr>
          <w:rStyle w:val="20"/>
        </w:rPr>
        <w:t>http://www.jstor.org/stable/1412159</w:t>
      </w:r>
      <w:r>
        <w:rPr>
          <w:rStyle w:val="20"/>
        </w:rPr>
        <w:fldChar w:fldCharType="end"/>
      </w:r>
      <w:r>
        <w:t>.</w:t>
      </w:r>
    </w:p>
    <w:bookmarkEnd w:id="296"/>
    <w:p w14:paraId="6B263EEC">
      <w:pPr>
        <w:pStyle w:val="30"/>
      </w:pPr>
      <w:bookmarkStart w:id="297" w:name="ref-kubeguard_icws2025"/>
      <w:r>
        <w:t xml:space="preserve">Sun, Chang-ai, Xiaoyang Han, and Yufei Gong. 2025. “KubeGuard: A Systematic Permission-Oriented Risk Detection Approach for Kubernetes Applications.” </w:t>
      </w:r>
      <w:r>
        <w:rPr>
          <w:i/>
          <w:iCs/>
        </w:rPr>
        <w:t>Proceedings of the 2025 IEEE International Conference on Web Services(ICWS 2025)</w:t>
      </w:r>
      <w:r>
        <w:t xml:space="preserve">, 855–65. </w:t>
      </w:r>
      <w:r>
        <w:fldChar w:fldCharType="begin"/>
      </w:r>
      <w:r>
        <w:instrText xml:space="preserve"> HYPERLINK "https://doi.org/10.1109/ICWS67624.2025.00111" \h </w:instrText>
      </w:r>
      <w:r>
        <w:fldChar w:fldCharType="separate"/>
      </w:r>
      <w:r>
        <w:rPr>
          <w:rStyle w:val="20"/>
        </w:rPr>
        <w:t>https://doi.org/10.1109/ICWS67624.2025.00111</w:t>
      </w:r>
      <w:r>
        <w:rPr>
          <w:rStyle w:val="20"/>
        </w:rPr>
        <w:fldChar w:fldCharType="end"/>
      </w:r>
      <w:r>
        <w:t>.</w:t>
      </w:r>
    </w:p>
    <w:bookmarkEnd w:id="297"/>
    <w:p w14:paraId="0FCCC0F0">
      <w:pPr>
        <w:pStyle w:val="30"/>
      </w:pPr>
      <w:bookmarkStart w:id="298" w:name="ref-tripp2009taj"/>
      <w:r>
        <w:t xml:space="preserve">Tripp, Omer, Marco Pistoia, Stephen J. Fink, Manu Sridharan, and Omri Weisman. 2009. “TAJ: Effective Taint Analysis of Web Applications.” </w:t>
      </w:r>
      <w:r>
        <w:rPr>
          <w:i/>
          <w:iCs/>
        </w:rPr>
        <w:t>Proceedings of the 30th ACM SIGPLAN Conference on Programming Language Design and Implementation(PLDI 2009)</w:t>
      </w:r>
      <w:r>
        <w:t xml:space="preserve"> (New York, NY, USA), 87–97. </w:t>
      </w:r>
      <w:r>
        <w:fldChar w:fldCharType="begin"/>
      </w:r>
      <w:r>
        <w:instrText xml:space="preserve"> HYPERLINK "https://doi.org/10.1145/1542476.1542486" \h </w:instrText>
      </w:r>
      <w:r>
        <w:fldChar w:fldCharType="separate"/>
      </w:r>
      <w:r>
        <w:rPr>
          <w:rStyle w:val="20"/>
        </w:rPr>
        <w:t>https://doi.org/10.1145/1542476.1542486</w:t>
      </w:r>
      <w:r>
        <w:rPr>
          <w:rStyle w:val="20"/>
        </w:rPr>
        <w:fldChar w:fldCharType="end"/>
      </w:r>
      <w:r>
        <w:t>.</w:t>
      </w:r>
    </w:p>
    <w:bookmarkEnd w:id="298"/>
    <w:p w14:paraId="34BF4D71">
      <w:pPr>
        <w:pStyle w:val="30"/>
      </w:pPr>
      <w:bookmarkStart w:id="299" w:name="ref-KGSecConfig2022"/>
      <w:r>
        <w:t xml:space="preserve">Ul Haque, Mubin, M. Mehdi Kholoosi, and M. Ali Babar. 2022. “KGSecConfig: A Knowledge Graph Based Approach for Secured Container Orchestrator Configuration.” </w:t>
      </w:r>
      <w:r>
        <w:rPr>
          <w:i/>
          <w:iCs/>
        </w:rPr>
        <w:t>Proceedings of the 2022 IEEE International Conference on Software Analysis, Evolution and Reengineering(SANER 2022)</w:t>
      </w:r>
      <w:r>
        <w:t xml:space="preserve">, 420–31. </w:t>
      </w:r>
      <w:r>
        <w:fldChar w:fldCharType="begin"/>
      </w:r>
      <w:r>
        <w:instrText xml:space="preserve"> HYPERLINK "https://doi.org/10.1109/SANER53432.2022.00057" \h </w:instrText>
      </w:r>
      <w:r>
        <w:fldChar w:fldCharType="separate"/>
      </w:r>
      <w:r>
        <w:rPr>
          <w:rStyle w:val="20"/>
        </w:rPr>
        <w:t>https://doi.org/10.1109/SANER53432.2022.00057</w:t>
      </w:r>
      <w:r>
        <w:rPr>
          <w:rStyle w:val="20"/>
        </w:rPr>
        <w:fldChar w:fldCharType="end"/>
      </w:r>
      <w:r>
        <w:t>.</w:t>
      </w:r>
    </w:p>
    <w:bookmarkEnd w:id="299"/>
    <w:p w14:paraId="19FFAA31">
      <w:pPr>
        <w:pStyle w:val="30"/>
      </w:pPr>
      <w:bookmarkStart w:id="300" w:name="ref-velez2025writing"/>
      <w:r>
        <w:t xml:space="preserve">Velez, Jorge et al. 2025. “Evaluating Large Language Models as Raters in Large-Scale Writing Assessments.” </w:t>
      </w:r>
      <w:r>
        <w:rPr>
          <w:i/>
          <w:iCs/>
        </w:rPr>
        <w:t>Learning and Instruction</w:t>
      </w:r>
      <w:r>
        <w:t>.</w:t>
      </w:r>
    </w:p>
    <w:bookmarkEnd w:id="300"/>
    <w:p w14:paraId="7BB1DFA5">
      <w:pPr>
        <w:pStyle w:val="30"/>
      </w:pPr>
      <w:bookmarkStart w:id="301" w:name="ref-Verma_2015"/>
      <w:r>
        <w:t xml:space="preserve">Verma, Abhishek, Luis Pedrosa, Madhukar Korupolu, David Oppenheimer, Eric Tune, and John Wilkes. 2015. “Large-Scale Cluster Management at Google with Borg.” </w:t>
      </w:r>
      <w:r>
        <w:rPr>
          <w:i/>
          <w:iCs/>
        </w:rPr>
        <w:t>Proceedings of the Tenth European Conference on Computer Systems</w:t>
      </w:r>
      <w:r>
        <w:t xml:space="preserve">, April, 1–17. </w:t>
      </w:r>
      <w:r>
        <w:fldChar w:fldCharType="begin"/>
      </w:r>
      <w:r>
        <w:instrText xml:space="preserve"> HYPERLINK "https://doi.org/10.1145/2741948.2741964" \h </w:instrText>
      </w:r>
      <w:r>
        <w:fldChar w:fldCharType="separate"/>
      </w:r>
      <w:r>
        <w:rPr>
          <w:rStyle w:val="20"/>
        </w:rPr>
        <w:t>https://doi.org/10.1145/2741948.2741964</w:t>
      </w:r>
      <w:r>
        <w:rPr>
          <w:rStyle w:val="20"/>
        </w:rPr>
        <w:fldChar w:fldCharType="end"/>
      </w:r>
      <w:r>
        <w:t>.</w:t>
      </w:r>
    </w:p>
    <w:bookmarkEnd w:id="301"/>
    <w:p w14:paraId="169696A0">
      <w:pPr>
        <w:pStyle w:val="30"/>
      </w:pPr>
      <w:bookmarkStart w:id="302" w:name="ref-wang2023fair"/>
      <w:r>
        <w:t xml:space="preserve">Wang, Peiyi, Lei Li, et al. 2023. </w:t>
      </w:r>
      <w:r>
        <w:rPr>
          <w:i/>
          <w:iCs/>
        </w:rPr>
        <w:t>Large Language Models Are Not Fair Evaluators</w:t>
      </w:r>
      <w:r>
        <w:t xml:space="preserve">. </w:t>
      </w:r>
      <w:r>
        <w:fldChar w:fldCharType="begin"/>
      </w:r>
      <w:r>
        <w:instrText xml:space="preserve"> HYPERLINK "https://arxiv.org/abs/2305.17926" \h </w:instrText>
      </w:r>
      <w:r>
        <w:fldChar w:fldCharType="separate"/>
      </w:r>
      <w:r>
        <w:rPr>
          <w:rStyle w:val="20"/>
        </w:rPr>
        <w:t>https://arxiv.org/abs/2305.17926</w:t>
      </w:r>
      <w:r>
        <w:rPr>
          <w:rStyle w:val="20"/>
        </w:rPr>
        <w:fldChar w:fldCharType="end"/>
      </w:r>
      <w:r>
        <w:t>.</w:t>
      </w:r>
    </w:p>
    <w:bookmarkEnd w:id="302"/>
    <w:p w14:paraId="66343C1F">
      <w:pPr>
        <w:pStyle w:val="30"/>
      </w:pPr>
      <w:bookmarkStart w:id="303" w:name="ref-wang2025trustjudge"/>
      <w:r>
        <w:t xml:space="preserve">Wang, Yidong, Yunze Song, Tingyuan Zhu, et al. 2025. </w:t>
      </w:r>
      <w:r>
        <w:rPr>
          <w:i/>
          <w:iCs/>
        </w:rPr>
        <w:t>TRUSTJUDGE: Inconsistencies of LLM-as-a-Judge and How to Alleviate Them</w:t>
      </w:r>
      <w:r>
        <w:t xml:space="preserve">. </w:t>
      </w:r>
      <w:r>
        <w:fldChar w:fldCharType="begin"/>
      </w:r>
      <w:r>
        <w:instrText xml:space="preserve"> HYPERLINK "https://arxiv.org/abs/2509.21117" \h </w:instrText>
      </w:r>
      <w:r>
        <w:fldChar w:fldCharType="separate"/>
      </w:r>
      <w:r>
        <w:rPr>
          <w:rStyle w:val="20"/>
        </w:rPr>
        <w:t>https://arxiv.org/abs/2509.21117</w:t>
      </w:r>
      <w:r>
        <w:rPr>
          <w:rStyle w:val="20"/>
        </w:rPr>
        <w:fldChar w:fldCharType="end"/>
      </w:r>
      <w:r>
        <w:t>.</w:t>
      </w:r>
    </w:p>
    <w:bookmarkEnd w:id="303"/>
    <w:p w14:paraId="70570393">
      <w:pPr>
        <w:pStyle w:val="30"/>
      </w:pPr>
      <w:bookmarkStart w:id="304" w:name="ref-watson2015cheri"/>
      <w:r>
        <w:t xml:space="preserve">Watson, Robert N. M., Jonathan Woodruff, Peter G. Neumann, et al. 2015. “CHERI: A Hybrid Capability-System Architecture for Scalable Software Compartmentalization.” </w:t>
      </w:r>
      <w:r>
        <w:rPr>
          <w:i/>
          <w:iCs/>
        </w:rPr>
        <w:t>IEEE Symposium on Security and Privacy</w:t>
      </w:r>
      <w:r>
        <w:t xml:space="preserve">, 20–37. </w:t>
      </w:r>
      <w:r>
        <w:fldChar w:fldCharType="begin"/>
      </w:r>
      <w:r>
        <w:instrText xml:space="preserve"> HYPERLINK "https://doi.org/10.1109/SP.2015.9" \h </w:instrText>
      </w:r>
      <w:r>
        <w:fldChar w:fldCharType="separate"/>
      </w:r>
      <w:r>
        <w:rPr>
          <w:rStyle w:val="20"/>
        </w:rPr>
        <w:t>https://doi.org/10.1109/SP.2015.9</w:t>
      </w:r>
      <w:r>
        <w:rPr>
          <w:rStyle w:val="20"/>
        </w:rPr>
        <w:fldChar w:fldCharType="end"/>
      </w:r>
      <w:r>
        <w:t>.</w:t>
      </w:r>
    </w:p>
    <w:bookmarkEnd w:id="304"/>
    <w:p w14:paraId="16F34799">
      <w:pPr>
        <w:pStyle w:val="30"/>
      </w:pPr>
      <w:bookmarkStart w:id="305" w:name="ref-wright2006versatility"/>
      <w:r>
        <w:t xml:space="preserve">Wright, Charles P., Jay Dave, Puja Gupta, et al. 2006. “Versatility and Unix Semantics in Namespace Unification.” </w:t>
      </w:r>
      <w:r>
        <w:rPr>
          <w:i/>
          <w:iCs/>
        </w:rPr>
        <w:t>ACM Transactions on Storage</w:t>
      </w:r>
      <w:r>
        <w:t xml:space="preserve"> (New York, NY, USA) 2 (1): 74–105. </w:t>
      </w:r>
      <w:r>
        <w:fldChar w:fldCharType="begin"/>
      </w:r>
      <w:r>
        <w:instrText xml:space="preserve"> HYPERLINK "https://doi.org/10.1145/1138041.1138045" \h </w:instrText>
      </w:r>
      <w:r>
        <w:fldChar w:fldCharType="separate"/>
      </w:r>
      <w:r>
        <w:rPr>
          <w:rStyle w:val="20"/>
        </w:rPr>
        <w:t>https://doi.org/10.1145/1138041.1138045</w:t>
      </w:r>
      <w:r>
        <w:rPr>
          <w:rStyle w:val="20"/>
        </w:rPr>
        <w:fldChar w:fldCharType="end"/>
      </w:r>
      <w:r>
        <w:t>.</w:t>
      </w:r>
    </w:p>
    <w:bookmarkEnd w:id="305"/>
    <w:p w14:paraId="79C01658">
      <w:pPr>
        <w:pStyle w:val="30"/>
      </w:pPr>
      <w:bookmarkStart w:id="306" w:name="ref-wu2016seccomp"/>
      <w:r>
        <w:t xml:space="preserve">Wu, Daoyuan, Debin Gao, Yingjiu Li, and Robert H Deng. 2016. “SecComp: Towards Practically Defending Against Component Hijacking in Android Applications.” </w:t>
      </w:r>
      <w:r>
        <w:rPr>
          <w:i/>
          <w:iCs/>
        </w:rPr>
        <w:t>Proceedings of the 32nd Annual Conference on Computer Security Applications(ACSAC 2016)</w:t>
      </w:r>
      <w:r>
        <w:t>.</w:t>
      </w:r>
    </w:p>
    <w:bookmarkEnd w:id="306"/>
    <w:p w14:paraId="7830746A">
      <w:pPr>
        <w:pStyle w:val="30"/>
      </w:pPr>
      <w:bookmarkStart w:id="307" w:name="ref-wu2024scoring"/>
      <w:r>
        <w:t xml:space="preserve">Wu, Xuansheng, Padmaja Pravin Saraf, Gyeonggeon Lee, Ehsan Latif, Ninghao Liu, and Xiaoming Zhai. 2025. “Unveiling Scoring Processes: Dissecting the Differences Between LLMs and Human Graders in Automatic Scoring.” </w:t>
      </w:r>
      <w:r>
        <w:rPr>
          <w:i/>
          <w:iCs/>
        </w:rPr>
        <w:t>Technology, Knowledge and Learning</w:t>
      </w:r>
      <w:r>
        <w:t>, 1–16.</w:t>
      </w:r>
    </w:p>
    <w:bookmarkEnd w:id="307"/>
    <w:p w14:paraId="1EA73F85">
      <w:pPr>
        <w:pStyle w:val="30"/>
      </w:pPr>
      <w:bookmarkStart w:id="308" w:name="ref-yang2023take"/>
      <w:r>
        <w:t xml:space="preserve">Yang, Nanzi, Wenbo Shen, Jinku Li, Xunqi Liu, Xin Guo, and Jianfeng Ma. 2023. “Take over the Whole Cluster: Attacking Kubernetes via Excessive Permissions of Third-Party Applications.” </w:t>
      </w:r>
      <w:r>
        <w:rPr>
          <w:i/>
          <w:iCs/>
        </w:rPr>
        <w:t>Proceedings of the 2023 ACM SIGSAC Conference on Computer and Communications Security</w:t>
      </w:r>
      <w:r>
        <w:t xml:space="preserve"> (New York, NY, USA), 3048–62. </w:t>
      </w:r>
      <w:r>
        <w:fldChar w:fldCharType="begin"/>
      </w:r>
      <w:r>
        <w:instrText xml:space="preserve"> HYPERLINK "https://doi.org/10.1145/3576915.3623121" \h </w:instrText>
      </w:r>
      <w:r>
        <w:fldChar w:fldCharType="separate"/>
      </w:r>
      <w:r>
        <w:rPr>
          <w:rStyle w:val="20"/>
        </w:rPr>
        <w:t>https://doi.org/10.1145/3576915.3623121</w:t>
      </w:r>
      <w:r>
        <w:rPr>
          <w:rStyle w:val="20"/>
        </w:rPr>
        <w:fldChar w:fldCharType="end"/>
      </w:r>
      <w:r>
        <w:t>.</w:t>
      </w:r>
    </w:p>
    <w:bookmarkEnd w:id="308"/>
    <w:p w14:paraId="3BBA7522">
      <w:pPr>
        <w:pStyle w:val="30"/>
      </w:pPr>
      <w:bookmarkStart w:id="309" w:name="X8885451ac90bd1e3442cf2edc9c0972595479d8"/>
      <w:r>
        <w:t xml:space="preserve">Yang, Ruozhao, Mingfei Cheng, Gelei Deng, Junjie Wang, Tianwei Zhang, and Xiaofei Xie. 2026. </w:t>
      </w:r>
      <w:r>
        <w:rPr>
          <w:i/>
          <w:iCs/>
        </w:rPr>
        <w:t>AutoEG: Exploiting Known Third-Party Vulnerabilities in Black-Box Web Applications</w:t>
      </w:r>
      <w:r>
        <w:t xml:space="preserve">. </w:t>
      </w:r>
      <w:r>
        <w:fldChar w:fldCharType="begin"/>
      </w:r>
      <w:r>
        <w:instrText xml:space="preserve"> HYPERLINK "https://arxiv.org/abs/2604.00704" \h </w:instrText>
      </w:r>
      <w:r>
        <w:fldChar w:fldCharType="separate"/>
      </w:r>
      <w:r>
        <w:rPr>
          <w:rStyle w:val="20"/>
        </w:rPr>
        <w:t>https://arxiv.org/abs/2604.00704</w:t>
      </w:r>
      <w:r>
        <w:rPr>
          <w:rStyle w:val="20"/>
        </w:rPr>
        <w:fldChar w:fldCharType="end"/>
      </w:r>
      <w:r>
        <w:t>.</w:t>
      </w:r>
    </w:p>
    <w:bookmarkEnd w:id="309"/>
    <w:p w14:paraId="70EFFB0D">
      <w:pPr>
        <w:pStyle w:val="30"/>
      </w:pPr>
      <w:bookmarkStart w:id="310" w:name="ref-yin2024multitask"/>
      <w:r>
        <w:t xml:space="preserve">Yin, Xin, Chao Ni, and Shaohua Wang. 2024. “Multitask-Based Evaluation of Open-Source LLM on Software Vulnerability.” </w:t>
      </w:r>
      <w:r>
        <w:rPr>
          <w:i/>
          <w:iCs/>
        </w:rPr>
        <w:t>IEEE Transactions on Software Engineering</w:t>
      </w:r>
      <w:r>
        <w:t xml:space="preserve"> 50 (11): 3071–87. </w:t>
      </w:r>
      <w:r>
        <w:fldChar w:fldCharType="begin"/>
      </w:r>
      <w:r>
        <w:instrText xml:space="preserve"> HYPERLINK "https://doi.org/10.1109/TSE.2024.3470333" \h </w:instrText>
      </w:r>
      <w:r>
        <w:fldChar w:fldCharType="separate"/>
      </w:r>
      <w:r>
        <w:rPr>
          <w:rStyle w:val="20"/>
        </w:rPr>
        <w:t>https://doi.org/10.1109/TSE.2024.3470333</w:t>
      </w:r>
      <w:r>
        <w:rPr>
          <w:rStyle w:val="20"/>
        </w:rPr>
        <w:fldChar w:fldCharType="end"/>
      </w:r>
      <w:r>
        <w:t>.</w:t>
      </w:r>
    </w:p>
    <w:bookmarkEnd w:id="310"/>
    <w:p w14:paraId="64F4C914">
      <w:pPr>
        <w:pStyle w:val="30"/>
      </w:pPr>
      <w:bookmarkStart w:id="311" w:name="ref-you2017taintman"/>
      <w:r>
        <w:t xml:space="preserve">You, Wei, Bin Liang, Wenchang Shi, Peng Wang, and Xiangyu Zhang. 2020. “TaintMan: An ART-Compatible Dynamic Taint Analysis Framework on Unmodified and Non-Rooted Android Devices.” </w:t>
      </w:r>
      <w:r>
        <w:rPr>
          <w:i/>
          <w:iCs/>
        </w:rPr>
        <w:t>IEEE Transactions on Dependable and Secure Computing</w:t>
      </w:r>
      <w:r>
        <w:t xml:space="preserve"> 17 (1): 209–22. </w:t>
      </w:r>
      <w:r>
        <w:fldChar w:fldCharType="begin"/>
      </w:r>
      <w:r>
        <w:instrText xml:space="preserve"> HYPERLINK "https://doi.org/10.1109/TDSC.2017.2740169" \h </w:instrText>
      </w:r>
      <w:r>
        <w:fldChar w:fldCharType="separate"/>
      </w:r>
      <w:r>
        <w:rPr>
          <w:rStyle w:val="20"/>
        </w:rPr>
        <w:t>https://doi.org/10.1109/TDSC.2017.2740169</w:t>
      </w:r>
      <w:r>
        <w:rPr>
          <w:rStyle w:val="20"/>
        </w:rPr>
        <w:fldChar w:fldCharType="end"/>
      </w:r>
      <w:r>
        <w:t>.</w:t>
      </w:r>
    </w:p>
    <w:bookmarkEnd w:id="311"/>
    <w:p w14:paraId="182620C7">
      <w:pPr>
        <w:pStyle w:val="30"/>
      </w:pPr>
      <w:bookmarkStart w:id="312" w:name="ref-Zerouali_2023"/>
      <w:r>
        <w:t xml:space="preserve">Zerouali, Ahmed, Ruben Opdebeeck, and Coen De Roover. 2023. “Helm Charts for Kubernetes Applications: Evolution, Outdatedness and Security Risks.” </w:t>
      </w:r>
      <w:r>
        <w:rPr>
          <w:i/>
          <w:iCs/>
        </w:rPr>
        <w:t>Proceedings of the 2023 IEEE/ACM 20th International Conference on Mining Software Repositories(MSR 2023)</w:t>
      </w:r>
      <w:r>
        <w:t xml:space="preserve">, May, 523–33. </w:t>
      </w:r>
      <w:r>
        <w:fldChar w:fldCharType="begin"/>
      </w:r>
      <w:r>
        <w:instrText xml:space="preserve"> HYPERLINK "https://doi.org/10.1109/MSR59073.2023.00078" \h </w:instrText>
      </w:r>
      <w:r>
        <w:fldChar w:fldCharType="separate"/>
      </w:r>
      <w:r>
        <w:rPr>
          <w:rStyle w:val="20"/>
        </w:rPr>
        <w:t>https://doi.org/10.1109/MSR59073.2023.00078</w:t>
      </w:r>
      <w:r>
        <w:rPr>
          <w:rStyle w:val="20"/>
        </w:rPr>
        <w:fldChar w:fldCharType="end"/>
      </w:r>
      <w:r>
        <w:t>.</w:t>
      </w:r>
    </w:p>
    <w:bookmarkEnd w:id="312"/>
    <w:p w14:paraId="70DE25F4">
      <w:pPr>
        <w:pStyle w:val="30"/>
      </w:pPr>
      <w:bookmarkStart w:id="313" w:name="ref-zhang2025defenderbench"/>
      <w:r>
        <w:t xml:space="preserve">Zhang, Chiyu, Marc-Alexandre Cote, Michael Albada, et al. 2025. </w:t>
      </w:r>
      <w:r>
        <w:rPr>
          <w:i/>
          <w:iCs/>
        </w:rPr>
        <w:t>DefenderBench: A Toolkit for Evaluating Language Agents in Cybersecurity Environments</w:t>
      </w:r>
      <w:r>
        <w:t xml:space="preserve">. </w:t>
      </w:r>
      <w:r>
        <w:fldChar w:fldCharType="begin"/>
      </w:r>
      <w:r>
        <w:instrText xml:space="preserve"> HYPERLINK "https://arxiv.org/abs/2506.00739" \h </w:instrText>
      </w:r>
      <w:r>
        <w:fldChar w:fldCharType="separate"/>
      </w:r>
      <w:r>
        <w:rPr>
          <w:rStyle w:val="20"/>
        </w:rPr>
        <w:t>https://arxiv.org/abs/2506.00739</w:t>
      </w:r>
      <w:r>
        <w:rPr>
          <w:rStyle w:val="20"/>
        </w:rPr>
        <w:fldChar w:fldCharType="end"/>
      </w:r>
      <w:r>
        <w:t>.</w:t>
      </w:r>
    </w:p>
    <w:bookmarkEnd w:id="313"/>
    <w:p w14:paraId="44052655">
      <w:pPr>
        <w:pStyle w:val="30"/>
      </w:pPr>
      <w:bookmarkStart w:id="314" w:name="ref-zhong2024ddd"/>
      <w:r>
        <w:t xml:space="preserve">Zhong, Chenxing, Shanshan Li, Huang Huang, et al. 2024. “Domain-Driven Design for Microservices: An Evidence-Based Investigation.” </w:t>
      </w:r>
      <w:r>
        <w:rPr>
          <w:i/>
          <w:iCs/>
        </w:rPr>
        <w:t>IEEE Transactions on Software Engineering</w:t>
      </w:r>
      <w:r>
        <w:t xml:space="preserve"> 50 (6): 1425–49. </w:t>
      </w:r>
      <w:r>
        <w:fldChar w:fldCharType="begin"/>
      </w:r>
      <w:r>
        <w:instrText xml:space="preserve"> HYPERLINK "https://doi.org/10.1109/TSE.2024.3385835" \h </w:instrText>
      </w:r>
      <w:r>
        <w:fldChar w:fldCharType="separate"/>
      </w:r>
      <w:r>
        <w:rPr>
          <w:rStyle w:val="20"/>
        </w:rPr>
        <w:t>https://doi.org/10.1109/TSE.2024.3385835</w:t>
      </w:r>
      <w:r>
        <w:rPr>
          <w:rStyle w:val="20"/>
        </w:rPr>
        <w:fldChar w:fldCharType="end"/>
      </w:r>
      <w:r>
        <w:t>.</w:t>
      </w:r>
    </w:p>
    <w:bookmarkEnd w:id="314"/>
    <w:p w14:paraId="1CE9CDB3">
      <w:pPr>
        <w:pStyle w:val="30"/>
      </w:pPr>
      <w:bookmarkStart w:id="315" w:name="ref-Zhu_2022"/>
      <w:r>
        <w:t xml:space="preserve">Zhu, Hui, and Christian Gehrmann. 2022. “Kub-Sec, an Automatic Kubernetes Cluster AppArmor Profile Generation Engine.” </w:t>
      </w:r>
      <w:r>
        <w:rPr>
          <w:i/>
          <w:iCs/>
        </w:rPr>
        <w:t>Proceedings of the 2022 14th International Conference on COMmunication Systems &amp; NETworkS(COMSNETS 2022)</w:t>
      </w:r>
      <w:r>
        <w:t xml:space="preserve">, January, 129–37. </w:t>
      </w:r>
      <w:r>
        <w:fldChar w:fldCharType="begin"/>
      </w:r>
      <w:r>
        <w:instrText xml:space="preserve"> HYPERLINK "https://doi.org/10.1109/COMSNETS53615.2022.9668504" \h </w:instrText>
      </w:r>
      <w:r>
        <w:fldChar w:fldCharType="separate"/>
      </w:r>
      <w:r>
        <w:rPr>
          <w:rStyle w:val="20"/>
        </w:rPr>
        <w:t>https://doi.org/10.1109/COMSNETS53615.2022.9668504</w:t>
      </w:r>
      <w:r>
        <w:rPr>
          <w:rStyle w:val="20"/>
        </w:rPr>
        <w:fldChar w:fldCharType="end"/>
      </w:r>
      <w:r>
        <w:t>.</w:t>
      </w:r>
    </w:p>
    <w:bookmarkEnd w:id="315"/>
    <w:p w14:paraId="522C1E5B">
      <w:pPr>
        <w:pStyle w:val="30"/>
      </w:pPr>
      <w:bookmarkStart w:id="316" w:name="ref-zhu2025teamsllmagentsexploit"/>
      <w:r>
        <w:t xml:space="preserve">Zhu, Yuxuan, Antony Kellermann, Akul Gupta, et al. 2025. </w:t>
      </w:r>
      <w:r>
        <w:rPr>
          <w:i/>
          <w:iCs/>
        </w:rPr>
        <w:t>Teams of LLM Agents Can Exploit Zero-Day Vulnerabilities</w:t>
      </w:r>
      <w:r>
        <w:t xml:space="preserve">. </w:t>
      </w:r>
      <w:r>
        <w:fldChar w:fldCharType="begin"/>
      </w:r>
      <w:r>
        <w:instrText xml:space="preserve"> HYPERLINK "https://arxiv.org/abs/2406.01637" \h </w:instrText>
      </w:r>
      <w:r>
        <w:fldChar w:fldCharType="separate"/>
      </w:r>
      <w:r>
        <w:rPr>
          <w:rStyle w:val="20"/>
        </w:rPr>
        <w:t>https://arxiv.org/abs/2406.01637</w:t>
      </w:r>
      <w:r>
        <w:rPr>
          <w:rStyle w:val="20"/>
        </w:rPr>
        <w:fldChar w:fldCharType="end"/>
      </w:r>
      <w:r>
        <w:t>.</w:t>
      </w:r>
    </w:p>
    <w:bookmarkEnd w:id="316"/>
    <w:p w14:paraId="718D7350">
      <w:pPr>
        <w:pStyle w:val="30"/>
      </w:pPr>
      <w:bookmarkStart w:id="317" w:name="ref-wuyiwen2023docker"/>
      <w:r>
        <w:rPr>
          <w:rFonts w:hint="eastAsia"/>
        </w:rPr>
        <w:t>吴逸文,</w:t>
      </w:r>
      <w:r>
        <w:t xml:space="preserve"> </w:t>
      </w:r>
      <w:r>
        <w:rPr>
          <w:rFonts w:hint="eastAsia"/>
        </w:rPr>
        <w:t>张洋,</w:t>
      </w:r>
      <w:r>
        <w:t xml:space="preserve"> </w:t>
      </w:r>
      <w:r>
        <w:rPr>
          <w:rFonts w:hint="eastAsia"/>
        </w:rPr>
        <w:t>王涛,</w:t>
      </w:r>
      <w:r>
        <w:t xml:space="preserve"> and </w:t>
      </w:r>
      <w:r>
        <w:rPr>
          <w:rFonts w:hint="eastAsia"/>
        </w:rPr>
        <w:t>王怀民.</w:t>
      </w:r>
      <w:r>
        <w:t xml:space="preserve"> 2023. </w:t>
      </w:r>
      <w:r>
        <w:rPr>
          <w:rFonts w:hint="eastAsia"/>
        </w:rPr>
        <w:t>“从</w:t>
      </w:r>
      <w:r>
        <w:t xml:space="preserve"> Docker </w:t>
      </w:r>
      <w:r>
        <w:rPr>
          <w:rFonts w:hint="eastAsia"/>
        </w:rPr>
        <w:t>容器看容器技术的发展:</w:t>
      </w:r>
      <w:r>
        <w:t xml:space="preserve"> </w:t>
      </w:r>
      <w:r>
        <w:rPr>
          <w:rFonts w:hint="eastAsia"/>
        </w:rPr>
        <w:t>一种系统文献综述的视角.”</w:t>
      </w:r>
      <w:r>
        <w:t xml:space="preserve"> </w:t>
      </w:r>
      <w:r>
        <w:rPr>
          <w:rFonts w:hint="eastAsia"/>
          <w:i/>
          <w:iCs/>
        </w:rPr>
        <w:t>软件学报</w:t>
      </w:r>
      <w:r>
        <w:t xml:space="preserve"> 34 (12): 5527–51.</w:t>
      </w:r>
    </w:p>
    <w:bookmarkEnd w:id="229"/>
    <w:bookmarkEnd w:id="231"/>
    <w:bookmarkEnd w:id="3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pPr>
        <w:spacing w:before="0" w:after="0"/>
      </w:pPr>
      <w:r>
        <w:separator/>
      </w:r>
    </w:p>
  </w:footnote>
  <w:footnote w:type="continuationSeparator" w:id="9">
    <w:p>
      <w:pPr>
        <w:spacing w:before="0" w:after="0"/>
      </w:pPr>
      <w:r>
        <w:continuationSeparator/>
      </w:r>
    </w:p>
  </w:footnote>
  <w:footnote w:id="0">
    <w:p w14:paraId="4A5544AA">
      <w:pPr>
        <w:pStyle w:val="17"/>
      </w:pPr>
      <w:r>
        <w:rPr>
          <w:rStyle w:val="22"/>
        </w:rPr>
        <w:footnoteRef/>
      </w:r>
      <w:r>
        <w:t xml:space="preserve"> </w:t>
      </w:r>
      <w:r>
        <w:fldChar w:fldCharType="begin"/>
      </w:r>
      <w:r>
        <w:instrText xml:space="preserve"> HYPERLINK "https://www.cisecurity.org/benchmark/kubernetes" \h </w:instrText>
      </w:r>
      <w:r>
        <w:fldChar w:fldCharType="separate"/>
      </w:r>
      <w:r>
        <w:rPr>
          <w:rStyle w:val="20"/>
        </w:rPr>
        <w:t>https://www.cisecurity.org/benchmark/kubernetes</w:t>
      </w:r>
      <w:r>
        <w:rPr>
          <w:rStyle w:val="20"/>
        </w:rPr>
        <w:fldChar w:fldCharType="end"/>
      </w:r>
    </w:p>
  </w:footnote>
  <w:footnote w:id="1">
    <w:p w14:paraId="27D885F1">
      <w:pPr>
        <w:pStyle w:val="17"/>
      </w:pPr>
      <w:r>
        <w:rPr>
          <w:rStyle w:val="22"/>
        </w:rPr>
        <w:footnoteRef/>
      </w:r>
      <w:r>
        <w:t xml:space="preserve"> NIST NVD(National Vulnerability </w:t>
      </w:r>
      <w:r>
        <w:rPr>
          <w:rFonts w:hint="eastAsia"/>
        </w:rPr>
        <w:t>Database)：</w:t>
      </w:r>
      <w:r>
        <w:fldChar w:fldCharType="begin"/>
      </w:r>
      <w:r>
        <w:instrText xml:space="preserve"> HYPERLINK "https://nvd.nist.gov/" \h </w:instrText>
      </w:r>
      <w:r>
        <w:fldChar w:fldCharType="separate"/>
      </w:r>
      <w:r>
        <w:rPr>
          <w:rStyle w:val="20"/>
        </w:rPr>
        <w:t>https://nvd.nist.gov/</w:t>
      </w:r>
      <w:r>
        <w:rPr>
          <w:rStyle w:val="20"/>
        </w:rPr>
        <w:fldChar w:fldCharType="end"/>
      </w:r>
    </w:p>
  </w:footnote>
  <w:footnote w:id="2">
    <w:p w14:paraId="18D0095D">
      <w:pPr>
        <w:pStyle w:val="17"/>
      </w:pPr>
      <w:r>
        <w:rPr>
          <w:rStyle w:val="22"/>
        </w:rPr>
        <w:footnoteRef/>
      </w:r>
      <w:r>
        <w:t xml:space="preserve"> MITRE </w:t>
      </w:r>
      <w:r>
        <w:rPr>
          <w:rFonts w:hint="eastAsia"/>
        </w:rPr>
        <w:t>CVE：</w:t>
      </w:r>
      <w:r>
        <w:fldChar w:fldCharType="begin"/>
      </w:r>
      <w:r>
        <w:instrText xml:space="preserve"> HYPERLINK "https://cve.mitre.org/" \h </w:instrText>
      </w:r>
      <w:r>
        <w:fldChar w:fldCharType="separate"/>
      </w:r>
      <w:r>
        <w:rPr>
          <w:rStyle w:val="20"/>
        </w:rPr>
        <w:t>https://cve.mitre.org/</w:t>
      </w:r>
      <w:r>
        <w:rPr>
          <w:rStyle w:val="20"/>
        </w:rPr>
        <w:fldChar w:fldCharType="end"/>
      </w:r>
    </w:p>
  </w:footnote>
  <w:footnote w:id="3">
    <w:p w14:paraId="3BFB8E1E">
      <w:pPr>
        <w:pStyle w:val="17"/>
      </w:pPr>
      <w:r>
        <w:rPr>
          <w:rStyle w:val="22"/>
        </w:rPr>
        <w:footnoteRef/>
      </w:r>
      <w:r>
        <w:t xml:space="preserve"> GitHub Security </w:t>
      </w:r>
      <w:r>
        <w:rPr>
          <w:rFonts w:hint="eastAsia"/>
        </w:rPr>
        <w:t>Advisory：</w:t>
      </w:r>
      <w:r>
        <w:fldChar w:fldCharType="begin"/>
      </w:r>
      <w:r>
        <w:instrText xml:space="preserve"> HYPERLINK "https://github.com/advisories" \h </w:instrText>
      </w:r>
      <w:r>
        <w:fldChar w:fldCharType="separate"/>
      </w:r>
      <w:r>
        <w:rPr>
          <w:rStyle w:val="20"/>
        </w:rPr>
        <w:t>https://github.com/advisories</w:t>
      </w:r>
      <w:r>
        <w:rPr>
          <w:rStyle w:val="20"/>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8"/>
    <w:footnote w:id="9"/>
  </w:footnotePr>
  <w:compat>
    <w:useFELayout/>
    <w:splitPgBreakAndParaMark/>
    <w:compatSetting w:name="compatibilityMode" w:uri="http://schemas.microsoft.com/office/word" w:val="12"/>
  </w:compat>
  <w:rsids>
    <w:rsidRoot w:val="00000000"/>
    <w:rsid w:val="0DFB65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98</Pages>
  <Words>1338</Words>
  <Characters>4232</Characters>
  <Lines>12</Lines>
  <Paragraphs>8</Paragraphs>
  <TotalTime>6</TotalTime>
  <ScaleCrop>false</ScaleCrop>
  <LinksUpToDate>false</LinksUpToDate>
  <CharactersWithSpaces>4699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2026-06-03T12:57:00Z</dcterms:created>
  <dc:creator>hxy</dc:creator>
  <cp:lastModifiedBy>hxy</cp:lastModifiedBy>
  <dcterms:modified xsi:type="dcterms:W3CDTF">2026-06-03T12:59:02Z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KSOTemplateDocerSaveRecord">
    <vt:lpwstr>eyJoZGlkIjoiZmYwNmFhNDkzNDg1NzIwMjZlZmIyMzAxMTMxODY5M2IiLCJ1c2VySWQiOiIyNjIyMzQ4MTkifQ==</vt:lpwstr>
  </property>
  <property fmtid="{D5CDD505-2E9C-101B-9397-08002B2CF9AE}" pid="4" name="KSOProductBuildVer">
    <vt:lpwstr>2052-12.1.0.26375</vt:lpwstr>
  </property>
  <property fmtid="{D5CDD505-2E9C-101B-9397-08002B2CF9AE}" pid="5" name="ICV">
    <vt:lpwstr>26DE36CC7EB84B08A412926EB2A17A79_12</vt:lpwstr>
  </property>
</Properties>
</file>