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left"/>
      </w:pPr>
      <w:r>
        <w:rPr>
          <w:rFonts w:ascii="Arial Unicode MS" w:hAnsi="Arial Unicode MS" w:eastAsia="Arial Unicode MS"/>
          <w:b/>
          <w:color w:val="245CC2"/>
          <w:sz w:val="32"/>
        </w:rPr>
        <w:t>W15｜讓簡報降低誤解</w:t>
      </w:r>
      <w:r>
        <w:rPr>
          <w:rFonts w:ascii="Arial Unicode MS" w:hAnsi="Arial Unicode MS" w:eastAsia="Arial Unicode MS"/>
          <w:b w:val="0"/>
          <w:color w:val="4B5568"/>
          <w:sz w:val="18"/>
        </w:rPr>
        <w:t xml:space="preserve">　A3 五格草圖｜0 分，保存至 W16 Gate 4｜組別：＿＿＿＿　成員：＿＿＿＿＿＿＿＿</w:t>
      </w:r>
    </w:p>
    <w:p>
      <w:pPr>
        <w:spacing w:after="100"/>
      </w:pPr>
      <w:r>
        <w:rPr>
          <w:rFonts w:ascii="Arial Unicode MS" w:hAnsi="Arial Unicode MS" w:eastAsia="Arial Unicode MS"/>
          <w:b/>
          <w:color w:val="182233"/>
          <w:sz w:val="18"/>
        </w:rPr>
        <w:t>核心主張（先寫一句）：＿＿＿＿＿＿＿＿＿＿＿＿＿＿＿＿＿＿＿＿＿＿＿＿＿＿＿＿＿＿＿＿＿＿＿＿＿＿＿＿＿＿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  <w:gridCol w:w="4513"/>
        <w:gridCol w:w="4513"/>
        <w:gridCol w:w="4513"/>
      </w:tblGrid>
      <w:tr>
        <w:trPr>
          <w:trHeight w:val="6293"/>
        </w:trPr>
        <w:tc>
          <w:tcPr>
            <w:tcW w:type="dxa" w:w="4450"/>
            <w:vAlign w:val="top"/>
            <w:shd w:fill="F3F7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1｜比較問題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兩個方法 × 2–3 個同口徑指標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不是只列 A、B 數值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聽眾知道要比較什麼</w:t>
            </w:r>
          </w:p>
        </w:tc>
        <w:tc>
          <w:tcPr>
            <w:tcW w:type="dxa" w:w="4450"/>
            <w:vAlign w:val="top"/>
            <w:shd w:fill="FFFF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2｜暫時立場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現在傾向什麼？公平承認反方一個正確點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不是把反方寫弱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立場可重申或縮小</w:t>
            </w:r>
          </w:p>
        </w:tc>
        <w:tc>
          <w:tcPr>
            <w:tcW w:type="dxa" w:w="4450"/>
            <w:vAlign w:val="top"/>
            <w:shd w:fill="F3F7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3｜最強證據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資料說＿＿；但它不能說＿＿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有來源／分母／範圍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30 字仍保留上限</w:t>
            </w:r>
          </w:p>
        </w:tc>
        <w:tc>
          <w:tcPr>
            <w:tcW w:type="dxa" w:w="4450"/>
            <w:vAlign w:val="top"/>
            <w:shd w:fill="FFFF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4｜我們的限制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是我們自己的缺口，不是『反方忽略什麼』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樣本／測量／比較／例外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不把責任推給對方</w:t>
            </w:r>
          </w:p>
        </w:tc>
        <w:tc>
          <w:tcPr>
            <w:tcW w:type="dxa" w:w="4450"/>
            <w:vAlign w:val="top"/>
            <w:shd w:fill="F3F7FF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90" w:type="dxa"/>
              <w:start w:w="95" w:type="dxa"/>
              <w:bottom w:w="90" w:type="dxa"/>
              <w:end w:w="95" w:type="dxa"/>
            </w:tcMar>
          </w:tcPr>
          <w:p>
            <w:pPr>
              <w:spacing w:after="60"/>
            </w:pPr>
            <w:r>
              <w:rPr>
                <w:rFonts w:ascii="Arial Unicode MS" w:hAnsi="Arial Unicode MS" w:eastAsia="Arial Unicode MS"/>
                <w:b/>
                <w:color w:val="245CC2"/>
                <w:sz w:val="21"/>
              </w:rPr>
              <w:t>5｜條件與停止</w:t>
            </w:r>
          </w:p>
          <w:p>
            <w:pPr>
              <w:spacing w:after="60" w:line="259" w:lineRule="auto"/>
            </w:pPr>
            <w:r>
              <w:rPr>
                <w:rFonts w:ascii="Arial Unicode MS" w:hAnsi="Arial Unicode MS" w:eastAsia="Arial Unicode MS"/>
                <w:b/>
                <w:color w:val="182233"/>
                <w:sz w:val="17"/>
              </w:rPr>
              <w:t>什麼證據出現才續行？何時不擴大／停止？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條件可觀察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5"/>
              </w:rPr>
              <w:t>□ 停止點不是口號</w:t>
            </w:r>
          </w:p>
        </w:tc>
      </w:tr>
    </w:tbl>
    <w:p>
      <w:pPr>
        <w:spacing w:after="2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521"/>
        <w:gridCol w:w="7521"/>
        <w:gridCol w:w="7521"/>
      </w:tblGrid>
      <w:tr>
        <w:trPr>
          <w:trHeight w:val="3288"/>
        </w:trPr>
        <w:tc>
          <w:tcPr>
            <w:tcW w:type="dxa" w:w="7427"/>
            <w:vAlign w:val="top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75" w:type="dxa"/>
              <w:start w:w="95" w:type="dxa"/>
              <w:bottom w:w="60" w:type="dxa"/>
              <w:end w:w="95" w:type="dxa"/>
            </w:tcMar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245CC2"/>
                <w:sz w:val="18"/>
              </w:rPr>
              <w:t>實際人類讀者復述｜看完後闔上，寫他以為我們在說什麼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讀者復述：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作者認為沒收到／可能誤讀的是：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</w:tc>
        <w:tc>
          <w:tcPr>
            <w:tcW w:type="dxa" w:w="7427"/>
            <w:vAlign w:val="top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75" w:type="dxa"/>
              <w:start w:w="95" w:type="dxa"/>
              <w:bottom w:w="60" w:type="dxa"/>
              <w:end w:w="95" w:type="dxa"/>
            </w:tcMar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B65116"/>
                <w:sz w:val="18"/>
              </w:rPr>
              <w:t>定位文字｜先把誤解當作者要檢查的線索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頁碼＋標題／原句：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若認為讀者誤讀，文本依據是：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</w:tc>
        <w:tc>
          <w:tcPr>
            <w:tcW w:type="dxa" w:w="7427"/>
            <w:vAlign w:val="top"/>
            <w:tcBorders>
              <w:top w:val="single" w:sz="7" w:color="CBD5E1"/>
              <w:start w:val="single" w:sz="7" w:color="CBD5E1"/>
              <w:bottom w:val="single" w:sz="7" w:color="CBD5E1"/>
              <w:end w:val="single" w:sz="7" w:color="CBD5E1"/>
              <w:insideH w:val="single" w:sz="7" w:color="CBD5E1"/>
              <w:insideV w:val="single" w:sz="7" w:color="CBD5E1"/>
            </w:tcBorders>
            <w:tcMar>
              <w:top w:w="75" w:type="dxa"/>
              <w:start w:w="95" w:type="dxa"/>
              <w:bottom w:w="60" w:type="dxa"/>
              <w:end w:w="95" w:type="dxa"/>
            </w:tcMar>
          </w:tcPr>
          <w:p>
            <w:pPr>
              <w:spacing w:after="40"/>
            </w:pPr>
            <w:r>
              <w:rPr>
                <w:rFonts w:ascii="Arial Unicode MS" w:hAnsi="Arial Unicode MS" w:eastAsia="Arial Unicode MS"/>
                <w:b/>
                <w:color w:val="B65116"/>
                <w:sz w:val="18"/>
              </w:rPr>
              <w:t>修訂或保留｜四問後再決定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改／不改與實際句子：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  <w:p>
            <w:pPr>
              <w:spacing w:after="20"/>
            </w:pPr>
            <w:r>
              <w:rPr>
                <w:rFonts w:ascii="Arial Unicode MS" w:hAnsi="Arial Unicode MS" w:eastAsia="Arial Unicode MS"/>
                <w:b/>
                <w:color w:val="182233"/>
                <w:sz w:val="15"/>
              </w:rPr>
              <w:t>條件：＿＿＿＿　停止點：＿＿＿＿</w:t>
            </w:r>
          </w:p>
          <w:p>
            <w:pPr>
              <w:spacing w:after="20" w:line="240" w:lineRule="auto"/>
            </w:pPr>
            <w:r>
              <w:rPr>
                <w:rFonts w:ascii="Arial Unicode MS" w:hAnsi="Arial Unicode MS" w:eastAsia="Arial Unicode MS"/>
                <w:b w:val="0"/>
                <w:color w:val="4B5568"/>
                <w:sz w:val="16"/>
              </w:rPr>
              <w:t>＿＿＿＿＿＿＿＿＿＿＿＿＿＿＿＿＿＿＿＿＿＿＿＿＿＿＿＿＿＿</w:t>
            </w:r>
          </w:p>
        </w:tc>
      </w:tr>
    </w:tbl>
    <w:p>
      <w:pPr>
        <w:spacing w:before="60" w:after="0"/>
      </w:pPr>
      <w:r>
        <w:rPr>
          <w:rFonts w:ascii="Arial Unicode MS" w:hAnsi="Arial Unicode MS" w:eastAsia="Arial Unicode MS"/>
          <w:b/>
          <w:color w:val="4B5568"/>
          <w:sz w:val="16"/>
        </w:rPr>
        <w:t>四問｜是否回到讀者復述？是否改善而非只換裝飾？是否保留資料上限？是否寫出條件與停止點？　AI 可協助但須留採納紀錄；至少一筆復述來自實際人類讀者。缺席／核准替代只調整時間、地點或媒介，證據條件不變。</w:t>
      </w:r>
    </w:p>
    <w:sectPr w:rsidR="00FC693F" w:rsidRPr="0006063C" w:rsidSect="00034616">
      <w:pgSz w:w="23811" w:h="16838" w:orient="landscape"/>
      <w:pgMar w:top="567" w:right="624" w:bottom="510" w:left="624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 w:eastAsia="Arial Unicode M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