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00" w:line="312" w:lineRule="auto"/>
      </w:pPr>
      <w:r>
        <w:rPr>
          <w:rFonts w:ascii="Arial Unicode MS" w:hAnsi="Arial Unicode MS" w:eastAsia="Arial Unicode MS"/>
          <w:b/>
          <w:sz w:val="44"/>
        </w:rPr>
        <w:t>W2｜學科遷移・化學</w:t>
      </w:r>
    </w:p>
    <w:p>
      <w:pPr>
        <w:spacing w:after="100" w:line="312" w:lineRule="auto"/>
      </w:pPr>
      <w:r>
        <w:rPr>
          <w:rFonts w:ascii="Arial Unicode MS" w:hAnsi="Arial Unicode MS" w:eastAsia="Arial Unicode MS"/>
          <w:b/>
          <w:sz w:val="22"/>
        </w:rPr>
        <w:t>課堂必寫｜先試解並留依據；卡住可記卡點。</w:t>
      </w:r>
    </w:p>
    <w:p>
      <w:pPr>
        <w:spacing w:after="100" w:line="312" w:lineRule="auto"/>
      </w:pPr>
      <w:r>
        <w:rPr>
          <w:rFonts w:ascii="Arial Unicode MS" w:hAnsi="Arial Unicode MS" w:eastAsia="Arial Unicode MS"/>
          <w:b w:val="0"/>
          <w:sz w:val="22"/>
        </w:rPr>
        <w:t>本段不使用 AI。先留下自己的解法，再按需要看投影提示。</w:t>
      </w:r>
    </w:p>
    <w:p>
      <w:pPr>
        <w:spacing w:after="100" w:line="312" w:lineRule="auto"/>
      </w:pPr>
      <w:r>
        <w:rPr>
          <w:rFonts w:ascii="Arial Unicode MS" w:hAnsi="Arial Unicode MS" w:eastAsia="Arial Unicode MS"/>
          <w:b w:val="0"/>
          <w:sz w:val="21"/>
        </w:rPr>
        <w:t>115 學測自然第 21 題・印刷第 7 頁。原題與原表；三句查核說法為本課另擬。</w:t>
      </w:r>
    </w:p>
    <w:p>
      <w:r>
        <w:drawing>
          <wp:inline xmlns:a="http://schemas.openxmlformats.org/drawingml/2006/main" xmlns:pic="http://schemas.openxmlformats.org/drawingml/2006/picture">
            <wp:extent cx="6264000" cy="421498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2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64000" cy="421498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00" w:line="312" w:lineRule="auto"/>
      </w:pPr>
      <w:r>
        <w:rPr>
          <w:rFonts w:ascii="Arial Unicode MS" w:hAnsi="Arial Unicode MS" w:eastAsia="Arial Unicode MS"/>
          <w:b/>
          <w:sz w:val="22"/>
        </w:rPr>
        <w:t>任務｜先依兩表判斷三句本課另擬說法：甲比丁酸／丁比甲酸／甲一定比丙酸。各寫支持、衝突或不足及依據，再自己解原題第 21 題。</w:t>
      </w:r>
    </w:p>
    <w:p>
      <w:pPr>
        <w:spacing w:after="100" w:line="312" w:lineRule="auto"/>
      </w:pPr>
      <w:r>
        <w:rPr>
          <w:rFonts w:ascii="Arial Unicode MS" w:hAnsi="Arial Unicode MS" w:eastAsia="Arial Unicode MS"/>
          <w:b w:val="0"/>
          <w:sz w:val="22"/>
        </w:rPr>
        <w:t>讀不下去時的知識卡｜本題以通常水溶液的讀法判斷：pH 越小，越酸，氫離子濃度越高。表 3 左色對應低於變色範圍，右色對應高於範圍，中間色位於範圍內。『－』表示沒提供該次測試。</w:t>
      </w:r>
    </w:p>
    <w:p>
      <w:pPr>
        <w:spacing w:after="100" w:line="312" w:lineRule="auto"/>
      </w:pPr>
      <w:r>
        <w:rPr>
          <w:rFonts w:ascii="Arial Unicode MS" w:hAnsi="Arial Unicode MS" w:eastAsia="Arial Unicode MS"/>
          <w:b w:val="0"/>
          <w:sz w:val="18"/>
        </w:rPr>
        <w:t>來源：大考中心公開試題；原卷連結見投影及本週 README。</w:t>
      </w:r>
    </w:p>
    <w:p>
      <w:r>
        <w:br w:type="page"/>
      </w:r>
    </w:p>
    <w:p>
      <w:pPr>
        <w:spacing w:after="100" w:line="312" w:lineRule="auto"/>
      </w:pPr>
      <w:r>
        <w:rPr>
          <w:rFonts w:ascii="Arial Unicode MS" w:hAnsi="Arial Unicode MS" w:eastAsia="Arial Unicode MS"/>
          <w:b/>
          <w:sz w:val="44"/>
        </w:rPr>
        <w:t>W2｜留下自己的解題歷程</w:t>
      </w:r>
    </w:p>
    <w:p>
      <w:pPr>
        <w:spacing w:after="100" w:line="312" w:lineRule="auto"/>
      </w:pPr>
      <w:r>
        <w:rPr>
          <w:rFonts w:ascii="Arial Unicode MS" w:hAnsi="Arial Unicode MS" w:eastAsia="Arial Unicode MS"/>
          <w:b w:val="0"/>
          <w:sz w:val="22"/>
        </w:rPr>
        <w:t>班級：＿＿＿　座號：＿＿＿　姓名：＿＿＿＿</w:t>
      </w:r>
    </w:p>
    <w:p>
      <w:pPr>
        <w:spacing w:after="100" w:line="312" w:lineRule="auto"/>
      </w:pPr>
      <w:r>
        <w:rPr>
          <w:rFonts w:ascii="Arial Unicode MS" w:hAnsi="Arial Unicode MS" w:eastAsia="Arial Unicode MS"/>
          <w:b/>
          <w:sz w:val="30"/>
        </w:rPr>
        <w:t>01　初答與依據／草圖／算式</w:t>
      </w:r>
    </w:p>
    <w:p>
      <w:pPr>
        <w:spacing w:after="100" w:line="312" w:lineRule="auto"/>
      </w:pPr>
      <w:r>
        <w:rPr>
          <w:rFonts w:ascii="Arial Unicode MS" w:hAnsi="Arial Unicode MS" w:eastAsia="Arial Unicode MS"/>
          <w:b w:val="0"/>
          <w:sz w:val="22"/>
        </w:rPr>
        <w:t>直接在正面材料圈線索，在這裡留解法。未解完也保留已走到的步驟。</w:t>
      </w:r>
    </w:p>
    <w:p>
      <w:pPr>
        <w:spacing w:after="0" w:line="510" w:lineRule="exact"/>
        <w:pBdr>
          <w:bottom w:val="single" w:sz="4" w:color="CBD5E1"/>
        </w:pBdr>
      </w:pPr>
      <w:r>
        <w:rPr>
          <w:rFonts w:ascii="Arial Unicode MS" w:hAnsi="Arial Unicode MS" w:eastAsia="Arial Unicode MS"/>
          <w:b w:val="0"/>
          <w:sz w:val="22"/>
        </w:rPr>
        <w:t xml:space="preserve">　</w:t>
      </w:r>
    </w:p>
    <w:p>
      <w:pPr>
        <w:spacing w:after="0" w:line="510" w:lineRule="exact"/>
        <w:pBdr>
          <w:bottom w:val="single" w:sz="4" w:color="CBD5E1"/>
        </w:pBdr>
      </w:pPr>
      <w:r>
        <w:rPr>
          <w:rFonts w:ascii="Arial Unicode MS" w:hAnsi="Arial Unicode MS" w:eastAsia="Arial Unicode MS"/>
          <w:b w:val="0"/>
          <w:sz w:val="22"/>
        </w:rPr>
        <w:t xml:space="preserve">　</w:t>
      </w:r>
    </w:p>
    <w:p>
      <w:pPr>
        <w:spacing w:after="0" w:line="510" w:lineRule="exact"/>
        <w:pBdr>
          <w:bottom w:val="single" w:sz="4" w:color="CBD5E1"/>
        </w:pBdr>
      </w:pPr>
      <w:r>
        <w:rPr>
          <w:rFonts w:ascii="Arial Unicode MS" w:hAnsi="Arial Unicode MS" w:eastAsia="Arial Unicode MS"/>
          <w:b w:val="0"/>
          <w:sz w:val="22"/>
        </w:rPr>
        <w:t xml:space="preserve">　</w:t>
      </w:r>
    </w:p>
    <w:p>
      <w:pPr>
        <w:spacing w:after="0" w:line="510" w:lineRule="exact"/>
        <w:pBdr>
          <w:bottom w:val="single" w:sz="4" w:color="CBD5E1"/>
        </w:pBdr>
      </w:pPr>
      <w:r>
        <w:rPr>
          <w:rFonts w:ascii="Arial Unicode MS" w:hAnsi="Arial Unicode MS" w:eastAsia="Arial Unicode MS"/>
          <w:b w:val="0"/>
          <w:sz w:val="22"/>
        </w:rPr>
        <w:t xml:space="preserve">　</w:t>
      </w:r>
    </w:p>
    <w:p>
      <w:pPr>
        <w:spacing w:after="0" w:line="510" w:lineRule="exact"/>
        <w:pBdr>
          <w:bottom w:val="single" w:sz="4" w:color="CBD5E1"/>
        </w:pBdr>
      </w:pPr>
      <w:r>
        <w:rPr>
          <w:rFonts w:ascii="Arial Unicode MS" w:hAnsi="Arial Unicode MS" w:eastAsia="Arial Unicode MS"/>
          <w:b w:val="0"/>
          <w:sz w:val="22"/>
        </w:rPr>
        <w:t xml:space="preserve">　</w:t>
      </w:r>
    </w:p>
    <w:p>
      <w:pPr>
        <w:spacing w:after="0" w:line="510" w:lineRule="exact"/>
        <w:pBdr>
          <w:bottom w:val="single" w:sz="4" w:color="CBD5E1"/>
        </w:pBdr>
      </w:pPr>
      <w:r>
        <w:rPr>
          <w:rFonts w:ascii="Arial Unicode MS" w:hAnsi="Arial Unicode MS" w:eastAsia="Arial Unicode MS"/>
          <w:b w:val="0"/>
          <w:sz w:val="22"/>
        </w:rPr>
        <w:t xml:space="preserve">　</w:t>
      </w:r>
    </w:p>
    <w:p>
      <w:pPr>
        <w:spacing w:after="100" w:line="312" w:lineRule="auto"/>
      </w:pPr>
      <w:r>
        <w:rPr>
          <w:rFonts w:ascii="Arial Unicode MS" w:hAnsi="Arial Unicode MS" w:eastAsia="Arial Unicode MS"/>
          <w:b/>
          <w:sz w:val="30"/>
        </w:rPr>
        <w:t>02　實際用到的提示、搭檔追問或回讀</w:t>
      </w:r>
    </w:p>
    <w:p>
      <w:pPr>
        <w:spacing w:after="100" w:line="312" w:lineRule="auto"/>
      </w:pPr>
      <w:r>
        <w:rPr>
          <w:rFonts w:ascii="Arial Unicode MS" w:hAnsi="Arial Unicode MS" w:eastAsia="Arial Unicode MS"/>
          <w:b w:val="0"/>
          <w:sz w:val="22"/>
        </w:rPr>
        <w:t>提示：□未用　□1　□2　□3　　搭檔座號：＿＿＿</w:t>
      </w:r>
    </w:p>
    <w:p>
      <w:pPr>
        <w:spacing w:after="0" w:line="510" w:lineRule="exact"/>
        <w:pBdr>
          <w:bottom w:val="single" w:sz="4" w:color="CBD5E1"/>
        </w:pBdr>
      </w:pPr>
      <w:r>
        <w:rPr>
          <w:rFonts w:ascii="Arial Unicode MS" w:hAnsi="Arial Unicode MS" w:eastAsia="Arial Unicode MS"/>
          <w:b w:val="0"/>
          <w:sz w:val="22"/>
        </w:rPr>
        <w:t xml:space="preserve">　</w:t>
      </w:r>
    </w:p>
    <w:p>
      <w:pPr>
        <w:spacing w:after="0" w:line="510" w:lineRule="exact"/>
        <w:pBdr>
          <w:bottom w:val="single" w:sz="4" w:color="CBD5E1"/>
        </w:pBdr>
      </w:pPr>
      <w:r>
        <w:rPr>
          <w:rFonts w:ascii="Arial Unicode MS" w:hAnsi="Arial Unicode MS" w:eastAsia="Arial Unicode MS"/>
          <w:b w:val="0"/>
          <w:sz w:val="22"/>
        </w:rPr>
        <w:t xml:space="preserve">　</w:t>
      </w:r>
    </w:p>
    <w:p>
      <w:pPr>
        <w:spacing w:after="100" w:line="312" w:lineRule="auto"/>
      </w:pPr>
      <w:r>
        <w:rPr>
          <w:rFonts w:ascii="Arial Unicode MS" w:hAnsi="Arial Unicode MS" w:eastAsia="Arial Unicode MS"/>
          <w:b/>
          <w:sz w:val="30"/>
        </w:rPr>
        <w:t>03　本人改／留與理由</w:t>
      </w:r>
    </w:p>
    <w:p>
      <w:pPr>
        <w:spacing w:after="100" w:line="312" w:lineRule="auto"/>
      </w:pPr>
      <w:r>
        <w:rPr>
          <w:rFonts w:ascii="Arial Unicode MS" w:hAnsi="Arial Unicode MS" w:eastAsia="Arial Unicode MS"/>
          <w:b w:val="0"/>
          <w:sz w:val="22"/>
        </w:rPr>
        <w:t>挑一個最不確定的比較，回表格補依據，再決定改或留。</w:t>
      </w:r>
    </w:p>
    <w:p>
      <w:pPr>
        <w:spacing w:after="0" w:line="510" w:lineRule="exact"/>
        <w:pBdr>
          <w:bottom w:val="single" w:sz="4" w:color="CBD5E1"/>
        </w:pBdr>
      </w:pPr>
      <w:r>
        <w:rPr>
          <w:rFonts w:ascii="Arial Unicode MS" w:hAnsi="Arial Unicode MS" w:eastAsia="Arial Unicode MS"/>
          <w:b w:val="0"/>
          <w:sz w:val="22"/>
        </w:rPr>
        <w:t xml:space="preserve">　</w:t>
      </w:r>
    </w:p>
    <w:p>
      <w:pPr>
        <w:spacing w:after="0" w:line="510" w:lineRule="exact"/>
        <w:pBdr>
          <w:bottom w:val="single" w:sz="4" w:color="CBD5E1"/>
        </w:pBdr>
      </w:pPr>
      <w:r>
        <w:rPr>
          <w:rFonts w:ascii="Arial Unicode MS" w:hAnsi="Arial Unicode MS" w:eastAsia="Arial Unicode MS"/>
          <w:b w:val="0"/>
          <w:sz w:val="22"/>
        </w:rPr>
        <w:t xml:space="preserve">　</w:t>
      </w:r>
    </w:p>
    <w:p>
      <w:pPr>
        <w:spacing w:after="0" w:line="510" w:lineRule="exact"/>
        <w:pBdr>
          <w:bottom w:val="single" w:sz="4" w:color="CBD5E1"/>
        </w:pBdr>
      </w:pPr>
      <w:r>
        <w:rPr>
          <w:rFonts w:ascii="Arial Unicode MS" w:hAnsi="Arial Unicode MS" w:eastAsia="Arial Unicode MS"/>
          <w:b w:val="0"/>
          <w:sz w:val="22"/>
        </w:rPr>
        <w:t xml:space="preserve">　</w:t>
      </w:r>
    </w:p>
    <w:p>
      <w:pPr>
        <w:spacing w:after="0" w:line="510" w:lineRule="exact"/>
        <w:pBdr>
          <w:bottom w:val="single" w:sz="4" w:color="CBD5E1"/>
        </w:pBdr>
      </w:pPr>
      <w:r>
        <w:rPr>
          <w:rFonts w:ascii="Arial Unicode MS" w:hAnsi="Arial Unicode MS" w:eastAsia="Arial Unicode MS"/>
          <w:b w:val="0"/>
          <w:sz w:val="22"/>
        </w:rPr>
        <w:t xml:space="preserve">　</w:t>
      </w:r>
    </w:p>
    <w:p>
      <w:pPr>
        <w:spacing w:after="100" w:line="312" w:lineRule="auto"/>
      </w:pPr>
      <w:r>
        <w:rPr>
          <w:rFonts w:ascii="Arial Unicode MS" w:hAnsi="Arial Unicode MS" w:eastAsia="Arial Unicode MS"/>
          <w:b/>
          <w:sz w:val="30"/>
        </w:rPr>
        <w:t>04　最後看詳解，再核對一步</w:t>
      </w:r>
    </w:p>
    <w:p>
      <w:pPr>
        <w:spacing w:after="100" w:line="312" w:lineRule="auto"/>
      </w:pPr>
      <w:r>
        <w:rPr>
          <w:rFonts w:ascii="Arial Unicode MS" w:hAnsi="Arial Unicode MS" w:eastAsia="Arial Unicode MS"/>
          <w:b w:val="0"/>
          <w:sz w:val="22"/>
        </w:rPr>
        <w:t>□與我的理由相符　□發現一處差異　□仍有疑問。位置／下一步要查：</w:t>
      </w:r>
    </w:p>
    <w:p>
      <w:pPr>
        <w:spacing w:after="0" w:line="510" w:lineRule="exact"/>
        <w:pBdr>
          <w:bottom w:val="single" w:sz="4" w:color="CBD5E1"/>
        </w:pBdr>
      </w:pPr>
      <w:r>
        <w:rPr>
          <w:rFonts w:ascii="Arial Unicode MS" w:hAnsi="Arial Unicode MS" w:eastAsia="Arial Unicode MS"/>
          <w:b w:val="0"/>
          <w:sz w:val="22"/>
        </w:rPr>
        <w:t xml:space="preserve">　</w:t>
      </w:r>
    </w:p>
    <w:p>
      <w:pPr>
        <w:spacing w:after="0" w:line="510" w:lineRule="exact"/>
        <w:pBdr>
          <w:bottom w:val="single" w:sz="4" w:color="CBD5E1"/>
        </w:pBdr>
      </w:pPr>
      <w:r>
        <w:rPr>
          <w:rFonts w:ascii="Arial Unicode MS" w:hAnsi="Arial Unicode MS" w:eastAsia="Arial Unicode MS"/>
          <w:b w:val="0"/>
          <w:sz w:val="22"/>
        </w:rPr>
        <w:t xml:space="preserve">　</w:t>
      </w:r>
    </w:p>
    <w:p>
      <w:pPr>
        <w:spacing w:after="100" w:line="312" w:lineRule="auto"/>
      </w:pPr>
      <w:r>
        <w:rPr>
          <w:rFonts w:ascii="Arial Unicode MS" w:hAnsi="Arial Unicode MS" w:eastAsia="Arial Unicode MS"/>
          <w:b w:val="0"/>
          <w:sz w:val="18"/>
        </w:rPr>
        <w:t>紙本收回併入本週歷程本；不另拍照上傳、不計分、不新增關卡。詳解可拍照回讀。</w:t>
      </w:r>
    </w:p>
    <w:sectPr w:rsidR="00FC693F" w:rsidRPr="0006063C" w:rsidSect="00034616">
      <w:footerReference w:type="default" r:id="rId10"/>
      <w:pgSz w:w="11906" w:h="16838"/>
      <w:pgMar w:top="935" w:right="907" w:bottom="822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rFonts w:ascii="Arial Unicode MS" w:hAnsi="Arial Unicode MS" w:eastAsia="Arial Unicode MS"/>
        <w:b w:val="0"/>
        <w:sz w:val="18"/>
      </w:rPr>
      <w:t xml:space="preserve">閱讀理解與表達 · W2 學科遷移 · 第 </w:t>
    </w:r>
    <w:fldSimple w:instr="PAGE"/>
    <w:r>
      <w:rPr>
        <w:rFonts w:ascii="Arial Unicode MS" w:hAnsi="Arial Unicode MS" w:eastAsia="Arial Unicode MS"/>
        <w:b w:val="0"/>
        <w:sz w:val="18"/>
      </w:rPr>
      <w:t xml:space="preserve"> 頁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 Unicode MS" w:hAnsi="Arial Unicode MS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 Unicode MS" w:hAnsi="Arial Unicode MS"/>
      <w:b/>
      <w:bCs/>
      <w:color w:val="365F91" w:themeColor="accent1" w:themeShade="BF"/>
      <w:sz w:val="2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 Unicode MS" w:hAnsi="Arial Unicode MS"/>
      <w:b/>
      <w:bCs/>
      <w:color w:val="4F81BD" w:themeColor="accent1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