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W12 / CARD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選題縮題與安全界線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先讓問題可研究，再談立場。卡住時直接照這張卡走，不需要揭露私人故事。</w:t>
      </w:r>
    </w:p>
    <w:p>
      <w:pPr>
        <w:keepNext/>
        <w:keepLines w:val="0"/>
        <w:spacing w:before="4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先過安全界線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i w:val="0"/>
          <w:color w:val="C2414D"/>
          <w:sz w:val="19"/>
        </w:rPr>
        <w:t>第一輪先避開：選舉政治、兩岸統獨、性別爭議，以及能辨識特定同學、家庭、感情或身心狀況的事件。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理由：這五週先練『用指標比較兩個做法』。不是這些議題不重要，而是它們常需要更高的身分安全、定義與資料治理條件。</w:t>
      </w:r>
    </w:p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三個公開題庫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校園｜固定時段保管 vs 學生自選靜音；彈性制服 vs 統一規範；作業統一期限 vs 彈性窗口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社會｜一次性餐具減量方案；校園無障礙動線改善；公共自行車調度方式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網路｜推薦演算法預設開啟 vs 主動選擇；留言實名 vs 匿名；平台提示標記方式</w:t>
      </w:r>
    </w:p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縮題四格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對誰／在哪裡／多久：________________________________________________________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方案一：____________________________　方案二：____________________________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A 方在乎：________________→指標：________________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B 方在乎：________________→指標：________________</w:t>
      </w:r>
    </w:p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04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研究問題句型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i w:val="0"/>
          <w:color w:val="1D4ED8"/>
          <w:sz w:val="20"/>
        </w:rPr>
        <w:t>在＿＿（情境）中，＿＿（方案一）與＿＿（方案二），在＿＿、＿＿、＿＿（指標）上有何差異？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提醒：兩邊都有合理在乎，不代表兩邊證據一樣多；不要為了對稱硬造弱方案。</w:t>
      </w:r>
    </w:p>
    <w:p>
      <w:pPr>
        <w:keepNext/>
        <w:keepLines w:val="0"/>
        <w:spacing w:before="4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05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AI／紙本查漏界線</w:t>
      </w:r>
    </w:p>
    <w:p>
      <w:pPr>
        <w:spacing w:before="0" w:after="40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🔒 個人 V1 前不使用 AI。V1 後可選 🧭 AI 或紙本清單，只請它提出遺漏方案／指標候選；只輸入公開題目，不輸入私事。小組查核公平與可觀察性，再由人決定採用與交付。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W12 · FILE-012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W12 / FILE-012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W12 歷程本｜把公共議題寫成可討論的問題</dc:title>
  <dc:subject>閱讀理解與表達 W12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