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先找共享事實與四類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案例、校名與數字皆為教師自編；甲、乙使用同一份資料。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共享事實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至少寫 3 項兩篇都承認的事實或數字；注意分母：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各摘一個事實／論點／假設／情緒語，並抄出原句或數字：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比較框架，不急著判真假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有取捨不等於造假；要回到標題、順序與確切句子。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甲報導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乙報導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差異證據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我用來比較的標題、順序或句子是：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暫時站位與改變條件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先用私人小卡寫位置與理由；是否走動、是否公開都不計分。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立場聲明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我目前站在＿＿（1–5／未定）。我引用的兩項共享事實是＿＿；它們讓我＿＿。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我還不確定＿＿；目前資料缺少＿＿。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改變或擴大條件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如果看到／觀察到＿＿，我會改變、擴大或重申目前站位，因為＿＿。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四類標記　□ 甲乙比較　□ 兩項共享事實　□ 不確定＋改變條件　｜W9：整理成 150–200 字。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老師不讀、不計分；可不寫、遮住，或在 W12 收件前撕下。私人小卡也不交。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哪一個證據最可能讓我換位置？我為什麼願意讓它動搖我？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歷程本｜暫時站位，也保留不確定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