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B29B" w14:textId="48334569" w:rsidR="00D66714" w:rsidRDefault="004D00EF" w:rsidP="004D00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Documentatie</w:t>
      </w:r>
      <w:proofErr w:type="spellEnd"/>
    </w:p>
    <w:p w14:paraId="0828D48F" w14:textId="77777777" w:rsidR="004D00EF" w:rsidRDefault="004D00EF" w:rsidP="004D00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0EF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erformanta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secvential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paralele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>.</w:t>
      </w:r>
    </w:p>
    <w:p w14:paraId="313B372D" w14:textId="7BDBD565" w:rsidR="008454AC" w:rsidRDefault="008454AC" w:rsidP="008454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6B1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6B1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C66B1">
        <w:rPr>
          <w:rFonts w:ascii="Times New Roman" w:hAnsi="Times New Roman" w:cs="Times New Roman"/>
          <w:sz w:val="24"/>
          <w:szCs w:val="24"/>
        </w:rPr>
        <w:t>metrica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66B1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66B1">
        <w:rPr>
          <w:rFonts w:ascii="Times New Roman" w:hAnsi="Times New Roman" w:cs="Times New Roman"/>
          <w:sz w:val="24"/>
          <w:szCs w:val="24"/>
        </w:rPr>
        <w:t>tipurilor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66B1">
        <w:rPr>
          <w:rFonts w:ascii="Times New Roman" w:hAnsi="Times New Roman" w:cs="Times New Roman"/>
          <w:sz w:val="24"/>
          <w:szCs w:val="24"/>
        </w:rPr>
        <w:t>paralelism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</w:t>
      </w:r>
      <w:r w:rsidR="008C66B1" w:rsidRPr="008C66B1"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 w:rsidR="008C66B1" w:rsidRPr="008C66B1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C++ static</w:t>
      </w:r>
      <w:r w:rsidR="008C66B1">
        <w:rPr>
          <w:rFonts w:ascii="Times New Roman" w:hAnsi="Times New Roman" w:cs="Times New Roman"/>
          <w:sz w:val="24"/>
          <w:szCs w:val="24"/>
        </w:rPr>
        <w:t xml:space="preserve"> pe 16 thread-</w:t>
      </w:r>
      <w:proofErr w:type="spellStart"/>
      <w:r w:rsidR="008C66B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Pr="008C66B1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8C66B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8C66B1"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 w:rsidR="008C6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6B1">
        <w:rPr>
          <w:rFonts w:ascii="Times New Roman" w:hAnsi="Times New Roman" w:cs="Times New Roman"/>
          <w:sz w:val="24"/>
          <w:szCs w:val="24"/>
        </w:rPr>
        <w:t>motivele</w:t>
      </w:r>
      <w:proofErr w:type="spellEnd"/>
      <w:r w:rsidR="008C6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6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C66B1">
        <w:rPr>
          <w:rFonts w:ascii="Times New Roman" w:hAnsi="Times New Roman" w:cs="Times New Roman"/>
          <w:sz w:val="24"/>
          <w:szCs w:val="24"/>
        </w:rPr>
        <w:t xml:space="preserve"> care Java </w:t>
      </w:r>
      <w:proofErr w:type="spellStart"/>
      <w:r w:rsidR="008C66B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C66B1">
        <w:rPr>
          <w:rFonts w:ascii="Times New Roman" w:hAnsi="Times New Roman" w:cs="Times New Roman"/>
          <w:sz w:val="24"/>
          <w:szCs w:val="24"/>
        </w:rPr>
        <w:t xml:space="preserve"> C++ dynamic sunt misleading.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455"/>
        <w:gridCol w:w="1937"/>
        <w:gridCol w:w="1843"/>
        <w:gridCol w:w="2126"/>
        <w:gridCol w:w="1985"/>
      </w:tblGrid>
      <w:tr w:rsidR="002C2D95" w14:paraId="4192B99D" w14:textId="77777777" w:rsidTr="002C2D95">
        <w:trPr>
          <w:trHeight w:val="630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43F55" w14:textId="77777777" w:rsidR="002C2D95" w:rsidRDefault="002C2D9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E6E1A" w14:textId="77777777" w:rsidR="002C2D95" w:rsidRDefault="002C2D95" w:rsidP="002C2D95">
            <w:pPr>
              <w:rPr>
                <w:color w:val="000000"/>
              </w:rPr>
            </w:pPr>
            <w:r>
              <w:rPr>
                <w:color w:val="000000"/>
              </w:rPr>
              <w:t>10 10 3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2CD90" w14:textId="77777777" w:rsidR="002C2D95" w:rsidRDefault="002C2D95" w:rsidP="002C2D95">
            <w:pPr>
              <w:rPr>
                <w:color w:val="000000"/>
              </w:rPr>
            </w:pPr>
            <w:r>
              <w:rPr>
                <w:color w:val="000000"/>
              </w:rPr>
              <w:t>10000 10000 5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D95E" w14:textId="77777777" w:rsidR="002C2D95" w:rsidRDefault="002C2D95" w:rsidP="002C2D95">
            <w:pPr>
              <w:rPr>
                <w:color w:val="000000"/>
              </w:rPr>
            </w:pPr>
            <w:r>
              <w:rPr>
                <w:color w:val="000000"/>
              </w:rPr>
              <w:t>10 10000 5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3ACA3" w14:textId="77777777" w:rsidR="002C2D95" w:rsidRDefault="002C2D95" w:rsidP="002C2D95">
            <w:pPr>
              <w:rPr>
                <w:color w:val="000000"/>
              </w:rPr>
            </w:pPr>
            <w:r>
              <w:rPr>
                <w:color w:val="000000"/>
              </w:rPr>
              <w:t>10000 10 5</w:t>
            </w:r>
          </w:p>
        </w:tc>
      </w:tr>
      <w:tr w:rsidR="002C2D95" w14:paraId="3BB2E127" w14:textId="77777777" w:rsidTr="002C2D95">
        <w:trPr>
          <w:trHeight w:val="63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920E" w14:textId="77777777" w:rsidR="002C2D95" w:rsidRDefault="002C2D9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SECVENTIAL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32DAEAA5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13688154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67.5087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883"/>
            <w:vAlign w:val="center"/>
            <w:hideMark/>
          </w:tcPr>
          <w:p w14:paraId="2B362EA3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6.6424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670"/>
            <w:vAlign w:val="center"/>
            <w:hideMark/>
          </w:tcPr>
          <w:p w14:paraId="58A7E2C1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15.5287</w:t>
            </w:r>
          </w:p>
        </w:tc>
      </w:tr>
      <w:tr w:rsidR="002C2D95" w14:paraId="5154096A" w14:textId="77777777" w:rsidTr="002C2D95">
        <w:trPr>
          <w:trHeight w:val="32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633E" w14:textId="77777777" w:rsidR="002C2D95" w:rsidRDefault="002C2D9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LINII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EB353"/>
            <w:vAlign w:val="center"/>
            <w:hideMark/>
          </w:tcPr>
          <w:p w14:paraId="041025B5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0.35267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578"/>
            <w:vAlign w:val="center"/>
            <w:hideMark/>
          </w:tcPr>
          <w:p w14:paraId="7A833E9B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11.6727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8CB68"/>
            <w:vAlign w:val="center"/>
            <w:hideMark/>
          </w:tcPr>
          <w:p w14:paraId="1805C6CF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2.71976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EA83"/>
            <w:vAlign w:val="center"/>
            <w:hideMark/>
          </w:tcPr>
          <w:p w14:paraId="30A8A879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5.73911</w:t>
            </w:r>
          </w:p>
        </w:tc>
      </w:tr>
      <w:tr w:rsidR="002C2D95" w14:paraId="782D72C0" w14:textId="77777777" w:rsidTr="002C2D95">
        <w:trPr>
          <w:trHeight w:val="63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A1116" w14:textId="77777777" w:rsidR="002C2D95" w:rsidRDefault="002C2D9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COLOANE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EB352"/>
            <w:vAlign w:val="center"/>
            <w:hideMark/>
          </w:tcPr>
          <w:p w14:paraId="576E29D8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0.33687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E74"/>
            <w:vAlign w:val="center"/>
            <w:hideMark/>
          </w:tcPr>
          <w:p w14:paraId="38482DCB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13.3684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0D570"/>
            <w:vAlign w:val="center"/>
            <w:hideMark/>
          </w:tcPr>
          <w:p w14:paraId="441194EB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3.61141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75E"/>
            <w:vAlign w:val="center"/>
            <w:hideMark/>
          </w:tcPr>
          <w:p w14:paraId="718AE2D8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23.8722</w:t>
            </w:r>
          </w:p>
        </w:tc>
      </w:tr>
      <w:tr w:rsidR="002C2D95" w14:paraId="655618B7" w14:textId="77777777" w:rsidTr="002C2D95">
        <w:trPr>
          <w:trHeight w:val="32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81A61" w14:textId="77777777" w:rsidR="002C2D95" w:rsidRDefault="002C2D9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BLOC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CB252"/>
            <w:vAlign w:val="center"/>
            <w:hideMark/>
          </w:tcPr>
          <w:p w14:paraId="20389AA3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679"/>
            <w:vAlign w:val="center"/>
            <w:hideMark/>
          </w:tcPr>
          <w:p w14:paraId="369116D1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11.2649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6CF6B"/>
            <w:vAlign w:val="center"/>
            <w:hideMark/>
          </w:tcPr>
          <w:p w14:paraId="772511DC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3.03771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642B1F21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5.80705</w:t>
            </w:r>
          </w:p>
        </w:tc>
      </w:tr>
      <w:tr w:rsidR="002C2D95" w14:paraId="181DCF57" w14:textId="77777777" w:rsidTr="002C2D95">
        <w:trPr>
          <w:trHeight w:val="94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F1B9E" w14:textId="77777777" w:rsidR="002C2D95" w:rsidRDefault="002C2D9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DELTA_LINIAR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FB353"/>
            <w:vAlign w:val="center"/>
            <w:hideMark/>
          </w:tcPr>
          <w:p w14:paraId="7FD34EE4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0.35773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377"/>
            <w:vAlign w:val="center"/>
            <w:hideMark/>
          </w:tcPr>
          <w:p w14:paraId="68868081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12.0912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1CD6A"/>
            <w:vAlign w:val="center"/>
            <w:hideMark/>
          </w:tcPr>
          <w:p w14:paraId="0AFCC27D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2.92795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1DBDDEEC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5.75108</w:t>
            </w:r>
          </w:p>
        </w:tc>
      </w:tr>
      <w:tr w:rsidR="002C2D95" w14:paraId="32BD7E41" w14:textId="77777777" w:rsidTr="002C2D95">
        <w:trPr>
          <w:trHeight w:val="94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7FAA5" w14:textId="77777777" w:rsidR="002C2D95" w:rsidRDefault="002C2D9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DELTA_CICLIC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DB352"/>
            <w:vAlign w:val="center"/>
            <w:hideMark/>
          </w:tcPr>
          <w:p w14:paraId="29477511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0.33012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175"/>
            <w:vAlign w:val="center"/>
            <w:hideMark/>
          </w:tcPr>
          <w:p w14:paraId="3562E0F2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12.8019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D26E"/>
            <w:vAlign w:val="center"/>
            <w:hideMark/>
          </w:tcPr>
          <w:p w14:paraId="2D5C809A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3.3351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A60"/>
            <w:vAlign w:val="center"/>
            <w:hideMark/>
          </w:tcPr>
          <w:p w14:paraId="50BE61DF" w14:textId="77777777" w:rsidR="002C2D95" w:rsidRDefault="002C2D95" w:rsidP="002C2D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22.9108</w:t>
            </w:r>
          </w:p>
        </w:tc>
      </w:tr>
    </w:tbl>
    <w:p w14:paraId="0EBB7E8B" w14:textId="77777777" w:rsidR="008C66B1" w:rsidRPr="008C66B1" w:rsidRDefault="008C66B1" w:rsidP="00845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99E6D" w14:textId="441DF114" w:rsidR="004D00EF" w:rsidRPr="004D00EF" w:rsidRDefault="008454AC" w:rsidP="004D00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Contrar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4D00EF" w:rsidRPr="004D0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F79CA" w14:textId="3B8047D1" w:rsidR="004D00EF" w:rsidRDefault="004D00EF" w:rsidP="004D00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0EF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timpii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obtinuti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Java versus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C++. </w:t>
      </w:r>
    </w:p>
    <w:p w14:paraId="389FA39C" w14:textId="77777777" w:rsidR="00FC3CB3" w:rsidRPr="004D00EF" w:rsidRDefault="00FC3CB3" w:rsidP="004D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449EA7" w14:textId="1B18EDDC" w:rsidR="004D00EF" w:rsidRDefault="009A45C5" w:rsidP="004D00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C++ (static)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~2-10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compilate in machine code, pe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JVM (Java Virtual Machine). Mereu un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low-level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high-level. </w:t>
      </w:r>
    </w:p>
    <w:p w14:paraId="2CF8ACFE" w14:textId="530FE4B0" w:rsidR="008454AC" w:rsidRPr="008454AC" w:rsidRDefault="008454AC" w:rsidP="004D00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C++ pe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pe cand la Java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Motivul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neclar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high-level, </w:t>
      </w:r>
      <w:proofErr w:type="spellStart"/>
      <w:r w:rsidRPr="008454AC">
        <w:rPr>
          <w:rFonts w:ascii="Times New Roman" w:hAnsi="Times New Roman" w:cs="Times New Roman"/>
          <w:sz w:val="24"/>
          <w:szCs w:val="24"/>
        </w:rPr>
        <w:t>garabage</w:t>
      </w:r>
      <w:proofErr w:type="spellEnd"/>
      <w:r w:rsidRPr="008454AC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llection-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feateruri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nu le are s-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ingreuneze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000B16" w14:textId="49533A1F" w:rsidR="004D00EF" w:rsidRDefault="004D00EF" w:rsidP="004D00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0EF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E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D00EF">
        <w:rPr>
          <w:rFonts w:ascii="Times New Roman" w:hAnsi="Times New Roman" w:cs="Times New Roman"/>
          <w:sz w:val="24"/>
          <w:szCs w:val="24"/>
        </w:rPr>
        <w:t xml:space="preserve"> C++. </w:t>
      </w:r>
    </w:p>
    <w:p w14:paraId="4F539A81" w14:textId="555B27AB" w:rsidR="009A45C5" w:rsidRDefault="00FC3CB3" w:rsidP="00FC3CB3">
      <w:pPr>
        <w:jc w:val="both"/>
        <w:rPr>
          <w:rFonts w:ascii="Times New Roman" w:hAnsi="Times New Roman" w:cs="Times New Roman"/>
          <w:sz w:val="24"/>
          <w:szCs w:val="24"/>
        </w:rPr>
      </w:pPr>
      <w:r w:rsidRPr="00FC3CB3">
        <w:rPr>
          <w:rFonts w:ascii="Times New Roman" w:hAnsi="Times New Roman" w:cs="Times New Roman"/>
          <w:sz w:val="24"/>
          <w:szCs w:val="24"/>
        </w:rPr>
        <w:t xml:space="preserve">Din puncta de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B3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FC3CB3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DELTA_CICLIC.</w:t>
      </w:r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datoreaza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data cand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un element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sansa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trebuiasca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marit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dynamic.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Motivul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care </w:t>
      </w:r>
      <w:r w:rsidR="009A45C5">
        <w:rPr>
          <w:rFonts w:ascii="Times New Roman" w:hAnsi="Times New Roman" w:cs="Times New Roman"/>
          <w:sz w:val="24"/>
          <w:szCs w:val="24"/>
        </w:rPr>
        <w:lastRenderedPageBreak/>
        <w:t xml:space="preserve">DELTA_CICLIC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rapid in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neclar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cred ca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aface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storata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pe </w:t>
      </w:r>
      <w:r w:rsidR="009A45C5" w:rsidRPr="009A45C5">
        <w:rPr>
          <w:rFonts w:ascii="Times New Roman" w:hAnsi="Times New Roman" w:cs="Times New Roman"/>
          <w:b/>
          <w:bCs/>
          <w:sz w:val="24"/>
          <w:szCs w:val="24"/>
        </w:rPr>
        <w:t>heap</w:t>
      </w:r>
      <w:r w:rsidR="009A4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accesam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elemnte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9A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C5">
        <w:rPr>
          <w:rFonts w:ascii="Times New Roman" w:hAnsi="Times New Roman" w:cs="Times New Roman"/>
          <w:sz w:val="24"/>
          <w:szCs w:val="24"/>
        </w:rPr>
        <w:t>alta.</w:t>
      </w:r>
      <w:proofErr w:type="spellEnd"/>
    </w:p>
    <w:p w14:paraId="11EA74A3" w14:textId="4E8B4144" w:rsidR="00FC3CB3" w:rsidRPr="00FC3CB3" w:rsidRDefault="00FC3CB3" w:rsidP="00FC3C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5C5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4.000.000 bytes pe cand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bineinteles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test la test.</w:t>
      </w:r>
    </w:p>
    <w:p w14:paraId="38749CC1" w14:textId="77777777" w:rsidR="004D00EF" w:rsidRPr="00FC3CB3" w:rsidRDefault="004D00EF" w:rsidP="004D00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00EF" w:rsidRPr="00FC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F0D57" w14:textId="77777777" w:rsidR="00C32A9C" w:rsidRDefault="00C32A9C" w:rsidP="006706C2">
      <w:pPr>
        <w:spacing w:after="0" w:line="240" w:lineRule="auto"/>
      </w:pPr>
      <w:r>
        <w:separator/>
      </w:r>
    </w:p>
  </w:endnote>
  <w:endnote w:type="continuationSeparator" w:id="0">
    <w:p w14:paraId="0DED5F30" w14:textId="77777777" w:rsidR="00C32A9C" w:rsidRDefault="00C32A9C" w:rsidP="0067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D5EA7" w14:textId="77777777" w:rsidR="00C32A9C" w:rsidRDefault="00C32A9C" w:rsidP="006706C2">
      <w:pPr>
        <w:spacing w:after="0" w:line="240" w:lineRule="auto"/>
      </w:pPr>
      <w:r>
        <w:separator/>
      </w:r>
    </w:p>
  </w:footnote>
  <w:footnote w:type="continuationSeparator" w:id="0">
    <w:p w14:paraId="59F5A457" w14:textId="77777777" w:rsidR="00C32A9C" w:rsidRDefault="00C32A9C" w:rsidP="00670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547F"/>
    <w:multiLevelType w:val="hybridMultilevel"/>
    <w:tmpl w:val="9BB0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398"/>
    <w:multiLevelType w:val="hybridMultilevel"/>
    <w:tmpl w:val="C158F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00D4"/>
    <w:multiLevelType w:val="hybridMultilevel"/>
    <w:tmpl w:val="4D5E8C2A"/>
    <w:lvl w:ilvl="0" w:tplc="9F6C9D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E3590"/>
    <w:multiLevelType w:val="hybridMultilevel"/>
    <w:tmpl w:val="1E82D278"/>
    <w:lvl w:ilvl="0" w:tplc="E6EA50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5211">
    <w:abstractNumId w:val="2"/>
  </w:num>
  <w:num w:numId="2" w16cid:durableId="927731958">
    <w:abstractNumId w:val="3"/>
  </w:num>
  <w:num w:numId="3" w16cid:durableId="215438387">
    <w:abstractNumId w:val="1"/>
  </w:num>
  <w:num w:numId="4" w16cid:durableId="40622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8A"/>
    <w:rsid w:val="0004256E"/>
    <w:rsid w:val="000C4A6A"/>
    <w:rsid w:val="000D3653"/>
    <w:rsid w:val="00101A78"/>
    <w:rsid w:val="00120D8A"/>
    <w:rsid w:val="0013168F"/>
    <w:rsid w:val="001E6790"/>
    <w:rsid w:val="002165AC"/>
    <w:rsid w:val="002572F5"/>
    <w:rsid w:val="00267AC7"/>
    <w:rsid w:val="002C03D6"/>
    <w:rsid w:val="002C2D95"/>
    <w:rsid w:val="002E3789"/>
    <w:rsid w:val="002F5D1A"/>
    <w:rsid w:val="003825D5"/>
    <w:rsid w:val="003F0D44"/>
    <w:rsid w:val="00415F6E"/>
    <w:rsid w:val="00490DED"/>
    <w:rsid w:val="00497CDE"/>
    <w:rsid w:val="004D00EF"/>
    <w:rsid w:val="00517981"/>
    <w:rsid w:val="0053558E"/>
    <w:rsid w:val="00565CDC"/>
    <w:rsid w:val="005949E1"/>
    <w:rsid w:val="005B31E2"/>
    <w:rsid w:val="006706C2"/>
    <w:rsid w:val="00674BCE"/>
    <w:rsid w:val="006E25C1"/>
    <w:rsid w:val="007E4CF2"/>
    <w:rsid w:val="00803637"/>
    <w:rsid w:val="008454AC"/>
    <w:rsid w:val="008C66B1"/>
    <w:rsid w:val="009A45C5"/>
    <w:rsid w:val="009D39DF"/>
    <w:rsid w:val="00A44106"/>
    <w:rsid w:val="00AC57EE"/>
    <w:rsid w:val="00B00552"/>
    <w:rsid w:val="00B050D6"/>
    <w:rsid w:val="00B06758"/>
    <w:rsid w:val="00B07D91"/>
    <w:rsid w:val="00B3272D"/>
    <w:rsid w:val="00BB587E"/>
    <w:rsid w:val="00C1375B"/>
    <w:rsid w:val="00C32A9C"/>
    <w:rsid w:val="00C61F8E"/>
    <w:rsid w:val="00C81328"/>
    <w:rsid w:val="00CF3B52"/>
    <w:rsid w:val="00D4356A"/>
    <w:rsid w:val="00D4390F"/>
    <w:rsid w:val="00D66714"/>
    <w:rsid w:val="00DA1DAA"/>
    <w:rsid w:val="00DF6450"/>
    <w:rsid w:val="00E039B4"/>
    <w:rsid w:val="00E14139"/>
    <w:rsid w:val="00EC17A8"/>
    <w:rsid w:val="00EF785F"/>
    <w:rsid w:val="00F02263"/>
    <w:rsid w:val="00F15F2A"/>
    <w:rsid w:val="00F5492E"/>
    <w:rsid w:val="00FB4418"/>
    <w:rsid w:val="00F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30C5"/>
  <w15:chartTrackingRefBased/>
  <w15:docId w15:val="{38B52425-7880-4928-A67F-A4DEBB2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6C2"/>
  </w:style>
  <w:style w:type="paragraph" w:styleId="Footer">
    <w:name w:val="footer"/>
    <w:basedOn w:val="Normal"/>
    <w:link w:val="FooterChar"/>
    <w:uiPriority w:val="99"/>
    <w:unhideWhenUsed/>
    <w:rsid w:val="0067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6C2"/>
  </w:style>
  <w:style w:type="paragraph" w:styleId="ListParagraph">
    <w:name w:val="List Paragraph"/>
    <w:basedOn w:val="Normal"/>
    <w:uiPriority w:val="34"/>
    <w:qFormat/>
    <w:rsid w:val="006E25C1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674B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D0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0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0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8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4BFC-E9DF-41E3-BB1F-76586125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 Petec</dc:creator>
  <cp:keywords/>
  <dc:description/>
  <cp:lastModifiedBy>Andrei Diaconescu</cp:lastModifiedBy>
  <cp:revision>47</cp:revision>
  <dcterms:created xsi:type="dcterms:W3CDTF">2023-10-24T19:35:00Z</dcterms:created>
  <dcterms:modified xsi:type="dcterms:W3CDTF">2024-10-14T08:44:00Z</dcterms:modified>
</cp:coreProperties>
</file>