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reason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b w:val="false"/>
          <w:bCs w:val="false"/>
          <w:color w:val="000000"/>
        </w:rPr>
        <w:t>main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4" w:name="__DdeLink__37_1663998821"/>
      <w:bookmarkStart w:id="5" w:name="__DdeLink__50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4"/>
      <w:bookmarkEnd w:id="5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b w:val="false"/>
          <w:bCs w:val="false"/>
          <w:color w:val="000000"/>
        </w:rPr>
        <w:t>main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7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7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8" w:name="__DdeLink__41_16639988211"/>
      <w:r>
        <w:rPr>
          <w:color w:val="000000"/>
        </w:rPr>
        <w:t>brand</w:t>
      </w:r>
      <w:bookmarkEnd w:id="8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9" w:name="__DdeLink__37_16639988211"/>
      <w:bookmarkStart w:id="10" w:name="__DdeLink__50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9"/>
      <w:bookmarkEnd w:id="10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manufacturer_name}</w:t>
      </w:r>
      <w:r>
        <w:rPr>
          <w:color w:val="000000"/>
        </w:rPr>
        <w:t>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>Товарная позиция 3206 (группа 32), в которой классифицируется Краситель-концентрат чёрный, марка: Carbonis, артикул: Carbonis 05-Р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b/>
          <w:color w:val="000000"/>
        </w:rPr>
        <w:t>Изготовление из материалов любых позиций, при котором все используемые материалы должны классифицироваться в позиции, отличной от позиции продукта. Однако материалы той же позиции, что и продукт, могут использоваться при условии, что их стоимость не превышает 20 % цены конечной продукции.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Основные стадии производства включают в себя: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1. Засыпка компонентов в технологические емкости;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2. Подсушка, предварительный нагрев. При постоянном перемешивании в бункерах компоненты поступают в питатели, которые загружаются техническим углеродом, воском полимерным, полимером;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3. Дозирование компонентов в экструдер;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4. Транспортировка компонентов шнеком к фильере, в процессе которого компоненты расплавляются, перемешиваются и под давлением происходит однородное дозирование в фильеру;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5. Резка расплавленного материала с одновременным охлажденем водой;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6. Сушка готовых гранул суперконцентрата через центрифугу;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7. Взвешивание, растарка и упаковка готового продукта по мешкам. 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При производстве заявленной продукции используется следующее сырье, материалы и комплектующие:</w:t>
      </w:r>
    </w:p>
    <w:p>
      <w:pPr>
        <w:pStyle w:val="Normal"/>
        <w:jc w:val="both"/>
        <w:rPr>
          <w:b/>
          <w:b/>
          <w:color w:val="FF0000"/>
          <w:sz w:val="24"/>
          <w:szCs w:val="24"/>
          <w:highlight w:val="yellow"/>
        </w:rPr>
      </w:pPr>
      <w:r>
        <w:rPr>
          <w:b/>
          <w:color w:val="FF0000"/>
          <w:sz w:val="24"/>
          <w:szCs w:val="24"/>
          <w:highlight w:val="yellow"/>
        </w:rPr>
      </w:r>
    </w:p>
    <w:tbl>
      <w:tblPr>
        <w:tblW w:w="93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4"/>
        <w:gridCol w:w="1631"/>
        <w:gridCol w:w="3542"/>
        <w:gridCol w:w="1953"/>
      </w:tblGrid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продукции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Код ТН ВЭД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Производитель/</w:t>
            </w:r>
          </w:p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поставщик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Страна происхождения</w:t>
            </w:r>
          </w:p>
        </w:tc>
      </w:tr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Технический углерод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2803000000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ООО «Татнефть-АЗС центр» (Договор № 20500/2022/1007 от 22.09.2022)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Россия</w:t>
            </w:r>
          </w:p>
        </w:tc>
      </w:tr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Воск полимерный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3404900009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ООО «Форпласт» (Договор № 455/2466 от 23.05.2022)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Россия</w:t>
            </w:r>
          </w:p>
        </w:tc>
      </w:tr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Полимер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3901109000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LLC </w:t>
            </w:r>
            <w:r>
              <w:rPr>
                <w:color w:val="000000"/>
              </w:rPr>
              <w:t>«</w:t>
            </w:r>
            <w:r>
              <w:rPr>
                <w:color w:val="000000"/>
                <w:lang w:val="en-US"/>
              </w:rPr>
              <w:t>SABIC</w:t>
            </w:r>
            <w:r>
              <w:rPr>
                <w:color w:val="000000"/>
              </w:rPr>
              <w:t>» (Договор № 1760/1 от 11.05.2022)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ОАЭ</w:t>
            </w:r>
          </w:p>
        </w:tc>
      </w:tr>
    </w:tbl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b/>
          <w:color w:val="000000"/>
        </w:rPr>
        <w:t xml:space="preserve">изготовление из материалов любых позиций, при котором все используемые материалы должны классифицироваться в позиции, отличной от позиции продукта. Однако материалы той же позиции, что и продукт, могут использоваться при условии, что их стоимость не превышает 20 % цены конечной продукции.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  <w:t xml:space="preserve">Таким образом, так как производство удовлетворяет условиям, предусмотренным Соглашением о Правилах определения страны происхождения товаров в Содружестве Независимых Государств от 20 ноября 2009 г., товар является продукцией российского происхождения. 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FF0000"/>
        </w:rPr>
      </w:pPr>
      <w:r>
        <w:rPr>
          <w:color w:val="FF0000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 xml:space="preserve">на основании вышеизложенного установлено, что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1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1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2" w:name="__DdeLink__41_166399882111"/>
      <w:r>
        <w:rPr>
          <w:color w:val="000000"/>
        </w:rPr>
        <w:t>brand</w:t>
      </w:r>
      <w:bookmarkEnd w:id="12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3" w:name="__DdeLink__37_166399882111"/>
      <w:bookmarkStart w:id="14" w:name="__DdeLink__50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3"/>
      <w:bookmarkEnd w:id="14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  <w:highlight w:val="yellow"/>
        </w:rPr>
        <w:t xml:space="preserve">     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Происхождение установлено в соответствии с Правилами определения страны происхождения товаров, утвержденными Соглашением о Правилах определения страны происхождения товаров в Содружестве Независимых Государств от 20 ноября 2009 г.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 xml:space="preserve">«Д3206» – </w:t>
      </w:r>
      <w:r>
        <w:rPr>
          <w:b/>
          <w:i/>
          <w:color w:val="000000"/>
        </w:rPr>
        <w:t xml:space="preserve">товар подвергнут достаточной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Application>LibreOffice/6.4.7.2$Linux_X86_64 LibreOffice_project/40$Build-2</Application>
  <Pages>3</Pages>
  <Words>609</Words>
  <Characters>5110</Characters>
  <CharactersWithSpaces>5746</CharactersWithSpaces>
  <Paragraphs>77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2023-02-08T11:48:37Z</dcterms:modified>
  <cp:revision>16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