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4646DE82" w:rsidR="000453E3" w:rsidRPr="00AF1C57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8236E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  <w:r w:rsidR="008236E7" w:rsidRPr="00F1798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A9386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IP</w:t>
      </w:r>
      <w:r w:rsidR="00A93867" w:rsidRPr="00F1798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8236E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G</w:t>
      </w:r>
      <w:r w:rsidR="008236E7" w:rsidRPr="00F17987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1</w:t>
      </w:r>
    </w:p>
    <w:p w14:paraId="32150D98" w14:textId="77777777" w:rsidR="00D517D1" w:rsidRDefault="00D517D1" w:rsidP="009A3006">
      <w:pPr>
        <w:pStyle w:val="Default"/>
        <w:jc w:val="center"/>
      </w:pPr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15ECD7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Driver</w:t>
      </w:r>
      <w:proofErr w:type="spellEnd"/>
      <w:r w:rsidR="006E3918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="006E3918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>monitor</w:t>
      </w:r>
      <w:r w:rsidR="00546D1B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ing</w:t>
      </w:r>
      <w:proofErr w:type="spellEnd"/>
      <w:r w:rsidR="00546D1B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="00546D1B" w:rsidRPr="008236E7">
        <w:rPr>
          <w:rFonts w:asciiTheme="minorHAnsi" w:eastAsiaTheme="minorHAnsi" w:hAnsiTheme="minorHAnsi" w:cstheme="minorHAnsi"/>
          <w:i/>
          <w:iCs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013D583B" w:rsidR="00BF582B" w:rsidRPr="000A26F1" w:rsidRDefault="000A26F1" w:rsidP="001B21EA">
            <w:pPr>
              <w:ind w:left="62" w:right="851"/>
              <w:rPr>
                <w:lang w:val="en-US"/>
              </w:rPr>
            </w:pPr>
            <w:r>
              <w:t xml:space="preserve">6 </w:t>
            </w:r>
            <w:r>
              <w:rPr>
                <w:lang w:val="en-US"/>
              </w:rPr>
              <w:t>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E98AEFB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27DC034" w14:textId="69824495" w:rsidR="00F17987" w:rsidRDefault="00F17987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39D219A8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D83D7A">
        <w:rPr>
          <w:rFonts w:ascii="Calibri" w:hAnsi="Calibri"/>
          <w:lang w:val="en-US"/>
        </w:rPr>
        <w:t>DMS-</w:t>
      </w:r>
      <w:r w:rsidR="00A93867">
        <w:rPr>
          <w:rFonts w:ascii="Calibri" w:hAnsi="Calibri"/>
          <w:lang w:val="en-US"/>
        </w:rPr>
        <w:t>IP-</w:t>
      </w:r>
      <w:r w:rsidR="00D83D7A">
        <w:rPr>
          <w:rFonts w:ascii="Calibri" w:hAnsi="Calibri"/>
          <w:lang w:val="en-US"/>
        </w:rPr>
        <w:t>G</w:t>
      </w:r>
      <w:r w:rsidR="008236E7">
        <w:rPr>
          <w:rFonts w:ascii="Calibri" w:hAnsi="Calibri"/>
          <w:lang w:val="en-US"/>
        </w:rPr>
        <w:t>1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0D0EC11D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</w:t>
      </w:r>
      <w:r w:rsidR="00887C16" w:rsidRPr="00887C16">
        <w:rPr>
          <w:rFonts w:ascii="Calibri" w:hAnsi="Calibri"/>
          <w:sz w:val="24"/>
        </w:rPr>
        <w:t xml:space="preserve"> </w:t>
      </w:r>
      <w:r w:rsidR="00887C16">
        <w:rPr>
          <w:rFonts w:ascii="Calibri" w:hAnsi="Calibri"/>
          <w:sz w:val="24"/>
        </w:rPr>
        <w:t>цифровая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F17987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7987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F17987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F17987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F17987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26F1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1DFA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236E7"/>
    <w:rsid w:val="008348E9"/>
    <w:rsid w:val="00840E77"/>
    <w:rsid w:val="0084497E"/>
    <w:rsid w:val="00855C55"/>
    <w:rsid w:val="008600D3"/>
    <w:rsid w:val="008668C0"/>
    <w:rsid w:val="00870120"/>
    <w:rsid w:val="00875024"/>
    <w:rsid w:val="00877161"/>
    <w:rsid w:val="00880DB3"/>
    <w:rsid w:val="00887C16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93867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83D7A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17987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E9EE-992B-4795-990F-EEA2BD96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2024-01-15T11:00:00Z</cp:lastPrinted>
  <dcterms:created xsi:type="dcterms:W3CDTF">2024-01-15T11:04:00Z</dcterms:created>
  <dcterms:modified xsi:type="dcterms:W3CDTF">2024-03-06T08:05:00Z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