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№1.1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Ускорение обучения нейронных сетей на основе 16 битных вычислений.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Ускорение обучения нейронных сетей на основе смешанного обучения: 16 битных вычисления и 32 битное хранение весов.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Часть 1. MNIST (Потыкать).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Обучить нейронную сеть для классификации изображений MNIST на основе: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битных вычислений и 32 битном хранении весов.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битных вычислениях и 32 битном хранении весов.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битных вычислениях и 16 битном хранении весов (если получится обучить или просто запустить прямой проход).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сравнение данных подходов по: скорости вычислений, точности нейронной сети, занимаемой оперативной памяти.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Подсказка: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Современные GPU быстро решают данную задачу, поэтому для тестирования нужно взять большую нейронную сеть. Например, состоящую из 3 скрытых сверточных слоев по 500 нейронов в каждом и одного скрытого с 500 полносвязными. Цель данной лабораторной посмотреть на ускорение нейронных сетей, поэтому нейронная сеть не оптимальная.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Цель лабораторной ускорить нейронную сеть без потери качества.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Можно делать на PyTorch (Keras не желательно, т.к. обучение не стабильное).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cyan"/>
          <w:rtl w:val="0"/>
        </w:rPr>
        <w:t xml:space="preserve">Воспользуйтесь нормализацией градиентов (называется шкалирование)! Без нее обучение будет очень нестабильным и приравнивать веса к None!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Код на PyTorch:</w:t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6"/>
        <w:tblGridChange w:id="0">
          <w:tblGrid>
            <w:gridCol w:w="97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scaler = torch.cuda.amp.GradScaler()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with torch.autocast(device_type='cuda', dtype=torch.float16):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    scaler.scale(loss).backward()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    scaler.step(optimizer)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    scaler.update()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приведены дополнительные ссылки с описанием подходов выше.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Ссылки: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Примеры кода (теория):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https://www.tensorflow.org/guide/mixed_precision?hl=ru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типов данных: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https://habr.com/ru/companies/wunderfund/articles/776496/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EF50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EF5071"/>
    <w:rPr>
      <w:color w:val="605e5c"/>
      <w:shd w:color="auto" w:fill="e1dfdd" w:val="clear"/>
    </w:rPr>
  </w:style>
  <w:style w:type="paragraph" w:styleId="a5">
    <w:name w:val="List Paragraph"/>
    <w:basedOn w:val="a"/>
    <w:uiPriority w:val="34"/>
    <w:qFormat w:val="1"/>
    <w:rsid w:val="00D44E76"/>
    <w:pPr>
      <w:ind w:left="720"/>
      <w:contextualSpacing w:val="1"/>
    </w:pPr>
  </w:style>
  <w:style w:type="character" w:styleId="a6">
    <w:name w:val="FollowedHyperlink"/>
    <w:basedOn w:val="a0"/>
    <w:uiPriority w:val="99"/>
    <w:semiHidden w:val="1"/>
    <w:unhideWhenUsed w:val="1"/>
    <w:rsid w:val="0092227C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757E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ensorflow.org/guide/mixed_precision?hl=ru" TargetMode="External"/><Relationship Id="rId8" Type="http://schemas.openxmlformats.org/officeDocument/2006/relationships/hyperlink" Target="https://habr.com/ru/companies/wunderfund/articles/77649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3p8+skP4Iel1peZwPmDoxUDvg==">CgMxLjA4AHIhMVl1MVFVMkJnSXFGbVR4NFBBMzdrc1EwWS03Ukd2SWVm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2025-09-03T12:51:00Z</dcterms:created>
  <dc:creator>Николай Кривошеев</dc:creator>
</cp:coreProperties>
</file>