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5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5.png" ContentType="image/png"/>
  <Override PartName="/word/media/rId139.png" ContentType="image/png"/>
  <Override PartName="/word/media/rId29.png" ContentType="image/png"/>
  <Override PartName="/word/media/rId143.png" ContentType="image/png"/>
  <Override PartName="/word/media/rId147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№9</w:t>
      </w:r>
    </w:p>
    <w:p>
      <w:pPr>
        <w:pStyle w:val="Subtitle"/>
      </w:pPr>
      <w:r>
        <w:t xml:space="preserve">НПИбд-01-25 №1032252598</w:t>
      </w:r>
    </w:p>
    <w:p>
      <w:pPr>
        <w:pStyle w:val="Author"/>
      </w:pPr>
      <w:r>
        <w:t xml:space="preserve">Иванова Ангелина 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приобретение навыков написания программ с использованием подпрограмм и знакомство с методами отладки при помощи GDB и его основными возможностями.</w:t>
      </w:r>
    </w:p>
    <w:bookmarkEnd w:id="20"/>
    <w:bookmarkStart w:id="15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134" w:name="задания-лабораторной-работы"/>
    <w:p>
      <w:pPr>
        <w:pStyle w:val="Heading2"/>
      </w:pPr>
      <w:r>
        <w:t xml:space="preserve">2.1 Задания лабораторной работы</w:t>
      </w:r>
    </w:p>
    <w:bookmarkStart w:id="41" w:name="реализация-подпрограмм-в-nasm"/>
    <w:p>
      <w:pPr>
        <w:pStyle w:val="Heading3"/>
      </w:pPr>
      <w:r>
        <w:t xml:space="preserve">2.1.1 Реализация подпрограмм в NASM</w:t>
      </w:r>
    </w:p>
    <w:p>
      <w:pPr>
        <w:pStyle w:val="FirstParagraph"/>
      </w:pPr>
      <w:r>
        <w:t xml:space="preserve">Создали каталог для выполнения лабораторной работы № 9, перешли в него и создали файл lab09-1.asm</w:t>
      </w:r>
      <w:r>
        <w:br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4800600" cy="1033462"/>
                  <wp:effectExtent b="0" l="0" r="0" t="0"/>
                  <wp:docPr descr="" title="Создание каталога и файла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033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каталога и файла</w:t>
            </w:r>
          </w:p>
          <w:bookmarkEnd w:id="24"/>
        </w:tc>
      </w:tr>
    </w:tbl>
    <w:p>
      <w:pPr>
        <w:pStyle w:val="BodyText"/>
      </w:pPr>
      <w:r>
        <w:t xml:space="preserve">Внимательно изучили текст программы первого листинга. Ввели в файл lab09-1.asm текст программы из первого листинга.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4800600" cy="4096585"/>
                  <wp:effectExtent b="0" l="0" r="0" t="0"/>
                  <wp:docPr descr="" title="Измененный файл lab09-1.asm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096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Измененный файл lab09-1.asm</w:t>
            </w:r>
          </w:p>
          <w:bookmarkEnd w:id="28"/>
        </w:tc>
      </w:tr>
    </w:tbl>
    <w:p>
      <w:pPr>
        <w:pStyle w:val="BodyText"/>
      </w:pPr>
      <w:r>
        <w:t xml:space="preserve">Создали исполняемый файл и запустили его. Получили корректный результат работы данной программы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1"/>
          <w:p>
            <w:pPr>
              <w:pStyle w:val="Compact"/>
              <w:jc w:val="center"/>
            </w:pPr>
            <w:r>
              <w:drawing>
                <wp:inline>
                  <wp:extent cx="4800600" cy="872289"/>
                  <wp:effectExtent b="0" l="0" r="0" t="0"/>
                  <wp:docPr descr="" title="Создание исполняемого файла и вывод его работы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8722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исполняемого файла и вывод его работы</w:t>
            </w:r>
          </w:p>
          <w:bookmarkEnd w:id="32"/>
        </w:tc>
      </w:tr>
    </w:tbl>
    <w:p>
      <w:pPr>
        <w:pStyle w:val="BodyText"/>
      </w:pPr>
      <w:r>
        <w:t xml:space="preserve">Далее изменили программу, добавив подпрограмму _subcalcul в подпрограмму _calcul, для вычисления выражения f(g(x)), где x вводится с клавиатуры, f(x) = 2x + 7, g(x) = 3x − 1. Т.е. x передается в подпрограмму _calcul из нее в подпрограмму _subcalcul, где вычисляется выражение g(x), результат возвращается в _calcul и вычисляется выражение f(g(x)). Результат возвращается в основную программу для вывода результата на экран.</w:t>
      </w:r>
    </w:p>
    <w:p>
      <w:pPr>
        <w:pStyle w:val="BodyText"/>
      </w:pPr>
      <w:r>
        <w:rPr>
          <w:b/>
          <w:bCs/>
        </w:rPr>
        <w:t xml:space="preserve">Листинг 1:</w:t>
      </w:r>
      <w:r>
        <w:br/>
      </w:r>
      <w:r>
        <w:t xml:space="preserve">%include</w:t>
      </w:r>
      <w:r>
        <w:t xml:space="preserve"> </w:t>
      </w:r>
      <w:r>
        <w:t xml:space="preserve">‘in_out.asm’</w:t>
      </w:r>
      <w:r>
        <w:br/>
      </w:r>
      <w:r>
        <w:t xml:space="preserve">SECTION .data</w:t>
      </w:r>
      <w:r>
        <w:br/>
      </w:r>
      <w:r>
        <w:t xml:space="preserve">msg: DB</w:t>
      </w:r>
      <w:r>
        <w:t xml:space="preserve"> </w:t>
      </w:r>
      <w:r>
        <w:t xml:space="preserve">‘Введите x:’</w:t>
      </w:r>
      <w:r>
        <w:t xml:space="preserve">,0</w:t>
      </w:r>
      <w:r>
        <w:br/>
      </w:r>
      <w:r>
        <w:t xml:space="preserve">result: DB ’f(g(x))=2*(3x-1)+7=’,0</w:t>
      </w:r>
      <w:r>
        <w:br/>
      </w:r>
      <w:r>
        <w:t xml:space="preserve">SECTION .bss</w:t>
      </w:r>
      <w:r>
        <w:br/>
      </w:r>
      <w:r>
        <w:t xml:space="preserve">x: RESB 80</w:t>
      </w:r>
      <w:r>
        <w:br/>
      </w:r>
      <w:r>
        <w:t xml:space="preserve">res: RESB 80</w:t>
      </w:r>
      <w:r>
        <w:br/>
      </w:r>
      <w:r>
        <w:t xml:space="preserve">SECTION .text</w:t>
      </w:r>
      <w:r>
        <w:br/>
      </w:r>
      <w:r>
        <w:t xml:space="preserve">GLOBAL _start</w:t>
      </w:r>
      <w:r>
        <w:br/>
      </w:r>
      <w:r>
        <w:t xml:space="preserve">_start:</w:t>
      </w:r>
      <w:r>
        <w:br/>
      </w:r>
      <w:r>
        <w:t xml:space="preserve">;——————————————</w:t>
      </w:r>
      <w:r>
        <w:br/>
      </w:r>
      <w:r>
        <w:t xml:space="preserve">; Основная программа</w:t>
      </w:r>
      <w:r>
        <w:br/>
      </w:r>
      <w:r>
        <w:t xml:space="preserve">;——————————————</w:t>
      </w:r>
      <w:r>
        <w:br/>
      </w:r>
      <w:r>
        <w:t xml:space="preserve">mov eax, msg</w:t>
      </w:r>
      <w:r>
        <w:br/>
      </w:r>
      <w:r>
        <w:t xml:space="preserve">call sprint</w:t>
      </w:r>
      <w:r>
        <w:br/>
      </w:r>
      <w:r>
        <w:t xml:space="preserve">mov ecx, x</w:t>
      </w:r>
      <w:r>
        <w:br/>
      </w:r>
      <w:r>
        <w:t xml:space="preserve">mov edx, 80</w:t>
      </w:r>
      <w:r>
        <w:br/>
      </w:r>
      <w:r>
        <w:t xml:space="preserve">call sread</w:t>
      </w:r>
      <w:r>
        <w:br/>
      </w:r>
      <w:r>
        <w:t xml:space="preserve">mov eax, x</w:t>
      </w:r>
      <w:r>
        <w:br/>
      </w:r>
      <w:r>
        <w:t xml:space="preserve">call atoi</w:t>
      </w:r>
      <w:r>
        <w:br/>
      </w:r>
      <w:r>
        <w:t xml:space="preserve">call _calcul</w:t>
      </w:r>
      <w:r>
        <w:br/>
      </w:r>
      <w:r>
        <w:t xml:space="preserve">mov eax, result</w:t>
      </w:r>
      <w:r>
        <w:br/>
      </w:r>
      <w:r>
        <w:t xml:space="preserve">call sprint</w:t>
      </w:r>
      <w:r>
        <w:br/>
      </w:r>
      <w:r>
        <w:t xml:space="preserve">mov eax, [res]</w:t>
      </w:r>
      <w:r>
        <w:br/>
      </w:r>
      <w:r>
        <w:t xml:space="preserve">call iprintLF</w:t>
      </w:r>
      <w:r>
        <w:br/>
      </w:r>
      <w:r>
        <w:t xml:space="preserve">call quit</w:t>
      </w:r>
      <w:r>
        <w:br/>
      </w:r>
      <w:r>
        <w:t xml:space="preserve">;——————————————</w:t>
      </w:r>
      <w:r>
        <w:br/>
      </w:r>
      <w:r>
        <w:t xml:space="preserve">; Подпрограмма вычисления f(g(x))</w:t>
      </w:r>
      <w:r>
        <w:br/>
      </w:r>
      <w:r>
        <w:t xml:space="preserve">;——————————————</w:t>
      </w:r>
      <w:r>
        <w:br/>
      </w:r>
      <w:r>
        <w:t xml:space="preserve">_calcul:</w:t>
      </w:r>
      <w:r>
        <w:br/>
      </w:r>
      <w:r>
        <w:t xml:space="preserve">push ebx</w:t>
      </w:r>
      <w:r>
        <w:br/>
      </w:r>
      <w:r>
        <w:t xml:space="preserve">call _subcalcul</w:t>
      </w:r>
      <w:r>
        <w:br/>
      </w:r>
      <w:r>
        <w:t xml:space="preserve">mov ebx, 2</w:t>
      </w:r>
      <w:r>
        <w:br/>
      </w:r>
      <w:r>
        <w:t xml:space="preserve">mul ebx</w:t>
      </w:r>
      <w:r>
        <w:br/>
      </w:r>
      <w:r>
        <w:t xml:space="preserve">add eax, 7</w:t>
      </w:r>
      <w:r>
        <w:br/>
      </w:r>
      <w:r>
        <w:t xml:space="preserve">mov [res], eax</w:t>
      </w:r>
      <w:r>
        <w:br/>
      </w:r>
      <w:r>
        <w:t xml:space="preserve">pop ebx</w:t>
      </w:r>
      <w:r>
        <w:br/>
      </w:r>
      <w:r>
        <w:t xml:space="preserve">ret</w:t>
      </w:r>
      <w:r>
        <w:br/>
      </w:r>
      <w:r>
        <w:t xml:space="preserve">_subcalcul:</w:t>
      </w:r>
      <w:r>
        <w:br/>
      </w:r>
      <w:r>
        <w:t xml:space="preserve">push ebx</w:t>
      </w:r>
      <w:r>
        <w:br/>
      </w:r>
      <w:r>
        <w:t xml:space="preserve">mov ebx, 3</w:t>
      </w:r>
      <w:r>
        <w:br/>
      </w:r>
      <w:r>
        <w:t xml:space="preserve">mul ebx</w:t>
      </w:r>
      <w:r>
        <w:br/>
      </w:r>
      <w:r>
        <w:t xml:space="preserve">sub eax, 1</w:t>
      </w:r>
      <w:r>
        <w:br/>
      </w:r>
      <w:r>
        <w:t xml:space="preserve">pop ebx</w:t>
      </w:r>
      <w:r>
        <w:br/>
      </w:r>
      <w:r>
        <w:t xml:space="preserve">ret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1"/>
          <w:p>
            <w:pPr>
              <w:pStyle w:val="Compact"/>
              <w:jc w:val="center"/>
            </w:pPr>
            <w:r>
              <w:drawing>
                <wp:inline>
                  <wp:extent cx="4800600" cy="5401418"/>
                  <wp:effectExtent b="0" l="0" r="0" t="0"/>
                  <wp:docPr descr="" title="Измененный текст программы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Измененный текст программы</w:t>
            </w:r>
          </w:p>
          <w:bookmarkEnd w:id="36"/>
        </w:tc>
      </w:tr>
    </w:tbl>
    <w:p>
      <w:pPr>
        <w:pStyle w:val="BodyText"/>
      </w:pPr>
      <w:r>
        <w:t xml:space="preserve">Создали исполняемый файл и проверили его работу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1"/>
          <w:p>
            <w:pPr>
              <w:pStyle w:val="Compact"/>
              <w:jc w:val="center"/>
            </w:pPr>
            <w:r>
              <w:drawing>
                <wp:inline>
                  <wp:extent cx="4800600" cy="5401418"/>
                  <wp:effectExtent b="0" l="0" r="0" t="0"/>
                  <wp:docPr descr="" title="Создание исполняемого файла и вывод его работы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Создание исполняемого файла и вывод его работы</w:t>
            </w:r>
          </w:p>
          <w:bookmarkEnd w:id="40"/>
        </w:tc>
      </w:tr>
    </w:tbl>
    <w:bookmarkEnd w:id="41"/>
    <w:bookmarkStart w:id="66" w:name="отладка-программам-с-помощью-gdb"/>
    <w:p>
      <w:pPr>
        <w:pStyle w:val="Heading3"/>
      </w:pPr>
      <w:r>
        <w:t xml:space="preserve">2.1.2 Отладка программам с помощью GDB</w:t>
      </w:r>
    </w:p>
    <w:p>
      <w:pPr>
        <w:pStyle w:val="FirstParagraph"/>
      </w:pPr>
      <w:r>
        <w:t xml:space="preserve">Создали файл lab09-2.asm и ввели в него текст программы из второго листинга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1"/>
          <w:p>
            <w:pPr>
              <w:pStyle w:val="Compact"/>
              <w:jc w:val="center"/>
            </w:pPr>
            <w:r>
              <w:drawing>
                <wp:inline>
                  <wp:extent cx="4800600" cy="5401418"/>
                  <wp:effectExtent b="0" l="0" r="0" t="0"/>
                  <wp:docPr descr="" title="Измененный файл lab09-2.asm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Измененный файл lab09-2.asm</w:t>
            </w:r>
          </w:p>
          <w:bookmarkEnd w:id="45"/>
        </w:tc>
      </w:tr>
    </w:tbl>
    <w:p>
      <w:pPr>
        <w:pStyle w:val="BodyText"/>
      </w:pPr>
      <w:r>
        <w:t xml:space="preserve">Создали исполняемый файл. Для работы с GDB в исполняемый файл добавили отладочную информацию, для этого трансляцию программ провели с ключом</w:t>
      </w:r>
      <w:r>
        <w:t xml:space="preserve"> </w:t>
      </w:r>
      <w:r>
        <w:t xml:space="preserve">‘-g’</w:t>
      </w:r>
      <w:r>
        <w:t xml:space="preserve">. Загрузили исполняемый файл в отладчик gdb и проверили работу программы, запустив ее в оболочке GDB с помощью команды run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1"/>
          <w:p>
            <w:pPr>
              <w:pStyle w:val="Compact"/>
              <w:jc w:val="center"/>
            </w:pPr>
            <w:r>
              <w:drawing>
                <wp:inline>
                  <wp:extent cx="4800600" cy="4636152"/>
                  <wp:effectExtent b="0" l="0" r="0" t="0"/>
                  <wp:docPr descr="" title="Создание исполняемого файла и проверка его работы в оболочке GDB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636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Создание исполняемого файла и проверка его работы в оболочке GDB</w:t>
            </w:r>
          </w:p>
          <w:bookmarkEnd w:id="49"/>
        </w:tc>
      </w:tr>
    </w:tbl>
    <w:p>
      <w:pPr>
        <w:pStyle w:val="BodyText"/>
      </w:pPr>
      <w:r>
        <w:t xml:space="preserve">Для более подробного анализа программы установили брейкпоинт на метку _start, с которой начинается выполнение любой ассемблерной программы, и запустили её.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1"/>
          <w:p>
            <w:pPr>
              <w:pStyle w:val="Compact"/>
              <w:jc w:val="center"/>
            </w:pPr>
            <w:r>
              <w:drawing>
                <wp:inline>
                  <wp:extent cx="4800600" cy="1005659"/>
                  <wp:effectExtent b="0" l="0" r="0" t="0"/>
                  <wp:docPr descr="" title="Добавление брейкпоинта и запуск программы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0056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Добавление брейкпоинта и запуск программы</w:t>
            </w:r>
          </w:p>
          <w:bookmarkEnd w:id="53"/>
        </w:tc>
      </w:tr>
    </w:tbl>
    <w:p>
      <w:pPr>
        <w:pStyle w:val="BodyText"/>
      </w:pPr>
      <w:r>
        <w:t xml:space="preserve">Посмотрили дисассимилированный код программы с помощью команды disassemble начиная с метки _start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1"/>
          <w:p>
            <w:pPr>
              <w:pStyle w:val="Compact"/>
              <w:jc w:val="center"/>
            </w:pPr>
            <w:r>
              <w:drawing>
                <wp:inline>
                  <wp:extent cx="4800600" cy="2628549"/>
                  <wp:effectExtent b="0" l="0" r="0" t="0"/>
                  <wp:docPr descr="" title="Просмотр дисассимилированного кода программы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628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Просмотр дисассимилированного кода программы</w:t>
            </w:r>
          </w:p>
          <w:bookmarkEnd w:id="57"/>
        </w:tc>
      </w:tr>
    </w:tbl>
    <w:p>
      <w:pPr>
        <w:pStyle w:val="BodyText"/>
      </w:pPr>
      <w:r>
        <w:t xml:space="preserve">Переключились на отображение команд с Intel’овским синтаксисом, введя команду set disassembly-flavor intel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1"/>
          <w:p>
            <w:pPr>
              <w:pStyle w:val="Compact"/>
              <w:jc w:val="center"/>
            </w:pPr>
            <w:r>
              <w:drawing>
                <wp:inline>
                  <wp:extent cx="4800600" cy="2753718"/>
                  <wp:effectExtent b="0" l="0" r="0" t="0"/>
                  <wp:docPr descr="" title="Переключение и просмотр дисассимилированного кода программы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753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Переключение и просмотр дисассимилированного кода программы</w:t>
            </w:r>
          </w:p>
          <w:bookmarkEnd w:id="61"/>
        </w:tc>
      </w:tr>
    </w:tbl>
    <w:p>
      <w:pPr>
        <w:pStyle w:val="BodyText"/>
      </w:pPr>
      <w:r>
        <w:t xml:space="preserve">Различия отображения синтаксиса машинных команд в режимах ATT и Intel:</w:t>
      </w:r>
      <w:r>
        <w:br/>
      </w:r>
      <w:r>
        <w:t xml:space="preserve">1.Порядок операндов: В ATT синтаксисе порядок операндов обратный, сначала указывается исходный операнд, а затем - результирующий операнд. В Intel синтаксисе порядок обычно прямой, результирующий операнд указывается первым, а исходный - вторым.</w:t>
      </w:r>
      <w:r>
        <w:br/>
      </w:r>
      <w:r>
        <w:t xml:space="preserve">2.Разделители: В ATT синтаксисе разделители операндов - запятые. В Intel синтаксисе разделители могут быть запятые или косые черты (/).</w:t>
      </w:r>
      <w:r>
        <w:br/>
      </w:r>
      <w:r>
        <w:t xml:space="preserve">3.Префиксы размера операндов: В ATT синтаксисе размер операнда указывается перед операндом с использованием префиксов, таких как</w:t>
      </w:r>
      <w:r>
        <w:t xml:space="preserve"> </w:t>
      </w:r>
      <w:r>
        <w:t xml:space="preserve">“b”</w:t>
      </w:r>
      <w:r>
        <w:t xml:space="preserve"> </w:t>
      </w:r>
      <w:r>
        <w:t xml:space="preserve">(byte),</w:t>
      </w:r>
      <w:r>
        <w:t xml:space="preserve"> </w:t>
      </w:r>
      <w:r>
        <w:t xml:space="preserve">“w”</w:t>
      </w:r>
      <w:r>
        <w:t xml:space="preserve"> </w:t>
      </w:r>
      <w:r>
        <w:t xml:space="preserve">(word),</w:t>
      </w:r>
      <w:r>
        <w:t xml:space="preserve"> </w:t>
      </w:r>
      <w:r>
        <w:t xml:space="preserve">“l”</w:t>
      </w:r>
      <w:r>
        <w:t xml:space="preserve"> </w:t>
      </w:r>
      <w:r>
        <w:t xml:space="preserve">(long) и</w:t>
      </w:r>
      <w:r>
        <w:t xml:space="preserve"> </w:t>
      </w:r>
      <w:r>
        <w:t xml:space="preserve">“q”</w:t>
      </w:r>
      <w:r>
        <w:t xml:space="preserve"> </w:t>
      </w:r>
      <w:r>
        <w:t xml:space="preserve">(quadword). В Intel синтаксисе размер операнда указывается после операнда с использованием суффиксов, таких как</w:t>
      </w:r>
      <w:r>
        <w:t xml:space="preserve"> </w:t>
      </w:r>
      <w:r>
        <w:t xml:space="preserve">“b”</w:t>
      </w:r>
      <w:r>
        <w:t xml:space="preserve">,</w:t>
      </w:r>
      <w:r>
        <w:t xml:space="preserve"> </w:t>
      </w:r>
      <w:r>
        <w:t xml:space="preserve">“w”</w:t>
      </w:r>
      <w:r>
        <w:t xml:space="preserve">,</w:t>
      </w:r>
      <w:r>
        <w:t xml:space="preserve"> </w:t>
      </w:r>
      <w:r>
        <w:t xml:space="preserve">“d”</w:t>
      </w:r>
      <w:r>
        <w:t xml:space="preserve"> </w:t>
      </w:r>
      <w:r>
        <w:t xml:space="preserve">и</w:t>
      </w:r>
      <w:r>
        <w:t xml:space="preserve"> </w:t>
      </w:r>
      <w:r>
        <w:t xml:space="preserve">“q”</w:t>
      </w:r>
      <w:r>
        <w:t xml:space="preserve">.</w:t>
      </w:r>
      <w:r>
        <w:br/>
      </w:r>
      <w:r>
        <w:t xml:space="preserve">4.Знак операндов: В ATT синтаксисе операнды с позитивными значениями предваряются символом “</w:t>
      </w:r>
      <w:r>
        <w:t xml:space="preserve">“.”</w:t>
      </w:r>
      <w:r>
        <w:t xml:space="preserve">”.</w:t>
      </w:r>
      <w:r>
        <w:br/>
      </w:r>
      <w:r>
        <w:t xml:space="preserve">5.Обозначение адресов: В ATT синтаксисе адреса указываются в круглых скобках. В Intel синтаксисе адреса указываются без скобок.</w:t>
      </w:r>
      <w:r>
        <w:br/>
      </w:r>
      <w:r>
        <w:t xml:space="preserve">6.Обозначение регистров: В ATT синтаксисе обозначение регистра начинается с символа</w:t>
      </w:r>
      <w:r>
        <w:t xml:space="preserve"> </w:t>
      </w:r>
      <w:r>
        <w:t xml:space="preserve">“%”</w:t>
      </w:r>
      <w:r>
        <w:t xml:space="preserve">. В Intel синтаксисе обозначение регистра может начинаться с символа</w:t>
      </w:r>
      <w:r>
        <w:t xml:space="preserve"> </w:t>
      </w:r>
      <w:r>
        <w:t xml:space="preserve">“R”</w:t>
      </w:r>
      <w:r>
        <w:t xml:space="preserve"> </w:t>
      </w:r>
      <w:r>
        <w:t xml:space="preserve">или</w:t>
      </w:r>
      <w:r>
        <w:t xml:space="preserve"> </w:t>
      </w:r>
      <w:r>
        <w:t xml:space="preserve">“E”</w:t>
      </w:r>
      <w:r>
        <w:t xml:space="preserve"> </w:t>
      </w:r>
      <w:r>
        <w:t xml:space="preserve">(например,</w:t>
      </w:r>
      <w:r>
        <w:t xml:space="preserve"> </w:t>
      </w:r>
      <w:r>
        <w:t xml:space="preserve">“%eax”</w:t>
      </w:r>
      <w:r>
        <w:t xml:space="preserve"> </w:t>
      </w:r>
      <w:r>
        <w:t xml:space="preserve">или</w:t>
      </w:r>
      <w:r>
        <w:t xml:space="preserve"> </w:t>
      </w:r>
      <w:r>
        <w:t xml:space="preserve">“RAX”</w:t>
      </w:r>
      <w:r>
        <w:t xml:space="preserve">).</w:t>
      </w:r>
    </w:p>
    <w:p>
      <w:pPr>
        <w:pStyle w:val="BodyText"/>
      </w:pPr>
      <w:r>
        <w:t xml:space="preserve">Включили режим псевдографики для более удобного анализа программы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1"/>
          <w:p>
            <w:pPr>
              <w:pStyle w:val="Compact"/>
              <w:jc w:val="center"/>
            </w:pPr>
            <w:r>
              <w:drawing>
                <wp:inline>
                  <wp:extent cx="4800600" cy="3486809"/>
                  <wp:effectExtent b="0" l="0" r="0" t="0"/>
                  <wp:docPr descr="" title="Включение режима псевдографики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868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Включение режима псевдографики</w:t>
            </w:r>
          </w:p>
          <w:bookmarkEnd w:id="65"/>
        </w:tc>
      </w:tr>
    </w:tbl>
    <w:bookmarkEnd w:id="66"/>
    <w:bookmarkStart w:id="75" w:name="добавление-точек-останова"/>
    <w:p>
      <w:pPr>
        <w:pStyle w:val="Heading3"/>
      </w:pPr>
      <w:r>
        <w:t xml:space="preserve">2.1.3 Добавление точек останова</w:t>
      </w:r>
    </w:p>
    <w:p>
      <w:pPr>
        <w:pStyle w:val="FirstParagraph"/>
      </w:pPr>
      <w:r>
        <w:t xml:space="preserve">На предыдущих шагах была установлена точка останова по имени метки (_start). Проверили это с помощью команды info breakpoints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01"/>
          <w:p>
            <w:pPr>
              <w:pStyle w:val="Compact"/>
              <w:jc w:val="center"/>
            </w:pPr>
            <w:r>
              <w:drawing>
                <wp:inline>
                  <wp:extent cx="4800600" cy="5401418"/>
                  <wp:effectExtent b="0" l="0" r="0" t="0"/>
                  <wp:docPr descr="" title="Проверка меток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Проверка меток</w:t>
            </w:r>
          </w:p>
          <w:bookmarkEnd w:id="70"/>
        </w:tc>
      </w:tr>
    </w:tbl>
    <w:p>
      <w:pPr>
        <w:pStyle w:val="BodyText"/>
      </w:pPr>
      <w:r>
        <w:t xml:space="preserve">Определили адрес предпоследней инструкции (mov ebx,0x0) и установили точку останова. Посмотрели информацию о всех установленных точках останова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01"/>
          <w:p>
            <w:pPr>
              <w:pStyle w:val="Compact"/>
              <w:jc w:val="center"/>
            </w:pPr>
            <w:r>
              <w:drawing>
                <wp:inline>
                  <wp:extent cx="4800600" cy="5401418"/>
                  <wp:effectExtent b="0" l="0" r="0" t="0"/>
                  <wp:docPr descr="" title="Установка точки остонова и просмотр информации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Установка точки остонова и просмотр информации</w:t>
            </w:r>
          </w:p>
          <w:bookmarkEnd w:id="74"/>
        </w:tc>
      </w:tr>
    </w:tbl>
    <w:bookmarkEnd w:id="75"/>
    <w:bookmarkStart w:id="120" w:name="работа-с-данными-программы-в-gdb"/>
    <w:p>
      <w:pPr>
        <w:pStyle w:val="Heading3"/>
      </w:pPr>
      <w:r>
        <w:t xml:space="preserve">2.1.4 Работа с данными программы в GDB</w:t>
      </w:r>
    </w:p>
    <w:p>
      <w:pPr>
        <w:pStyle w:val="FirstParagraph"/>
      </w:pPr>
      <w:r>
        <w:t xml:space="preserve">Выполнили 5 инструкций с помощью команды stepi (или si) и проследили за изменением значений регистров. Итого, за 5 инструкций регистры изменялись следующим образом:</w:t>
      </w:r>
      <w:r>
        <w:br/>
      </w:r>
      <w:r>
        <w:t xml:space="preserve">1. eax = 4</w:t>
      </w:r>
      <w:r>
        <w:br/>
      </w:r>
      <w:r>
        <w:t xml:space="preserve">2. ebx = 1</w:t>
      </w:r>
      <w:r>
        <w:br/>
      </w:r>
      <w:r>
        <w:t xml:space="preserve">3. ecx = 134520832</w:t>
      </w:r>
      <w:r>
        <w:br/>
      </w:r>
      <w:r>
        <w:t xml:space="preserve">4. edx = 8</w:t>
      </w:r>
      <w:r>
        <w:br/>
      </w:r>
      <w:r>
        <w:t xml:space="preserve">5. eax = 8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01"/>
          <w:p>
            <w:pPr>
              <w:pStyle w:val="Compact"/>
              <w:jc w:val="center"/>
            </w:pPr>
            <w:r>
              <w:drawing>
                <wp:inline>
                  <wp:extent cx="4800600" cy="5401418"/>
                  <wp:effectExtent b="0" l="0" r="0" t="0"/>
                  <wp:docPr descr="" title="Выполнение 1 инструкции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Выполнение 1 инструкции</w:t>
            </w:r>
          </w:p>
          <w:bookmarkEnd w:id="7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01"/>
          <w:p>
            <w:pPr>
              <w:pStyle w:val="Compact"/>
              <w:jc w:val="center"/>
            </w:pPr>
            <w:r>
              <w:drawing>
                <wp:inline>
                  <wp:extent cx="4800600" cy="5401418"/>
                  <wp:effectExtent b="0" l="0" r="0" t="0"/>
                  <wp:docPr descr="" title="Выполнение 2 инструкции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Выполнение 2 инструкции</w:t>
            </w:r>
          </w:p>
          <w:bookmarkEnd w:id="8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01"/>
          <w:p>
            <w:pPr>
              <w:pStyle w:val="Compact"/>
              <w:jc w:val="center"/>
            </w:pPr>
            <w:r>
              <w:drawing>
                <wp:inline>
                  <wp:extent cx="4800600" cy="5401418"/>
                  <wp:effectExtent b="0" l="0" r="0" t="0"/>
                  <wp:docPr descr="" title="Выполнение 3 инструкции" id="8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Выполнение 3 инструкции</w:t>
            </w:r>
          </w:p>
          <w:bookmarkEnd w:id="87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01"/>
          <w:p>
            <w:pPr>
              <w:pStyle w:val="Compact"/>
              <w:jc w:val="center"/>
            </w:pPr>
            <w:r>
              <w:drawing>
                <wp:inline>
                  <wp:extent cx="4800600" cy="5401418"/>
                  <wp:effectExtent b="0" l="0" r="0" t="0"/>
                  <wp:docPr descr="" title="Выполнение 4 инструкции" id="8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Выполнение 4 инструкции</w:t>
            </w:r>
          </w:p>
          <w:bookmarkEnd w:id="91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01"/>
          <w:p>
            <w:pPr>
              <w:pStyle w:val="Compact"/>
              <w:jc w:val="center"/>
            </w:pPr>
            <w:r>
              <w:drawing>
                <wp:inline>
                  <wp:extent cx="4800600" cy="5401418"/>
                  <wp:effectExtent b="0" l="0" r="0" t="0"/>
                  <wp:docPr descr="" title="Выполнение 5 инструкции" id="93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Выполнение 5 инструкции</w:t>
            </w:r>
          </w:p>
          <w:bookmarkEnd w:id="95"/>
        </w:tc>
      </w:tr>
    </w:tbl>
    <w:p>
      <w:pPr>
        <w:pStyle w:val="BodyText"/>
      </w:pPr>
      <w:r>
        <w:t xml:space="preserve">Посмотрели содержимое регистров с помощью команды info registers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01"/>
          <w:p>
            <w:pPr>
              <w:pStyle w:val="Compact"/>
              <w:jc w:val="center"/>
            </w:pPr>
            <w:r>
              <w:drawing>
                <wp:inline>
                  <wp:extent cx="4800600" cy="5401418"/>
                  <wp:effectExtent b="0" l="0" r="0" t="0"/>
                  <wp:docPr descr="" title="Использование команды info registers" id="97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5401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Использование команды info registers</w:t>
            </w:r>
          </w:p>
          <w:bookmarkEnd w:id="99"/>
        </w:tc>
      </w:tr>
    </w:tbl>
    <w:p>
      <w:pPr>
        <w:pStyle w:val="BodyText"/>
      </w:pPr>
      <w:r>
        <w:t xml:space="preserve">Посмотрели значение переменной msg1 по имени и посмотрели значение переменной msg2 по адресу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01"/>
          <w:p>
            <w:pPr>
              <w:pStyle w:val="Compact"/>
              <w:jc w:val="center"/>
            </w:pPr>
            <w:r>
              <w:drawing>
                <wp:inline>
                  <wp:extent cx="4800600" cy="3469183"/>
                  <wp:effectExtent b="0" l="0" r="0" t="0"/>
                  <wp:docPr descr="" title="Просмотр значения переменных msg1 и msg2" id="101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4691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Просмотр значения переменных msg1 и msg2</w:t>
            </w:r>
          </w:p>
          <w:bookmarkEnd w:id="103"/>
        </w:tc>
      </w:tr>
    </w:tbl>
    <w:p>
      <w:pPr>
        <w:pStyle w:val="BodyText"/>
      </w:pPr>
      <w:r>
        <w:t xml:space="preserve">Изменили первый символ переменной msg1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01"/>
          <w:p>
            <w:pPr>
              <w:pStyle w:val="Compact"/>
              <w:jc w:val="center"/>
            </w:pPr>
            <w:r>
              <w:drawing>
                <wp:inline>
                  <wp:extent cx="4800600" cy="924095"/>
                  <wp:effectExtent b="0" l="0" r="0" t="0"/>
                  <wp:docPr descr="" title="Изменение первого символа переменной msg1" id="105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924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Изменение первого символа переменной msg1</w:t>
            </w:r>
          </w:p>
          <w:bookmarkEnd w:id="107"/>
        </w:tc>
      </w:tr>
    </w:tbl>
    <w:p>
      <w:pPr>
        <w:pStyle w:val="BodyText"/>
      </w:pPr>
      <w:r>
        <w:t xml:space="preserve">Заменили первый символ во второй переменной msg2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01"/>
          <w:p>
            <w:pPr>
              <w:pStyle w:val="Compact"/>
              <w:jc w:val="center"/>
            </w:pPr>
            <w:r>
              <w:drawing>
                <wp:inline>
                  <wp:extent cx="4800600" cy="759278"/>
                  <wp:effectExtent b="0" l="0" r="0" t="0"/>
                  <wp:docPr descr="" title="Изменение первого символа переменной msg2" id="109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592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Изменение первого символа переменной msg2</w:t>
            </w:r>
          </w:p>
          <w:bookmarkEnd w:id="111"/>
        </w:tc>
      </w:tr>
    </w:tbl>
    <w:p>
      <w:pPr>
        <w:pStyle w:val="BodyText"/>
      </w:pPr>
      <w:r>
        <w:t xml:space="preserve">Вывели в различных форматах (в шестнадцатеричном формате, в двоичном формате и в символьном виде) значение регистра edx.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01"/>
          <w:p>
            <w:pPr>
              <w:pStyle w:val="Compact"/>
              <w:jc w:val="center"/>
            </w:pPr>
            <w:r>
              <w:drawing>
                <wp:inline>
                  <wp:extent cx="4800600" cy="1282783"/>
                  <wp:effectExtent b="0" l="0" r="0" t="0"/>
                  <wp:docPr descr="" title="Выведение регистра в разных форматах" id="113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282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Выведение регистра в разных форматах</w:t>
            </w:r>
          </w:p>
          <w:bookmarkEnd w:id="115"/>
        </w:tc>
      </w:tr>
    </w:tbl>
    <w:p>
      <w:pPr>
        <w:pStyle w:val="BodyText"/>
      </w:pPr>
      <w:r>
        <w:t xml:space="preserve">С помощью команды set измените значение регистра ebx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01"/>
          <w:p>
            <w:pPr>
              <w:pStyle w:val="Compact"/>
              <w:jc w:val="center"/>
            </w:pPr>
            <w:r>
              <w:drawing>
                <wp:inline>
                  <wp:extent cx="4800600" cy="1115457"/>
                  <wp:effectExtent b="0" l="0" r="0" t="0"/>
                  <wp:docPr descr="" title="Изменение регистра" id="117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1154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Изменение регистра</w:t>
            </w:r>
          </w:p>
          <w:bookmarkEnd w:id="119"/>
        </w:tc>
      </w:tr>
    </w:tbl>
    <w:p>
      <w:pPr>
        <w:pStyle w:val="BodyText"/>
      </w:pPr>
      <w:r>
        <w:t xml:space="preserve">Разница вывода заключается в том, что</w:t>
      </w:r>
      <w:r>
        <w:t xml:space="preserve"> </w:t>
      </w:r>
      <w:r>
        <w:t xml:space="preserve">‘2’</w:t>
      </w:r>
      <w:r>
        <w:t xml:space="preserve"> </w:t>
      </w:r>
      <w:r>
        <w:t xml:space="preserve">интерпретируется как ASCII-код, а 2 как обычное число.</w:t>
      </w:r>
      <w:r>
        <w:br/>
      </w:r>
      <w:r>
        <w:t xml:space="preserve">set $ebx=</w:t>
      </w:r>
      <w:r>
        <w:t xml:space="preserve">‘2’</w:t>
      </w:r>
      <w:r>
        <w:t xml:space="preserve"> </w:t>
      </w:r>
      <w:r>
        <w:t xml:space="preserve">-</w:t>
      </w:r>
      <w:r>
        <w:t xml:space="preserve"> </w:t>
      </w:r>
      <w:r>
        <w:t xml:space="preserve">‘2’</w:t>
      </w:r>
      <w:r>
        <w:t xml:space="preserve"> </w:t>
      </w:r>
      <w:r>
        <w:t xml:space="preserve">это символ, его ASCII-код 50, поэтому</w:t>
      </w:r>
      <w:r>
        <w:t xml:space="preserve"> </w:t>
      </w:r>
      <w:r>
        <w:t xml:space="preserve">‘p/s $ebx’</w:t>
      </w:r>
      <w:r>
        <w:t xml:space="preserve"> </w:t>
      </w:r>
      <w:r>
        <w:t xml:space="preserve">выводит число 50</w:t>
      </w:r>
      <w:r>
        <w:br/>
      </w:r>
      <w:r>
        <w:t xml:space="preserve">set $ebx=2 — просто число 2,</w:t>
      </w:r>
      <w:r>
        <w:t xml:space="preserve"> </w:t>
      </w:r>
      <w:r>
        <w:t xml:space="preserve">‘p/s $ebx’</w:t>
      </w:r>
      <w:r>
        <w:t xml:space="preserve"> </w:t>
      </w:r>
      <w:r>
        <w:t xml:space="preserve">выводит 2.</w:t>
      </w:r>
    </w:p>
    <w:p>
      <w:pPr>
        <w:pStyle w:val="BodyText"/>
      </w:pPr>
      <w:r>
        <w:t xml:space="preserve">Завершили выполнение программы с помощью команды continue (сокращенно c) и вышли из GDB с помощью команды quit (сокращенно q).</w:t>
      </w:r>
    </w:p>
    <w:bookmarkEnd w:id="120"/>
    <w:bookmarkStart w:id="133" w:name="X34484a9d02dddcc072527afae661c9b27116987"/>
    <w:p>
      <w:pPr>
        <w:pStyle w:val="Heading3"/>
      </w:pPr>
      <w:r>
        <w:t xml:space="preserve">2.1.5 Обработка аргументов командной строки в GDB</w:t>
      </w:r>
    </w:p>
    <w:p>
      <w:pPr>
        <w:pStyle w:val="FirstParagraph"/>
      </w:pPr>
      <w:r>
        <w:t xml:space="preserve">Скопировали файл lab8-2.asm, созданный при выполнении лабораторной работы №8, с программой выводящей на экран аргументы командной строки в файл с именем lab09-3.asm. Создали исполняемый файл.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01"/>
          <w:p>
            <w:pPr>
              <w:pStyle w:val="Compact"/>
              <w:jc w:val="center"/>
            </w:pPr>
            <w:r>
              <w:drawing>
                <wp:inline>
                  <wp:extent cx="4800600" cy="901286"/>
                  <wp:effectExtent b="0" l="0" r="0" t="0"/>
                  <wp:docPr descr="" title="Копирование и создание исполняемого файла" id="122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9012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Копирование и создание исполняемого файла</w:t>
            </w:r>
          </w:p>
          <w:bookmarkEnd w:id="124"/>
        </w:tc>
      </w:tr>
    </w:tbl>
    <w:p>
      <w:pPr>
        <w:pStyle w:val="BodyText"/>
      </w:pPr>
      <w:r>
        <w:t xml:space="preserve">Загрузите исполняемый файл в отладчик, указав аргументы. Для начала установили точку останова перед первой инструкцией в программе и запустили ее.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01"/>
          <w:p>
            <w:pPr>
              <w:pStyle w:val="Compact"/>
              <w:jc w:val="center"/>
            </w:pPr>
            <w:r>
              <w:drawing>
                <wp:inline>
                  <wp:extent cx="4800600" cy="4863189"/>
                  <wp:effectExtent b="0" l="0" r="0" t="0"/>
                  <wp:docPr descr="" title="Загрузка в отладчик, установка точки остонова и запуск" id="126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4863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Загрузка в отладчик, установка точки остонова и запуск</w:t>
            </w:r>
          </w:p>
          <w:bookmarkEnd w:id="128"/>
        </w:tc>
      </w:tr>
    </w:tbl>
    <w:p>
      <w:pPr>
        <w:pStyle w:val="BodyText"/>
      </w:pPr>
      <w:r>
        <w:t xml:space="preserve">Адрес вершины стека храниться в регистре esp и по этому адресу располагается число равное количеству аргументов командной строки. Посмотрели остальные позиции стека – по адесу [esp+4] располагается адрес в памяти где находиться имя программы, по адесу [esp+8] храниться адрес первого аргумента, по аресу [esp+12] – второго и т.д.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01"/>
          <w:p>
            <w:pPr>
              <w:pStyle w:val="Compact"/>
              <w:jc w:val="center"/>
            </w:pPr>
            <w:r>
              <w:drawing>
                <wp:inline>
                  <wp:extent cx="4800600" cy="1965304"/>
                  <wp:effectExtent b="0" l="0" r="0" t="0"/>
                  <wp:docPr descr="" title="Вывод позиций стека" id="130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965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Вывод позиций стека</w:t>
            </w:r>
          </w:p>
          <w:bookmarkEnd w:id="132"/>
        </w:tc>
      </w:tr>
    </w:tbl>
    <w:p>
      <w:pPr>
        <w:pStyle w:val="BodyText"/>
      </w:pPr>
      <w:r>
        <w:t xml:space="preserve">Шаг изменения адреса равен 4 потому что адресные регистры имеют размер-</w:t>
      </w:r>
      <w:r>
        <w:t xml:space="preserve"> </w:t>
      </w:r>
      <w:r>
        <w:t xml:space="preserve">ность 32 бита(4 байта).</w:t>
      </w:r>
    </w:p>
    <w:bookmarkEnd w:id="133"/>
    <w:bookmarkEnd w:id="134"/>
    <w:bookmarkStart w:id="151" w:name="задание-для-самостоятельной-работы"/>
    <w:p>
      <w:pPr>
        <w:pStyle w:val="Heading2"/>
      </w:pPr>
      <w:r>
        <w:t xml:space="preserve">2.2 Задание для самостоятельной работы</w:t>
      </w:r>
    </w:p>
    <w:p>
      <w:pPr>
        <w:pStyle w:val="Compact"/>
        <w:numPr>
          <w:ilvl w:val="0"/>
          <w:numId w:val="1001"/>
        </w:numPr>
      </w:pPr>
      <w:r>
        <w:t xml:space="preserve">Преобразовали программу из лабораторной работы №8 (Задание №1 для самостоятельной работы), реализовав вычисление значения функции f(x) как подпрограмму.</w:t>
      </w:r>
    </w:p>
    <w:p>
      <w:pPr>
        <w:pStyle w:val="FirstParagraph"/>
      </w:pPr>
      <w:r>
        <w:rPr>
          <w:b/>
          <w:bCs/>
        </w:rPr>
        <w:t xml:space="preserve">Листинг 2</w:t>
      </w:r>
    </w:p>
    <w:p>
      <w:pPr>
        <w:pStyle w:val="BodyText"/>
      </w:pPr>
      <w:r>
        <w:t xml:space="preserve">%include</w:t>
      </w:r>
      <w:r>
        <w:t xml:space="preserve"> </w:t>
      </w:r>
      <w:r>
        <w:t xml:space="preserve">‘in_out.asm’</w:t>
      </w:r>
    </w:p>
    <w:p>
      <w:pPr>
        <w:pStyle w:val="BodyText"/>
      </w:pPr>
      <w:r>
        <w:t xml:space="preserve">SECTION .data</w:t>
      </w:r>
      <w:r>
        <w:br/>
      </w:r>
      <w:r>
        <w:t xml:space="preserve">msg db</w:t>
      </w:r>
      <w:r>
        <w:t xml:space="preserve"> </w:t>
      </w:r>
      <w:r>
        <w:t xml:space="preserve">“Результат:”</w:t>
      </w:r>
      <w:r>
        <w:t xml:space="preserve">, 0</w:t>
      </w:r>
    </w:p>
    <w:p>
      <w:pPr>
        <w:pStyle w:val="BodyText"/>
      </w:pPr>
      <w:r>
        <w:t xml:space="preserve">SECTION .bss</w:t>
      </w:r>
      <w:r>
        <w:br/>
      </w:r>
      <w:r>
        <w:t xml:space="preserve">res: RESB 80</w:t>
      </w:r>
    </w:p>
    <w:p>
      <w:pPr>
        <w:pStyle w:val="BodyText"/>
      </w:pPr>
      <w:r>
        <w:t xml:space="preserve">SECTION .text</w:t>
      </w:r>
      <w:r>
        <w:br/>
      </w:r>
      <w:r>
        <w:t xml:space="preserve">global _start</w:t>
      </w:r>
    </w:p>
    <w:p>
      <w:pPr>
        <w:pStyle w:val="BodyText"/>
      </w:pPr>
      <w:r>
        <w:t xml:space="preserve">_start:</w:t>
      </w:r>
      <w:r>
        <w:br/>
      </w:r>
      <w:r>
        <w:t xml:space="preserve">pop ecx</w:t>
      </w:r>
      <w:r>
        <w:br/>
      </w:r>
      <w:r>
        <w:t xml:space="preserve">pop edx</w:t>
      </w:r>
      <w:r>
        <w:br/>
      </w:r>
      <w:r>
        <w:t xml:space="preserve">sub ecx, 1</w:t>
      </w:r>
      <w:r>
        <w:br/>
      </w:r>
      <w:r>
        <w:t xml:space="preserve">mov dword [res], 0</w:t>
      </w:r>
    </w:p>
    <w:p>
      <w:pPr>
        <w:pStyle w:val="BodyText"/>
      </w:pPr>
      <w:r>
        <w:t xml:space="preserve">next:</w:t>
      </w:r>
      <w:r>
        <w:br/>
      </w:r>
      <w:r>
        <w:t xml:space="preserve">cmp ecx, 0h</w:t>
      </w:r>
      <w:r>
        <w:br/>
      </w:r>
      <w:r>
        <w:t xml:space="preserve">jz _end</w:t>
      </w:r>
      <w:r>
        <w:br/>
      </w:r>
      <w:r>
        <w:t xml:space="preserve">pop eax</w:t>
      </w:r>
      <w:r>
        <w:br/>
      </w:r>
      <w:r>
        <w:t xml:space="preserve">call atoi</w:t>
      </w:r>
      <w:r>
        <w:br/>
      </w:r>
      <w:r>
        <w:t xml:space="preserve">call _calcul</w:t>
      </w:r>
      <w:r>
        <w:br/>
      </w:r>
      <w:r>
        <w:t xml:space="preserve">add [res], eax</w:t>
      </w:r>
      <w:r>
        <w:br/>
      </w:r>
      <w:r>
        <w:t xml:space="preserve">dec ecx</w:t>
      </w:r>
      <w:r>
        <w:br/>
      </w:r>
      <w:r>
        <w:t xml:space="preserve">jmp next</w:t>
      </w:r>
    </w:p>
    <w:p>
      <w:pPr>
        <w:pStyle w:val="BodyText"/>
      </w:pPr>
      <w:r>
        <w:t xml:space="preserve">_end:</w:t>
      </w:r>
      <w:r>
        <w:br/>
      </w:r>
      <w:r>
        <w:t xml:space="preserve">mov eax, msg</w:t>
      </w:r>
      <w:r>
        <w:br/>
      </w:r>
      <w:r>
        <w:t xml:space="preserve">call sprint</w:t>
      </w:r>
      <w:r>
        <w:br/>
      </w:r>
      <w:r>
        <w:t xml:space="preserve">mov eax, [res]</w:t>
      </w:r>
      <w:r>
        <w:br/>
      </w:r>
      <w:r>
        <w:t xml:space="preserve">call iprintLF</w:t>
      </w:r>
      <w:r>
        <w:br/>
      </w:r>
      <w:r>
        <w:t xml:space="preserve">call quit</w:t>
      </w:r>
    </w:p>
    <w:p>
      <w:pPr>
        <w:pStyle w:val="BodyText"/>
      </w:pPr>
      <w:r>
        <w:t xml:space="preserve">_calcul:</w:t>
      </w:r>
      <w:r>
        <w:br/>
      </w:r>
      <w:r>
        <w:t xml:space="preserve">mov ebx, 8</w:t>
      </w:r>
      <w:r>
        <w:br/>
      </w:r>
      <w:r>
        <w:t xml:space="preserve">mul ebx</w:t>
      </w:r>
      <w:r>
        <w:br/>
      </w:r>
      <w:r>
        <w:t xml:space="preserve">sub eax, 3</w:t>
      </w:r>
      <w:r>
        <w:br/>
      </w:r>
      <w:r>
        <w:t xml:space="preserve">ret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001"/>
          <w:p>
            <w:pPr>
              <w:pStyle w:val="Compact"/>
              <w:jc w:val="center"/>
            </w:pPr>
            <w:r>
              <w:drawing>
                <wp:inline>
                  <wp:extent cx="4800600" cy="713197"/>
                  <wp:effectExtent b="0" l="0" r="0" t="0"/>
                  <wp:docPr descr="" title="Работа созданного нами файла" id="136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131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28: Работа созданного нами файла</w:t>
            </w:r>
          </w:p>
          <w:bookmarkEnd w:id="138"/>
        </w:tc>
      </w:tr>
    </w:tbl>
    <w:p>
      <w:pPr>
        <w:pStyle w:val="Compact"/>
        <w:numPr>
          <w:ilvl w:val="0"/>
          <w:numId w:val="1002"/>
        </w:numPr>
      </w:pPr>
      <w:r>
        <w:t xml:space="preserve">В третьем листинге приведена программа вычисления выражения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∗</m:t>
        </m:r>
        <m:r>
          <m:t>4</m:t>
        </m:r>
        <m:r>
          <m:rPr>
            <m:sty m:val="p"/>
          </m:rPr>
          <m:t>+</m:t>
        </m:r>
        <m:r>
          <m:t>5</m:t>
        </m:r>
      </m:oMath>
      <w:r>
        <w:t xml:space="preserve">. При запуске данная программа дает неверный результат.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001"/>
          <w:p>
            <w:pPr>
              <w:pStyle w:val="Compact"/>
              <w:jc w:val="center"/>
            </w:pPr>
            <w:r>
              <w:drawing>
                <wp:inline>
                  <wp:extent cx="4800600" cy="722870"/>
                  <wp:effectExtent b="0" l="0" r="0" t="0"/>
                  <wp:docPr descr="" title="Неверный результат работы программы" id="140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722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29: Неверный результат работы программы</w:t>
            </w:r>
          </w:p>
          <w:bookmarkEnd w:id="142"/>
        </w:tc>
      </w:tr>
    </w:tbl>
    <w:p>
      <w:pPr>
        <w:pStyle w:val="BodyText"/>
      </w:pPr>
      <w:r>
        <w:t xml:space="preserve">С помощью отладчика GDB, анализируя изменения значений регистров, определили ошибку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001"/>
          <w:p>
            <w:pPr>
              <w:pStyle w:val="Compact"/>
              <w:jc w:val="center"/>
            </w:pPr>
            <w:r>
              <w:drawing>
                <wp:inline>
                  <wp:extent cx="4800600" cy="3503995"/>
                  <wp:effectExtent b="0" l="0" r="0" t="0"/>
                  <wp:docPr descr="" title="Поиск ошибки" id="144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503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30: Поиск ошибки</w:t>
            </w:r>
          </w:p>
          <w:bookmarkEnd w:id="146"/>
        </w:tc>
      </w:tr>
    </w:tbl>
    <w:p>
      <w:pPr>
        <w:pStyle w:val="BodyText"/>
      </w:pPr>
      <w:r>
        <w:t xml:space="preserve">Исправили ошибку в программе.</w:t>
      </w:r>
    </w:p>
    <w:p>
      <w:pPr>
        <w:pStyle w:val="BodyText"/>
      </w:pPr>
      <w:r>
        <w:rPr>
          <w:b/>
          <w:bCs/>
        </w:rPr>
        <w:t xml:space="preserve">Листинг 3</w:t>
      </w:r>
      <w:r>
        <w:br/>
      </w:r>
      <w:r>
        <w:t xml:space="preserve">%include</w:t>
      </w:r>
      <w:r>
        <w:t xml:space="preserve"> </w:t>
      </w:r>
      <w:r>
        <w:t xml:space="preserve">‘in_out.asm’</w:t>
      </w:r>
      <w:r>
        <w:br/>
      </w:r>
      <w:r>
        <w:t xml:space="preserve">SECTION .data</w:t>
      </w:r>
      <w:r>
        <w:br/>
      </w:r>
      <w:r>
        <w:t xml:space="preserve">div: DB</w:t>
      </w:r>
      <w:r>
        <w:t xml:space="preserve"> </w:t>
      </w:r>
      <w:r>
        <w:t xml:space="preserve">‘Результат:’</w:t>
      </w:r>
      <w:r>
        <w:t xml:space="preserve">,0</w:t>
      </w:r>
      <w:r>
        <w:br/>
      </w:r>
      <w:r>
        <w:t xml:space="preserve">SECTION .text</w:t>
      </w:r>
      <w:r>
        <w:br/>
      </w:r>
      <w:r>
        <w:t xml:space="preserve">GLOBAL _start</w:t>
      </w:r>
      <w:r>
        <w:br/>
      </w:r>
      <w:r>
        <w:t xml:space="preserve">_start:</w:t>
      </w:r>
      <w:r>
        <w:br/>
      </w:r>
      <w:r>
        <w:t xml:space="preserve">; —- Вычисление выражения (3+2)*4+5</w:t>
      </w:r>
      <w:r>
        <w:br/>
      </w:r>
      <w:r>
        <w:t xml:space="preserve">mov ebx,3</w:t>
      </w:r>
      <w:r>
        <w:br/>
      </w:r>
      <w:r>
        <w:t xml:space="preserve">mov eax,2</w:t>
      </w:r>
      <w:r>
        <w:br/>
      </w:r>
      <w:r>
        <w:t xml:space="preserve">add eax,ebx</w:t>
      </w:r>
      <w:r>
        <w:br/>
      </w:r>
      <w:r>
        <w:t xml:space="preserve">mov ecx,4</w:t>
      </w:r>
      <w:r>
        <w:br/>
      </w:r>
      <w:r>
        <w:t xml:space="preserve">mul ecx</w:t>
      </w:r>
      <w:r>
        <w:br/>
      </w:r>
      <w:r>
        <w:t xml:space="preserve">add eax,5</w:t>
      </w:r>
      <w:r>
        <w:br/>
      </w:r>
      <w:r>
        <w:t xml:space="preserve">mov edi,eax</w:t>
      </w:r>
      <w:r>
        <w:br/>
      </w:r>
      <w:r>
        <w:t xml:space="preserve">; —- Вывод результата на экран</w:t>
      </w:r>
      <w:r>
        <w:br/>
      </w:r>
      <w:r>
        <w:t xml:space="preserve">mov eax,div</w:t>
      </w:r>
      <w:r>
        <w:br/>
      </w:r>
      <w:r>
        <w:t xml:space="preserve">call sprint</w:t>
      </w:r>
      <w:r>
        <w:br/>
      </w:r>
      <w:r>
        <w:t xml:space="preserve">mov eax,edi</w:t>
      </w:r>
      <w:r>
        <w:br/>
      </w:r>
      <w:r>
        <w:t xml:space="preserve">call iprintLF</w:t>
      </w:r>
      <w:r>
        <w:br/>
      </w:r>
      <w:r>
        <w:t xml:space="preserve">call quit</w:t>
      </w:r>
    </w:p>
    <w:p>
      <w:pPr>
        <w:pStyle w:val="BodyText"/>
      </w:pPr>
      <w:r>
        <w:t xml:space="preserve">Создали исполняемый файл и проверили корректность выполнения программы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001"/>
          <w:p>
            <w:pPr>
              <w:pStyle w:val="Compact"/>
              <w:jc w:val="center"/>
            </w:pPr>
            <w:r>
              <w:drawing>
                <wp:inline>
                  <wp:extent cx="4800600" cy="1192346"/>
                  <wp:effectExtent b="0" l="0" r="0" t="0"/>
                  <wp:docPr descr="" title="Работа созданного нами файла" id="148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1923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31: Работа созданного нами файла</w:t>
            </w:r>
          </w:p>
          <w:bookmarkEnd w:id="150"/>
        </w:tc>
      </w:tr>
    </w:tbl>
    <w:bookmarkEnd w:id="151"/>
    <w:bookmarkEnd w:id="152"/>
    <w:bookmarkStart w:id="15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Приобрели навыки написания программ с использованием подпрограмм и познакомились с методами отладки при помощи GDB и его основными возможностями.</w:t>
      </w:r>
    </w:p>
    <w:bookmarkStart w:id="153" w:name="refs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5" Target="media/rId25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29" Target="media/rId2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Иванова Ангелина Олеговна</dc:creator>
  <dc:language>ru-RU</dc:language>
  <cp:keywords/>
  <dcterms:created xsi:type="dcterms:W3CDTF">2025-12-07T15:10:34Z</dcterms:created>
  <dcterms:modified xsi:type="dcterms:W3CDTF">2025-12-07T15:10:34Z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НПИбд-01-25 №1032252598</vt:lpwstr>
  </property>
  <property fmtid="{D5CDD505-2E9C-101B-9397-08002B2CF9AE}" pid="16" name="toc-title">
    <vt:lpwstr>Содержание</vt:lpwstr>
  </property>
</Properties>
</file>