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26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</w:t>
      </w:r>
      <w:r>
        <w:t xml:space="preserve"> </w:t>
      </w:r>
      <w:r>
        <w:t xml:space="preserve">Stepik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на</w:t>
      </w:r>
      <w:r>
        <w:t xml:space="preserve"> </w:t>
      </w:r>
      <w:r>
        <w:t xml:space="preserve">сервере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выполнение внешнего курса под названием</w:t>
      </w:r>
      <w:r>
        <w:t xml:space="preserve"> </w:t>
      </w:r>
      <w:r>
        <w:t xml:space="preserve">“</w:t>
      </w:r>
      <w:r>
        <w:t xml:space="preserve">Введение в Linux</w:t>
      </w:r>
      <w:r>
        <w:t xml:space="preserve">”</w:t>
      </w:r>
      <w:r>
        <w:t xml:space="preserve">. Во втором этапе мы подробно изучим работу на сервере, установку программ и работу с процессами.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Ознакомиться с теоретическим материалом</w:t>
      </w:r>
    </w:p>
    <w:p>
      <w:pPr>
        <w:numPr>
          <w:ilvl w:val="0"/>
          <w:numId w:val="1001"/>
        </w:numPr>
        <w:pStyle w:val="Compact"/>
      </w:pPr>
      <w:r>
        <w:t xml:space="preserve">Ответить на вопросы и выполнить задания для закрепления теоретического материала</w:t>
      </w:r>
    </w:p>
    <w:bookmarkEnd w:id="21"/>
    <w:bookmarkStart w:id="1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4" w:name="выполнение-2.1.-знакомство-с-сервером"/>
    <w:p>
      <w:pPr>
        <w:pStyle w:val="Heading2"/>
      </w:pPr>
      <w:r>
        <w:t xml:space="preserve">3.1 Выполнение 2.1. Знакомство с сервером</w:t>
      </w:r>
    </w:p>
    <w:p>
      <w:pPr>
        <w:pStyle w:val="FirstParagraph"/>
      </w:pPr>
      <w:r>
        <w:t xml:space="preserve">Сервер может служить для выполнения многих задач: xранение конфиденциальных или общедоступных данных, выполнение сложных вычислений, хранение больших объемов данных</w:t>
      </w:r>
      <w:r>
        <w:t xml:space="preserve"> </w:t>
      </w:r>
      <w:r>
        <w:t xml:space="preserve">ранение, поэтому все ответы верны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5920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2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Функции сервера</w:t>
            </w:r>
          </w:p>
          <w:bookmarkEnd w:id="25"/>
        </w:tc>
      </w:tr>
    </w:tbl>
    <w:p>
      <w:pPr>
        <w:pStyle w:val="BodyText"/>
      </w:pPr>
      <w:r>
        <w:t xml:space="preserve">Распространять можно только публичный ключ (id_rsa.pub), конфеданциальный ключ (id_rsa) никаким образом нельзя распространять.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67497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Распространение ключей</w:t>
            </w:r>
          </w:p>
          <w:bookmarkEnd w:id="29"/>
        </w:tc>
      </w:tr>
    </w:tbl>
    <w:p>
      <w:pPr>
        <w:pStyle w:val="BodyText"/>
      </w:pPr>
      <w:r>
        <w:t xml:space="preserve">Для рекурсивного копирования папки</w:t>
      </w:r>
      <w:r>
        <w:t xml:space="preserve"> </w:t>
      </w:r>
      <w:r>
        <w:t xml:space="preserve">“</w:t>
      </w:r>
      <w:r>
        <w:t xml:space="preserve">stepic</w:t>
      </w:r>
      <w:r>
        <w:t xml:space="preserve">”</w:t>
      </w:r>
      <w:r>
        <w:t xml:space="preserve"> </w:t>
      </w:r>
      <w:r>
        <w:t xml:space="preserve">со всем содержимым на сервер в домашнюю директорию необходимо использовать ключ</w:t>
      </w:r>
      <w:r>
        <w:t xml:space="preserve"> </w:t>
      </w:r>
      <w:r>
        <w:t xml:space="preserve">“</w:t>
      </w:r>
      <w:r>
        <w:t xml:space="preserve">-r</w:t>
      </w:r>
      <w:r>
        <w:t xml:space="preserve">”</w:t>
      </w:r>
      <w:r>
        <w:t xml:space="preserve">. Поэтому верный ответ:</w:t>
      </w:r>
      <w:r>
        <w:t xml:space="preserve"> </w:t>
      </w:r>
      <w:r>
        <w:t xml:space="preserve">“</w:t>
      </w:r>
      <w:r>
        <w:t xml:space="preserve">scp -r stepic username@server:~/</w:t>
      </w:r>
      <w:r>
        <w:t xml:space="preserve">”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67497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Рекурсивное копирование папки с помощью scp -r</w:t>
            </w:r>
          </w:p>
          <w:bookmarkEnd w:id="33"/>
        </w:tc>
      </w:tr>
    </w:tbl>
    <w:bookmarkEnd w:id="34"/>
    <w:bookmarkStart w:id="47" w:name="выполнение-2.2.-обмен-файлами"/>
    <w:p>
      <w:pPr>
        <w:pStyle w:val="Heading2"/>
      </w:pPr>
      <w:r>
        <w:t xml:space="preserve">3.2 Выполнение 2.2. Обмен файлами</w:t>
      </w:r>
    </w:p>
    <w:p>
      <w:pPr>
        <w:pStyle w:val="FirstParagraph"/>
      </w:pPr>
      <w:r>
        <w:t xml:space="preserve">Если</w:t>
      </w:r>
      <w:r>
        <w:t xml:space="preserve"> </w:t>
      </w:r>
      <w:r>
        <w:t xml:space="preserve">“</w:t>
      </w:r>
      <w:r>
        <w:t xml:space="preserve">sudo apt-get install program</w:t>
      </w:r>
      <w:r>
        <w:t xml:space="preserve">”</w:t>
      </w:r>
      <w:r>
        <w:t xml:space="preserve"> </w:t>
      </w:r>
      <w:r>
        <w:t xml:space="preserve">не находит пакет может помочь выполнить</w:t>
      </w:r>
      <w:r>
        <w:t xml:space="preserve"> </w:t>
      </w:r>
      <w:r>
        <w:t xml:space="preserve">“</w:t>
      </w:r>
      <w:r>
        <w:t xml:space="preserve">sudo apt-get update</w:t>
      </w:r>
      <w:r>
        <w:t xml:space="preserve">”</w:t>
      </w:r>
      <w:r>
        <w:t xml:space="preserve"> </w:t>
      </w:r>
      <w:r>
        <w:t xml:space="preserve">для обновления индексов репозиториев и проверить (восстановить) интернет-соединение. Команда</w:t>
      </w:r>
      <w:r>
        <w:t xml:space="preserve"> </w:t>
      </w:r>
      <w:r>
        <w:t xml:space="preserve">“</w:t>
      </w:r>
      <w:r>
        <w:t xml:space="preserve">sudo apt-get upgrade</w:t>
      </w:r>
      <w:r>
        <w:t xml:space="preserve">”</w:t>
      </w:r>
      <w:r>
        <w:t xml:space="preserve"> </w:t>
      </w:r>
      <w:r>
        <w:t xml:space="preserve">обновляет уже установленные пакеты, но не решает проблему поиска нового пакета, а</w:t>
      </w:r>
      <w:r>
        <w:t xml:space="preserve"> </w:t>
      </w:r>
      <w:r>
        <w:t xml:space="preserve">“</w:t>
      </w:r>
      <w:r>
        <w:t xml:space="preserve">–only-upgrade</w:t>
      </w:r>
      <w:r>
        <w:t xml:space="preserve">”</w:t>
      </w:r>
      <w:r>
        <w:t xml:space="preserve"> </w:t>
      </w:r>
      <w:r>
        <w:t xml:space="preserve">лишь обновляет существующую программу (</w:t>
      </w:r>
      <w:r>
        <w:rPr>
          <w:bCs/>
          <w:b/>
        </w:rPr>
        <w:t xml:space="preserve">?@fig-038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67497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Действия при ошибке apt-get install</w:t>
            </w:r>
          </w:p>
          <w:bookmarkEnd w:id="38"/>
        </w:tc>
      </w:tr>
    </w:tbl>
    <w:p>
      <w:pPr>
        <w:pStyle w:val="BodyText"/>
      </w:pPr>
      <w:r>
        <w:t xml:space="preserve">Filezilla позволяет просматривать и копировать содержимое каталогов как на локальном компьютере, так и на сервере, однако не предназначен для установки или запуска программ.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69678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6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Функции Filezilla</w:t>
            </w:r>
          </w:p>
          <w:bookmarkEnd w:id="42"/>
        </w:tc>
      </w:tr>
    </w:tbl>
    <w:p>
      <w:pPr>
        <w:pStyle w:val="BodyText"/>
      </w:pPr>
      <w:r>
        <w:t xml:space="preserve">Если на сервере необходимо запустить программу, рассчитанную на графический интерфейс, можно либо поискать её терминальную версию, либо настроить проброс графического вывода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6967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6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GUI-программы на сервере</w:t>
            </w:r>
          </w:p>
          <w:bookmarkEnd w:id="46"/>
        </w:tc>
      </w:tr>
    </w:tbl>
    <w:bookmarkEnd w:id="47"/>
    <w:bookmarkStart w:id="60" w:name="выполнение-2.3.-запуск-приложений"/>
    <w:p>
      <w:pPr>
        <w:pStyle w:val="Heading2"/>
      </w:pPr>
      <w:r>
        <w:t xml:space="preserve">3.3 Выполнение 2.3. Запуск приложений</w:t>
      </w:r>
    </w:p>
    <w:p>
      <w:pPr>
        <w:pStyle w:val="FirstParagraph"/>
      </w:pPr>
      <w:r>
        <w:t xml:space="preserve">Утилиты</w:t>
      </w:r>
      <w:r>
        <w:t xml:space="preserve"> </w:t>
      </w:r>
      <w:r>
        <w:t xml:space="preserve">“</w:t>
      </w:r>
      <w:r>
        <w:t xml:space="preserve">help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man</w:t>
      </w:r>
      <w:r>
        <w:t xml:space="preserve">”</w:t>
      </w:r>
      <w:r>
        <w:t xml:space="preserve"> </w:t>
      </w:r>
      <w:r>
        <w:t xml:space="preserve">и вызов</w:t>
      </w:r>
      <w:r>
        <w:t xml:space="preserve"> </w:t>
      </w:r>
      <w:r>
        <w:t xml:space="preserve">“</w:t>
      </w:r>
      <w:r>
        <w:t xml:space="preserve">program –help</w:t>
      </w:r>
      <w:r>
        <w:t xml:space="preserve">”</w:t>
      </w:r>
      <w:r>
        <w:t xml:space="preserve"> </w:t>
      </w:r>
      <w:r>
        <w:t xml:space="preserve">(или</w:t>
      </w:r>
      <w:r>
        <w:t xml:space="preserve"> </w:t>
      </w:r>
      <w:r>
        <w:t xml:space="preserve">“</w:t>
      </w:r>
      <w:r>
        <w:t xml:space="preserve">-h</w:t>
      </w:r>
      <w:r>
        <w:t xml:space="preserve">”</w:t>
      </w:r>
      <w:r>
        <w:t xml:space="preserve">/</w:t>
      </w:r>
      <w:r>
        <w:t xml:space="preserve">“</w:t>
      </w:r>
      <w:r>
        <w:t xml:space="preserve">-help</w:t>
      </w:r>
      <w:r>
        <w:t xml:space="preserve">”</w:t>
      </w:r>
      <w:r>
        <w:t xml:space="preserve">) являются стандартными способами получения документации в Linux. Конструкция</w:t>
      </w:r>
      <w:r>
        <w:t xml:space="preserve"> </w:t>
      </w:r>
      <w:r>
        <w:t xml:space="preserve">“</w:t>
      </w:r>
      <w:r>
        <w:t xml:space="preserve">program ?!</w:t>
      </w:r>
      <w:r>
        <w:t xml:space="preserve">”</w:t>
      </w:r>
      <w:r>
        <w:t xml:space="preserve"> </w:t>
      </w:r>
      <w:r>
        <w:t xml:space="preserve">синтаксически неверна и никогда не используется(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84945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9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Способы вызова справки</w:t>
            </w:r>
          </w:p>
          <w:bookmarkEnd w:id="51"/>
        </w:tc>
      </w:tr>
    </w:tbl>
    <w:p>
      <w:pPr>
        <w:pStyle w:val="BodyText"/>
      </w:pPr>
      <w:r>
        <w:t xml:space="preserve">Программа FastQC принимает на вход форматы fasta и fastq. Это было выяснено после изучения справки (</w:t>
      </w:r>
      <w:r>
        <w:t xml:space="preserve">“</w:t>
      </w:r>
      <w:r>
        <w:t xml:space="preserve">fastqc –help</w:t>
      </w:r>
      <w:r>
        <w:t xml:space="preserve">”</w:t>
      </w:r>
      <w:r>
        <w:t xml:space="preserve">), где явно перечислены поддерживаемые типы файлов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341538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5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FastQC поддерживает fasta и fastq</w:t>
            </w:r>
          </w:p>
          <w:bookmarkEnd w:id="55"/>
        </w:tc>
      </w:tr>
    </w:tbl>
    <w:p>
      <w:pPr>
        <w:pStyle w:val="BodyText"/>
      </w:pPr>
      <w:r>
        <w:t xml:space="preserve">Для выполнения множественного выравнивания программой ClustalW необходимо явно указать опцию</w:t>
      </w:r>
      <w:r>
        <w:t xml:space="preserve"> </w:t>
      </w:r>
      <w:r>
        <w:t xml:space="preserve">“</w:t>
      </w:r>
      <w:r>
        <w:t xml:space="preserve">-align</w:t>
      </w:r>
      <w:r>
        <w:t xml:space="preserve">”</w:t>
      </w:r>
      <w:r>
        <w:t xml:space="preserve">. Полная команда:</w:t>
      </w:r>
      <w:r>
        <w:t xml:space="preserve"> </w:t>
      </w:r>
      <w:r>
        <w:t xml:space="preserve">“</w:t>
      </w:r>
      <w:r>
        <w:t xml:space="preserve">clustalw test.fasta -align</w:t>
      </w:r>
      <w:r>
        <w:t xml:space="preserve">”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341538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5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Команда clustalw для множественного выравнивания</w:t>
            </w:r>
          </w:p>
          <w:bookmarkEnd w:id="59"/>
        </w:tc>
      </w:tr>
    </w:tbl>
    <w:bookmarkEnd w:id="60"/>
    <w:bookmarkStart w:id="77" w:name="X4592ba371099bb80091d1030039244927838c91"/>
    <w:p>
      <w:pPr>
        <w:pStyle w:val="Heading2"/>
      </w:pPr>
      <w:r>
        <w:t xml:space="preserve">3.4 Выполнение 2.4. Контроль запускаемых программ</w:t>
      </w:r>
    </w:p>
    <w:p>
      <w:pPr>
        <w:pStyle w:val="FirstParagraph"/>
      </w:pPr>
      <w:r>
        <w:t xml:space="preserve">После выполнения последовательности действий с фоновыми процессами (</w:t>
      </w:r>
      <w:r>
        <w:t xml:space="preserve">“</w:t>
      </w:r>
      <w:r>
        <w:t xml:space="preserve">fg %1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Ctrl+C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fg %2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Ctrl+Z</w:t>
      </w:r>
      <w:r>
        <w:t xml:space="preserve">”</w:t>
      </w:r>
      <w:r>
        <w:t xml:space="preserve">) команда</w:t>
      </w:r>
      <w:r>
        <w:t xml:space="preserve"> </w:t>
      </w:r>
      <w:r>
        <w:t xml:space="preserve">“</w:t>
      </w:r>
      <w:r>
        <w:t xml:space="preserve">jobs</w:t>
      </w:r>
      <w:r>
        <w:t xml:space="preserve">”</w:t>
      </w:r>
      <w:r>
        <w:t xml:space="preserve"> </w:t>
      </w:r>
      <w:r>
        <w:t xml:space="preserve">покажет только процессы, которые остались в фоне или остановлены.</w:t>
      </w:r>
      <w:r>
        <w:t xml:space="preserve"> </w:t>
      </w:r>
      <w:r>
        <w:t xml:space="preserve">“</w:t>
      </w:r>
      <w:r>
        <w:t xml:space="preserve">program1</w:t>
      </w:r>
      <w:r>
        <w:t xml:space="preserve">”</w:t>
      </w:r>
      <w:r>
        <w:t xml:space="preserve"> </w:t>
      </w:r>
      <w:r>
        <w:t xml:space="preserve">была снята с паузы и затем завершена,</w:t>
      </w:r>
      <w:r>
        <w:t xml:space="preserve"> </w:t>
      </w:r>
      <w:r>
        <w:t xml:space="preserve">“</w:t>
      </w:r>
      <w:r>
        <w:t xml:space="preserve">program2</w:t>
      </w:r>
      <w:r>
        <w:t xml:space="preserve">”</w:t>
      </w:r>
      <w:r>
        <w:t xml:space="preserve"> </w:t>
      </w:r>
      <w:r>
        <w:t xml:space="preserve">остановлена комбинацией</w:t>
      </w:r>
      <w:r>
        <w:t xml:space="preserve"> </w:t>
      </w:r>
      <w:r>
        <w:t xml:space="preserve">“</w:t>
      </w:r>
      <w:r>
        <w:t xml:space="preserve">Ctrl+Z</w:t>
      </w:r>
      <w:r>
        <w:t xml:space="preserve">”</w:t>
      </w:r>
      <w:r>
        <w:t xml:space="preserve">, а</w:t>
      </w:r>
      <w:r>
        <w:t xml:space="preserve"> </w:t>
      </w:r>
      <w:r>
        <w:t xml:space="preserve">“</w:t>
      </w:r>
      <w:r>
        <w:t xml:space="preserve">program3</w:t>
      </w:r>
      <w:r>
        <w:t xml:space="preserve">”</w:t>
      </w:r>
      <w:r>
        <w:t xml:space="preserve"> </w:t>
      </w:r>
      <w:r>
        <w:t xml:space="preserve">по-прежнему работает в фоне. Следовательно,</w:t>
      </w:r>
      <w:r>
        <w:t xml:space="preserve"> </w:t>
      </w:r>
      <w:r>
        <w:t xml:space="preserve">“</w:t>
      </w:r>
      <w:r>
        <w:t xml:space="preserve">jobs</w:t>
      </w:r>
      <w:r>
        <w:t xml:space="preserve">”</w:t>
      </w:r>
      <w:r>
        <w:t xml:space="preserve"> </w:t>
      </w:r>
      <w:r>
        <w:t xml:space="preserve">отобразит информацию о</w:t>
      </w:r>
      <w:r>
        <w:t xml:space="preserve"> </w:t>
      </w:r>
      <w:r>
        <w:t xml:space="preserve">“</w:t>
      </w:r>
      <w:r>
        <w:t xml:space="preserve">program2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program3</w:t>
      </w:r>
      <w:r>
        <w:t xml:space="preserve">”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57353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Результат выполнения jobs после выполнения действий</w:t>
            </w:r>
          </w:p>
          <w:bookmarkEnd w:id="64"/>
        </w:tc>
      </w:tr>
    </w:tbl>
    <w:p>
      <w:pPr>
        <w:pStyle w:val="BodyText"/>
      </w:pPr>
      <w:r>
        <w:t xml:space="preserve">Утилиты</w:t>
      </w:r>
      <w:r>
        <w:t xml:space="preserve"> </w:t>
      </w:r>
      <w:r>
        <w:t xml:space="preserve">“</w:t>
      </w:r>
      <w:r>
        <w:t xml:space="preserve">jobs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top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ps</w:t>
      </w:r>
      <w:r>
        <w:t xml:space="preserve">”</w:t>
      </w:r>
      <w:r>
        <w:t xml:space="preserve"> </w:t>
      </w:r>
      <w:r>
        <w:t xml:space="preserve">используют разные идентификаторы:</w:t>
      </w:r>
      <w:r>
        <w:t xml:space="preserve"> </w:t>
      </w:r>
      <w:r>
        <w:t xml:space="preserve">“</w:t>
      </w:r>
      <w:r>
        <w:t xml:space="preserve">jobs</w:t>
      </w:r>
      <w:r>
        <w:t xml:space="preserve">”</w:t>
      </w:r>
      <w:r>
        <w:t xml:space="preserve"> </w:t>
      </w:r>
      <w:r>
        <w:t xml:space="preserve">оперирует номерами заданий текущего сеанса оболочки,</w:t>
      </w:r>
      <w:r>
        <w:t xml:space="preserve"> </w:t>
      </w:r>
      <w:r>
        <w:t xml:space="preserve">“</w:t>
      </w:r>
      <w:r>
        <w:t xml:space="preserve">ps</w:t>
      </w:r>
      <w:r>
        <w:t xml:space="preserve">”</w:t>
      </w:r>
      <w:r>
        <w:t xml:space="preserve"> </w:t>
      </w:r>
      <w:r>
        <w:t xml:space="preserve">– системными PID (Process ID), а</w:t>
      </w:r>
      <w:r>
        <w:t xml:space="preserve"> </w:t>
      </w:r>
      <w:r>
        <w:t xml:space="preserve">“</w:t>
      </w:r>
      <w:r>
        <w:t xml:space="preserve">top</w:t>
      </w:r>
      <w:r>
        <w:t xml:space="preserve">”</w:t>
      </w:r>
      <w:r>
        <w:t xml:space="preserve"> </w:t>
      </w:r>
      <w:r>
        <w:t xml:space="preserve">также показывает PID. Поэтому ни в одной паре они не совпадают. Верный ответ – «У всех разные»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174912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9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Идентификаторы процессов в разных утилитах</w:t>
            </w:r>
          </w:p>
          <w:bookmarkEnd w:id="68"/>
        </w:tc>
      </w:tr>
    </w:tbl>
    <w:p>
      <w:pPr>
        <w:pStyle w:val="BodyText"/>
      </w:pPr>
      <w:r>
        <w:t xml:space="preserve">Мгновенно завершить остановленный процесс можно командой</w:t>
      </w:r>
      <w:r>
        <w:t xml:space="preserve"> </w:t>
      </w:r>
      <w:r>
        <w:t xml:space="preserve">“</w:t>
      </w:r>
      <w:r>
        <w:t xml:space="preserve">kill -9</w:t>
      </w:r>
      <w:r>
        <w:t xml:space="preserve">”</w:t>
      </w:r>
      <w:r>
        <w:t xml:space="preserve">, посылающей сигнал SIGKILL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53103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1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kill -9 для мгновенного завершения</w:t>
            </w:r>
          </w:p>
          <w:bookmarkEnd w:id="72"/>
        </w:tc>
      </w:tr>
    </w:tbl>
    <w:p>
      <w:pPr>
        <w:pStyle w:val="BodyText"/>
      </w:pPr>
      <w:r>
        <w:t xml:space="preserve">Сигнал</w:t>
      </w:r>
      <w:r>
        <w:t xml:space="preserve"> </w:t>
      </w:r>
      <w:r>
        <w:t xml:space="preserve">“</w:t>
      </w:r>
      <w:r>
        <w:t xml:space="preserve">kill</w:t>
      </w:r>
      <w:r>
        <w:t xml:space="preserve">”</w:t>
      </w:r>
      <w:r>
        <w:t xml:space="preserve"> </w:t>
      </w:r>
      <w:r>
        <w:t xml:space="preserve">(без опций) лишь просит процесс завершиться, но не действует на процесс, пока тот не будет продолжен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69678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6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kill без опций для остановленного процесса</w:t>
            </w:r>
          </w:p>
          <w:bookmarkEnd w:id="76"/>
        </w:tc>
      </w:tr>
    </w:tbl>
    <w:bookmarkEnd w:id="77"/>
    <w:bookmarkStart w:id="98" w:name="выполнение-2.5.-многопоточные-приложения"/>
    <w:p>
      <w:pPr>
        <w:pStyle w:val="Heading2"/>
      </w:pPr>
      <w:r>
        <w:t xml:space="preserve">3.5 Выполнение 2.5. Многопоточные приложения</w:t>
      </w:r>
    </w:p>
    <w:p>
      <w:pPr>
        <w:pStyle w:val="FirstParagraph"/>
      </w:pPr>
      <w:r>
        <w:t xml:space="preserve">В остановленном состоянии процессорное время не потребляется, поэтому</w:t>
      </w:r>
      <w:r>
        <w:t xml:space="preserve"> </w:t>
      </w:r>
      <w:r>
        <w:t xml:space="preserve">“</w:t>
      </w:r>
      <w:r>
        <w:t xml:space="preserve">%CPU</w:t>
      </w:r>
      <w:r>
        <w:t xml:space="preserve">”</w:t>
      </w:r>
      <w:r>
        <w:t xml:space="preserve"> </w:t>
      </w:r>
      <w:r>
        <w:t xml:space="preserve">равен нулю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261714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7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Остановленное многопоточное приложение</w:t>
            </w:r>
          </w:p>
          <w:bookmarkEnd w:id="81"/>
        </w:tc>
      </w:tr>
    </w:tbl>
    <w:p>
      <w:pPr>
        <w:pStyle w:val="BodyText"/>
      </w:pPr>
      <w:r>
        <w:t xml:space="preserve">Занятая память сохраняется в том же объёме, что и в момент остановки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225806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Память, занимаемая остановленным приложением</w:t>
            </w:r>
          </w:p>
          <w:bookmarkEnd w:id="85"/>
        </w:tc>
      </w:tr>
    </w:tbl>
    <w:p>
      <w:pPr>
        <w:pStyle w:val="BodyText"/>
      </w:pPr>
      <w:r>
        <w:t xml:space="preserve">Невозможно принудительно завершить отдельный поток многопоточного приложения – в Linux сигналы посылаются всему процессу целиком, поэтому «никак» является единственно верным ответом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225806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Нельзя завершить отдельный поток</w:t>
            </w:r>
          </w:p>
          <w:bookmarkEnd w:id="89"/>
        </w:tc>
      </w:tr>
    </w:tbl>
    <w:p>
      <w:pPr>
        <w:pStyle w:val="BodyText"/>
      </w:pPr>
      <w:r>
        <w:t xml:space="preserve">Многопоточность поддерживается только на этапе собственно выравнивания (подпрограмма</w:t>
      </w:r>
      <w:r>
        <w:t xml:space="preserve"> </w:t>
      </w:r>
      <w:r>
        <w:t xml:space="preserve">“</w:t>
      </w:r>
      <w:r>
        <w:t xml:space="preserve">bowtie2</w:t>
      </w:r>
      <w:r>
        <w:t xml:space="preserve">”</w:t>
      </w:r>
      <w:r>
        <w:t xml:space="preserve">). Этап индексации референсного генома (</w:t>
      </w:r>
      <w:r>
        <w:t xml:space="preserve">“</w:t>
      </w:r>
      <w:r>
        <w:t xml:space="preserve">bowtie2-build</w:t>
      </w:r>
      <w:r>
        <w:t xml:space="preserve">”</w:t>
      </w:r>
      <w:r>
        <w:t xml:space="preserve">) выполняется строго в один поток(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195579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Многопоточность поддерживается только bowtie2</w:t>
            </w:r>
          </w:p>
          <w:bookmarkEnd w:id="93"/>
        </w:tc>
      </w:tr>
    </w:tbl>
    <w:p>
      <w:pPr>
        <w:pStyle w:val="BodyText"/>
      </w:pPr>
      <w:r>
        <w:t xml:space="preserve">Вывод stderr второго этапа был перенаправлен в файл</w:t>
      </w:r>
      <w:r>
        <w:t xml:space="preserve"> </w:t>
      </w:r>
      <w:r>
        <w:t xml:space="preserve">“</w:t>
      </w:r>
      <w:r>
        <w:t xml:space="preserve">bowtie.log</w:t>
      </w:r>
      <w:r>
        <w:t xml:space="preserve">”</w:t>
      </w:r>
      <w:r>
        <w:t xml:space="preserve"> </w:t>
      </w:r>
      <w:r>
        <w:t xml:space="preserve">и загружен в форму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244475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4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Лог выполнения bowtie2</w:t>
            </w:r>
          </w:p>
          <w:bookmarkEnd w:id="97"/>
        </w:tc>
      </w:tr>
    </w:tbl>
    <w:bookmarkEnd w:id="98"/>
    <w:bookmarkStart w:id="123" w:name="выполнение-2.6.-менеджер-терминалов-tmux"/>
    <w:p>
      <w:pPr>
        <w:pStyle w:val="Heading2"/>
      </w:pPr>
      <w:r>
        <w:t xml:space="preserve">3.6 Выполнение 2.6. Менеджер терминалов tmux</w:t>
      </w:r>
    </w:p>
    <w:p>
      <w:pPr>
        <w:pStyle w:val="FirstParagraph"/>
      </w:pPr>
      <w:r>
        <w:t xml:space="preserve">Каждая вкладка представляет собой независимую сессию оболочки. Если процесс был приостановлен в другой вкладке, набрав</w:t>
      </w:r>
      <w:r>
        <w:t xml:space="preserve"> </w:t>
      </w:r>
      <w:r>
        <w:t xml:space="preserve">“</w:t>
      </w:r>
      <w:r>
        <w:t xml:space="preserve">fg</w:t>
      </w:r>
      <w:r>
        <w:t xml:space="preserve">”</w:t>
      </w:r>
      <w:r>
        <w:t xml:space="preserve"> </w:t>
      </w:r>
      <w:r>
        <w:t xml:space="preserve">в текущей, терминал сообщит, что нет подходящей задачи, так как</w:t>
      </w:r>
      <w:r>
        <w:t xml:space="preserve"> </w:t>
      </w:r>
      <w:r>
        <w:t xml:space="preserve">“</w:t>
      </w:r>
      <w:r>
        <w:t xml:space="preserve">fg</w:t>
      </w:r>
      <w:r>
        <w:t xml:space="preserve">”</w:t>
      </w:r>
      <w:r>
        <w:t xml:space="preserve"> </w:t>
      </w:r>
      <w:r>
        <w:t xml:space="preserve">видит только задания своей сессии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2" w:name="fig-019"/>
          <w:p>
            <w:pPr>
              <w:pStyle w:val="Compact"/>
              <w:jc w:val="center"/>
            </w:pPr>
            <w:r>
              <w:drawing>
                <wp:inline>
                  <wp:extent cx="3733800" cy="175133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1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fg в другой вкладке</w:t>
            </w:r>
          </w:p>
          <w:bookmarkEnd w:id="102"/>
        </w:tc>
      </w:tr>
    </w:tbl>
    <w:p>
      <w:pPr>
        <w:pStyle w:val="BodyText"/>
      </w:pPr>
      <w:r>
        <w:t xml:space="preserve">Если в tmux осталась одна последняя вкладка и в ней введена команда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, то tmux завершает свою работу, поскольку закрывается последняя активная сессия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6" w:name="fig-020"/>
          <w:p>
            <w:pPr>
              <w:pStyle w:val="Compact"/>
              <w:jc w:val="center"/>
            </w:pPr>
            <w:r>
              <w:drawing>
                <wp:inline>
                  <wp:extent cx="3733800" cy="161798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7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Закрытие последней вкладки tmux</w:t>
            </w:r>
          </w:p>
          <w:bookmarkEnd w:id="106"/>
        </w:tc>
      </w:tr>
    </w:tbl>
    <w:p>
      <w:pPr>
        <w:pStyle w:val="BodyText"/>
      </w:pPr>
      <w:r>
        <w:t xml:space="preserve">В описанной ситуации соединение с сервером прервётся, однако tmux продолжит работу. Tmux является серверным процессом, не привязанным к конкретной SSH-сессии; при разрыве соединения его сессия остаётся активной, и к ней можно снова подключиться позже([рис.@fig-021]).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183134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1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Закрытие терминала при работающем tmux на сервере</w:t>
            </w:r>
          </w:p>
          <w:bookmarkEnd w:id="110"/>
        </w:tc>
      </w:tr>
    </w:tbl>
    <w:p>
      <w:pPr>
        <w:pStyle w:val="BodyText"/>
      </w:pPr>
      <w:r>
        <w:t xml:space="preserve">При принудительном закрытии вкладки tmux (</w:t>
      </w:r>
      <w:r>
        <w:t xml:space="preserve">“</w:t>
      </w:r>
      <w:r>
        <w:t xml:space="preserve">Ctrl+B, X</w:t>
      </w:r>
      <w:r>
        <w:t xml:space="preserve">”</w:t>
      </w:r>
      <w:r>
        <w:t xml:space="preserve">) все процессы, запущенные в этой вкладке, уничтожаются (</w:t>
      </w:r>
      <w:r>
        <w:rPr>
          <w:bCs/>
          <w:b/>
        </w:rPr>
        <w:t xml:space="preserve">?@fig-022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4" w:name="fig-021"/>
          <w:p>
            <w:pPr>
              <w:pStyle w:val="Compact"/>
              <w:jc w:val="center"/>
            </w:pPr>
            <w:r>
              <w:drawing>
                <wp:inline>
                  <wp:extent cx="3733800" cy="163131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Закрытие вкладки с фоновым процессом</w:t>
            </w:r>
          </w:p>
          <w:bookmarkEnd w:id="114"/>
        </w:tc>
      </w:tr>
    </w:tbl>
    <w:p>
      <w:pPr>
        <w:pStyle w:val="BodyText"/>
      </w:pPr>
      <w:r>
        <w:t xml:space="preserve">Для переименования текущей вкладки в tmux используется комбинация</w:t>
      </w:r>
      <w:r>
        <w:t xml:space="preserve"> </w:t>
      </w:r>
      <w:r>
        <w:t xml:space="preserve">“</w:t>
      </w:r>
      <w:r>
        <w:t xml:space="preserve">Ctrl+B</w:t>
      </w:r>
      <w:r>
        <w:t xml:space="preserve">”</w:t>
      </w:r>
      <w:r>
        <w:t xml:space="preserve"> </w:t>
      </w:r>
      <w:r>
        <w:t xml:space="preserve">и запятая (</w:t>
      </w:r>
      <w:r>
        <w:t xml:space="preserve">“</w:t>
      </w:r>
      <w:r>
        <w:t xml:space="preserve">,</w:t>
      </w:r>
      <w:r>
        <w:t xml:space="preserve">”</w:t>
      </w:r>
      <w:r>
        <w:t xml:space="preserve">) (</w:t>
      </w:r>
      <w:hyperlink w:anchor="fig-023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1995804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5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Комбинация для переименования вкладки</w:t>
            </w:r>
          </w:p>
          <w:bookmarkEnd w:id="118"/>
        </w:tc>
      </w:tr>
    </w:tbl>
    <w:p>
      <w:pPr>
        <w:pStyle w:val="BodyText"/>
      </w:pPr>
      <w:r>
        <w:t xml:space="preserve">Изучили возможности разделения вкладок на панели. Из предложенных утверждений верными являются два:</w:t>
      </w:r>
      <w:r>
        <w:t xml:space="preserve"> </w:t>
      </w:r>
      <w:r>
        <w:t xml:space="preserve">“</w:t>
      </w:r>
      <w:r>
        <w:t xml:space="preserve">По половинкам</w:t>
      </w:r>
      <w:r>
        <w:t xml:space="preserve">”</w:t>
      </w:r>
      <w:r>
        <w:t xml:space="preserve">разделенной” вкладки можно перемещаться при помощи (Ctrl+B и стрелочек)</w:t>
      </w:r>
      <w:r>
        <w:t xml:space="preserve">“</w:t>
      </w:r>
      <w:r>
        <w:t xml:space="preserve">,</w:t>
      </w:r>
      <w:r>
        <w:t xml:space="preserve">”</w:t>
      </w:r>
      <w:r>
        <w:t xml:space="preserve">Команды-</w:t>
      </w:r>
      <w:r>
        <w:t xml:space="preserve">“</w:t>
      </w:r>
      <w:r>
        <w:t xml:space="preserve">разделения</w:t>
      </w:r>
      <w:r>
        <w:t xml:space="preserve">”</w:t>
      </w:r>
      <w:r>
        <w:t xml:space="preserve"> </w:t>
      </w:r>
      <w:r>
        <w:t xml:space="preserve">действуют только в текущей вкладке tmux, а не во всех вкладках одновременно”,</w:t>
      </w:r>
      <w:r>
        <w:t xml:space="preserve"> </w:t>
      </w:r>
      <w:r>
        <w:t xml:space="preserve">“</w:t>
      </w:r>
      <w:r>
        <w:t xml:space="preserve">Можно закрыть одну из</w:t>
      </w:r>
      <w:r>
        <w:t xml:space="preserve">”</w:t>
      </w:r>
      <w:r>
        <w:t xml:space="preserve">частей” вкладки выполнив (Ctrl+B и x)“. Остальные утверждения неверны (</w:t>
      </w:r>
      <w:r>
        <w:rPr>
          <w:bCs/>
          <w:b/>
        </w:rPr>
        <w:t xml:space="preserve">?@fig-024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2" w:name="fig-023"/>
          <w:p>
            <w:pPr>
              <w:pStyle w:val="Compact"/>
              <w:jc w:val="center"/>
            </w:pPr>
            <w:r>
              <w:drawing>
                <wp:inline>
                  <wp:extent cx="3733800" cy="2715895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Утверждения о разделении вкладок tmux</w:t>
            </w:r>
          </w:p>
          <w:bookmarkEnd w:id="122"/>
        </w:tc>
      </w:tr>
    </w:tbl>
    <w:bookmarkEnd w:id="123"/>
    <w:bookmarkEnd w:id="124"/>
    <w:bookmarkStart w:id="12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внешнего курса «Введение в Linux» были получены практические навыки работы с удалёнными серверами, установкой программного обеспечения, запуском и контролем процессов</w:t>
      </w:r>
    </w:p>
    <w:bookmarkEnd w:id="125"/>
    <w:bookmarkStart w:id="127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Курс «Введение в Linux» на платформе Stepik [Электронный ресурс] URL: https://stepik.org/course/73/</w:t>
      </w:r>
    </w:p>
    <w:bookmarkStart w:id="126" w:name="refs"/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26" Target="media/rId26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этапу внешнего курса Stepik</dc:title>
  <dc:creator>Иванова Ангелина Олеговна</dc:creator>
  <dc:language>ru-RU</dc:language>
  <cp:keywords/>
  <dcterms:created xsi:type="dcterms:W3CDTF">2026-05-07T18:47:34Z</dcterms:created>
  <dcterms:modified xsi:type="dcterms:W3CDTF">2026-05-07T18:47:34Z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на сервере</vt:lpwstr>
  </property>
  <property fmtid="{D5CDD505-2E9C-101B-9397-08002B2CF9AE}" pid="16" name="toc-title">
    <vt:lpwstr>Содержание</vt:lpwstr>
  </property>
</Properties>
</file>