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DB13E" w14:textId="40657B6A" w:rsidR="00583023" w:rsidRPr="00904486" w:rsidRDefault="008A4680">
      <w:pPr>
        <w:jc w:val="center"/>
        <w:rPr>
          <w:i/>
          <w:lang w:val="en-US"/>
        </w:rPr>
      </w:pPr>
      <w:r w:rsidRPr="00904486">
        <w:rPr>
          <w:b/>
          <w:sz w:val="24"/>
          <w:szCs w:val="24"/>
          <w:lang w:val="en-US"/>
        </w:rPr>
        <w:t>The history of human oral diseases through metagenomics analysis</w:t>
      </w:r>
      <w:r w:rsidRPr="00904486">
        <w:rPr>
          <w:b/>
          <w:lang w:val="en-US"/>
        </w:rPr>
        <w:br/>
      </w:r>
      <w:proofErr w:type="spellStart"/>
      <w:r w:rsidRPr="00904486">
        <w:rPr>
          <w:i/>
          <w:lang w:val="en-US"/>
        </w:rPr>
        <w:t>Gainova</w:t>
      </w:r>
      <w:proofErr w:type="spellEnd"/>
      <w:r w:rsidRPr="00904486">
        <w:rPr>
          <w:i/>
          <w:lang w:val="en-US"/>
        </w:rPr>
        <w:t xml:space="preserve"> Kristina, Ivanova Eugenia</w:t>
      </w:r>
      <w:r w:rsidR="00904486">
        <w:rPr>
          <w:i/>
          <w:lang w:val="en-US"/>
        </w:rPr>
        <w:t xml:space="preserve"> (</w:t>
      </w:r>
      <w:proofErr w:type="spellStart"/>
      <w:r w:rsidR="00904486">
        <w:rPr>
          <w:i/>
          <w:lang w:val="en-US"/>
        </w:rPr>
        <w:t>Strebulaeva</w:t>
      </w:r>
      <w:proofErr w:type="spellEnd"/>
      <w:r w:rsidR="00904486">
        <w:rPr>
          <w:i/>
          <w:lang w:val="en-US"/>
        </w:rPr>
        <w:t>)</w:t>
      </w:r>
    </w:p>
    <w:p w14:paraId="4E859CAC" w14:textId="77777777" w:rsidR="00583023" w:rsidRPr="00904486" w:rsidRDefault="008A4680">
      <w:pPr>
        <w:jc w:val="both"/>
        <w:rPr>
          <w:b/>
          <w:lang w:val="en-US"/>
        </w:rPr>
      </w:pPr>
      <w:r w:rsidRPr="00904486">
        <w:rPr>
          <w:b/>
          <w:lang w:val="en-US"/>
        </w:rPr>
        <w:br/>
      </w:r>
      <w:r w:rsidRPr="00904486">
        <w:rPr>
          <w:b/>
          <w:sz w:val="24"/>
          <w:szCs w:val="24"/>
          <w:lang w:val="en-US"/>
        </w:rPr>
        <w:t>Abstract</w:t>
      </w:r>
      <w:r w:rsidRPr="00904486">
        <w:rPr>
          <w:b/>
          <w:lang w:val="en-US"/>
        </w:rPr>
        <w:br/>
      </w:r>
    </w:p>
    <w:p w14:paraId="76D843C7" w14:textId="7F797FC3" w:rsidR="00583023" w:rsidRPr="00904486" w:rsidRDefault="008A4680">
      <w:pPr>
        <w:spacing w:line="360" w:lineRule="auto"/>
        <w:ind w:firstLine="720"/>
        <w:jc w:val="both"/>
        <w:rPr>
          <w:b/>
          <w:lang w:val="en-US"/>
        </w:rPr>
      </w:pPr>
      <w:r w:rsidRPr="00904486">
        <w:rPr>
          <w:lang w:val="en-US"/>
        </w:rPr>
        <w:t>Microbial oral diseases, such as periodontitis, affect people throughout the history of mankind as can be seen from archeological evidence. Dental calculus from dead man’s teeth is a great source of well-preserved DNA of bacterial communities. In this stud</w:t>
      </w:r>
      <w:r w:rsidRPr="00904486">
        <w:rPr>
          <w:lang w:val="en-US"/>
        </w:rPr>
        <w:t xml:space="preserve">y we examined dental samples of the dead man from </w:t>
      </w:r>
      <w:proofErr w:type="spellStart"/>
      <w:r w:rsidRPr="00904486">
        <w:rPr>
          <w:lang w:val="en-US"/>
        </w:rPr>
        <w:t>Dunheim</w:t>
      </w:r>
      <w:proofErr w:type="spellEnd"/>
      <w:r w:rsidRPr="00904486">
        <w:rPr>
          <w:lang w:val="en-US"/>
        </w:rPr>
        <w:t xml:space="preserve">, </w:t>
      </w:r>
      <w:r w:rsidR="00904486" w:rsidRPr="00904486">
        <w:rPr>
          <w:lang w:val="en-US"/>
        </w:rPr>
        <w:t>Germany, who</w:t>
      </w:r>
      <w:r w:rsidRPr="00904486">
        <w:rPr>
          <w:lang w:val="en-US"/>
        </w:rPr>
        <w:t xml:space="preserve"> had suffered from periodontitis </w:t>
      </w:r>
      <w:r w:rsidR="00904486" w:rsidRPr="00904486">
        <w:rPr>
          <w:lang w:val="en-US"/>
        </w:rPr>
        <w:t>and was</w:t>
      </w:r>
      <w:r w:rsidRPr="00904486">
        <w:rPr>
          <w:lang w:val="en-US"/>
        </w:rPr>
        <w:t xml:space="preserve"> buried more than 2000 years ago </w:t>
      </w:r>
      <w:r w:rsidR="00904486" w:rsidRPr="00904486">
        <w:rPr>
          <w:lang w:val="en-US"/>
        </w:rPr>
        <w:t>(</w:t>
      </w:r>
      <w:r w:rsidR="00904486" w:rsidRPr="00904486">
        <w:rPr>
          <w:highlight w:val="white"/>
          <w:lang w:val="en-US"/>
        </w:rPr>
        <w:t>ca.</w:t>
      </w:r>
      <w:r w:rsidRPr="00904486">
        <w:rPr>
          <w:highlight w:val="white"/>
          <w:lang w:val="en-US"/>
        </w:rPr>
        <w:t xml:space="preserve"> AD 950-1200)</w:t>
      </w:r>
      <w:r w:rsidRPr="00904486">
        <w:rPr>
          <w:lang w:val="en-US"/>
        </w:rPr>
        <w:t xml:space="preserve">. Using results of the sequencing of the V5 region 16s DNA and </w:t>
      </w:r>
      <w:proofErr w:type="spellStart"/>
      <w:r w:rsidRPr="00904486">
        <w:rPr>
          <w:lang w:val="en-US"/>
        </w:rPr>
        <w:t>GreenGenes</w:t>
      </w:r>
      <w:proofErr w:type="spellEnd"/>
      <w:r w:rsidRPr="00904486">
        <w:rPr>
          <w:lang w:val="en-US"/>
        </w:rPr>
        <w:t xml:space="preserve"> database we found </w:t>
      </w:r>
      <w:r w:rsidRPr="00904486">
        <w:rPr>
          <w:lang w:val="en-US"/>
        </w:rPr>
        <w:t xml:space="preserve">the pathogenic bacteria associated with periodontitis nowadays, and this finding specifies the same periodontitis cause for ancient and modern humans. </w:t>
      </w:r>
      <w:r w:rsidR="00904486" w:rsidRPr="00904486">
        <w:rPr>
          <w:lang w:val="en-US"/>
        </w:rPr>
        <w:t>Also,</w:t>
      </w:r>
      <w:r w:rsidRPr="00904486">
        <w:rPr>
          <w:lang w:val="en-US"/>
        </w:rPr>
        <w:t xml:space="preserve"> the metagenome assembly from the calculus sample was used for exploration of ancient </w:t>
      </w:r>
      <w:proofErr w:type="spellStart"/>
      <w:r w:rsidRPr="00904486">
        <w:rPr>
          <w:i/>
          <w:lang w:val="en-US"/>
        </w:rPr>
        <w:t>Tannerella</w:t>
      </w:r>
      <w:proofErr w:type="spellEnd"/>
      <w:r w:rsidRPr="00904486">
        <w:rPr>
          <w:i/>
          <w:lang w:val="en-US"/>
        </w:rPr>
        <w:t xml:space="preserve"> fors</w:t>
      </w:r>
      <w:r w:rsidRPr="00904486">
        <w:rPr>
          <w:i/>
          <w:lang w:val="en-US"/>
        </w:rPr>
        <w:t>ythia</w:t>
      </w:r>
      <w:r w:rsidRPr="00904486">
        <w:rPr>
          <w:lang w:val="en-US"/>
        </w:rPr>
        <w:t xml:space="preserve"> genome and its difference from modern one. There was strong evidence that transposable elements contribute to the acquisition of novel genes. Obtained results are very important in studying pathogenic bacteria evolution during human history and its a</w:t>
      </w:r>
      <w:r w:rsidRPr="00904486">
        <w:rPr>
          <w:lang w:val="en-US"/>
        </w:rPr>
        <w:t>daptation to changes in human diet.</w:t>
      </w:r>
    </w:p>
    <w:p w14:paraId="61AD2C91" w14:textId="77777777" w:rsidR="00583023" w:rsidRPr="00904486" w:rsidRDefault="00583023">
      <w:pPr>
        <w:rPr>
          <w:b/>
          <w:lang w:val="en-US"/>
        </w:rPr>
      </w:pPr>
    </w:p>
    <w:p w14:paraId="4B939981" w14:textId="77777777" w:rsidR="00583023" w:rsidRPr="00904486" w:rsidRDefault="008A4680">
      <w:pPr>
        <w:rPr>
          <w:b/>
          <w:sz w:val="24"/>
          <w:szCs w:val="24"/>
          <w:lang w:val="en-US"/>
        </w:rPr>
      </w:pPr>
      <w:r w:rsidRPr="00904486">
        <w:rPr>
          <w:b/>
          <w:lang w:val="en-US"/>
        </w:rPr>
        <w:br/>
      </w:r>
      <w:r w:rsidRPr="00904486">
        <w:rPr>
          <w:b/>
          <w:sz w:val="24"/>
          <w:szCs w:val="24"/>
          <w:lang w:val="en-US"/>
        </w:rPr>
        <w:t>Introduction</w:t>
      </w:r>
    </w:p>
    <w:p w14:paraId="7874DA1A" w14:textId="77777777" w:rsidR="00583023" w:rsidRPr="00904486" w:rsidRDefault="00583023">
      <w:pPr>
        <w:rPr>
          <w:b/>
          <w:sz w:val="24"/>
          <w:szCs w:val="24"/>
          <w:lang w:val="en-US"/>
        </w:rPr>
      </w:pPr>
    </w:p>
    <w:p w14:paraId="35E01B65" w14:textId="36BDE194" w:rsidR="00583023" w:rsidRPr="00904486" w:rsidRDefault="008A4680">
      <w:pPr>
        <w:spacing w:line="360" w:lineRule="auto"/>
        <w:ind w:firstLine="720"/>
        <w:jc w:val="both"/>
        <w:rPr>
          <w:highlight w:val="white"/>
          <w:lang w:val="en-US"/>
        </w:rPr>
      </w:pPr>
      <w:r w:rsidRPr="00904486">
        <w:rPr>
          <w:highlight w:val="white"/>
          <w:lang w:val="en-US"/>
        </w:rPr>
        <w:t xml:space="preserve">To date, the majority of research aims at studying microbial community composition.  There is gaining evidence suggesting that the development of many human </w:t>
      </w:r>
      <w:r w:rsidR="00904486" w:rsidRPr="00904486">
        <w:rPr>
          <w:highlight w:val="white"/>
          <w:lang w:val="en-US"/>
        </w:rPr>
        <w:t>diseases such</w:t>
      </w:r>
      <w:r w:rsidRPr="00904486">
        <w:rPr>
          <w:highlight w:val="white"/>
          <w:lang w:val="en-US"/>
        </w:rPr>
        <w:t xml:space="preserve"> as obesity, inflammatory bowe</w:t>
      </w:r>
      <w:r w:rsidRPr="00904486">
        <w:rPr>
          <w:highlight w:val="white"/>
          <w:lang w:val="en-US"/>
        </w:rPr>
        <w:t xml:space="preserve">l diseases, </w:t>
      </w:r>
      <w:r w:rsidRPr="00904486">
        <w:rPr>
          <w:lang w:val="en-US"/>
        </w:rPr>
        <w:t>periodontitis,</w:t>
      </w:r>
      <w:r w:rsidRPr="00904486">
        <w:rPr>
          <w:highlight w:val="white"/>
          <w:lang w:val="en-US"/>
        </w:rPr>
        <w:t xml:space="preserve"> HIV, and so on can be linked to microbes that naturally reside in the body. The first step towards microbiome wide association studies is the characterization of the composition of human microbiome. The main difficulty researcher</w:t>
      </w:r>
      <w:r w:rsidRPr="00904486">
        <w:rPr>
          <w:highlight w:val="white"/>
          <w:lang w:val="en-US"/>
        </w:rPr>
        <w:t xml:space="preserve">s face is that a lot of microorganisms cannot be cultured by standard techniques, and the uncultured fraction includes diverse organisms that are only distantly related to the cultured ones [1]. </w:t>
      </w:r>
      <w:r w:rsidR="00904486" w:rsidRPr="00904486">
        <w:rPr>
          <w:highlight w:val="white"/>
          <w:lang w:val="en-US"/>
        </w:rPr>
        <w:t>Thus,</w:t>
      </w:r>
      <w:r w:rsidRPr="00904486">
        <w:rPr>
          <w:highlight w:val="white"/>
          <w:lang w:val="en-US"/>
        </w:rPr>
        <w:t xml:space="preserve"> to understand genetic diversity of microbial community c</w:t>
      </w:r>
      <w:r w:rsidRPr="00904486">
        <w:rPr>
          <w:highlight w:val="white"/>
          <w:lang w:val="en-US"/>
        </w:rPr>
        <w:t>ulture-independent methods are essential among which is metagenomics.</w:t>
      </w:r>
    </w:p>
    <w:p w14:paraId="7187C695" w14:textId="77777777" w:rsidR="00583023" w:rsidRPr="00904486" w:rsidRDefault="008A4680">
      <w:pPr>
        <w:spacing w:line="360" w:lineRule="auto"/>
        <w:ind w:firstLine="720"/>
        <w:jc w:val="both"/>
        <w:rPr>
          <w:highlight w:val="white"/>
          <w:lang w:val="en-US"/>
        </w:rPr>
      </w:pPr>
      <w:r w:rsidRPr="00904486">
        <w:rPr>
          <w:highlight w:val="white"/>
          <w:lang w:val="en-US"/>
        </w:rPr>
        <w:t xml:space="preserve">There are two widely used approaches in comparative metagenomics - sequencing of the conserved 16S ribosomal RNA (rRNA) gene and shotgun whole genome sequencing (WGS) [2]. They allow us </w:t>
      </w:r>
      <w:r w:rsidRPr="00904486">
        <w:rPr>
          <w:highlight w:val="white"/>
          <w:lang w:val="en-US"/>
        </w:rPr>
        <w:t>to identify microorganisms and evaluate their diversity and abundance in various environments.</w:t>
      </w:r>
    </w:p>
    <w:p w14:paraId="00DA3A9E" w14:textId="77777777" w:rsidR="00583023" w:rsidRPr="00904486" w:rsidRDefault="008A4680">
      <w:pPr>
        <w:spacing w:line="360" w:lineRule="auto"/>
        <w:ind w:firstLine="720"/>
        <w:jc w:val="both"/>
        <w:rPr>
          <w:highlight w:val="white"/>
          <w:lang w:val="en-US"/>
        </w:rPr>
      </w:pPr>
      <w:r w:rsidRPr="00904486">
        <w:rPr>
          <w:highlight w:val="white"/>
          <w:lang w:val="en-US"/>
        </w:rPr>
        <w:t>16S rRNA gene sequencing utilizes PCR method to amplify parts of the hypervariable regions (V1-V9) of the bacterial 16S rRNA gene. Then molecular barcodes are ad</w:t>
      </w:r>
      <w:r w:rsidRPr="00904486">
        <w:rPr>
          <w:highlight w:val="white"/>
          <w:lang w:val="en-US"/>
        </w:rPr>
        <w:t xml:space="preserve">ded to amplicons from separate samples. Next, obtained molecules are mixed together and </w:t>
      </w:r>
      <w:r w:rsidRPr="00904486">
        <w:rPr>
          <w:highlight w:val="white"/>
          <w:lang w:val="en-US"/>
        </w:rPr>
        <w:lastRenderedPageBreak/>
        <w:t>sequenced. Raw data of sequencing is trimmed, corrected and compared with the 16S reference database and finally a taxonomy profile is generated.</w:t>
      </w:r>
    </w:p>
    <w:p w14:paraId="4F0775DF" w14:textId="77777777" w:rsidR="00583023" w:rsidRPr="00904486" w:rsidRDefault="008A4680">
      <w:pPr>
        <w:spacing w:line="360" w:lineRule="auto"/>
        <w:ind w:firstLine="720"/>
        <w:jc w:val="both"/>
        <w:rPr>
          <w:highlight w:val="white"/>
          <w:lang w:val="en-US"/>
        </w:rPr>
      </w:pPr>
      <w:r w:rsidRPr="00904486">
        <w:rPr>
          <w:highlight w:val="white"/>
          <w:lang w:val="en-US"/>
        </w:rPr>
        <w:t>Unlike the 16S sequenc</w:t>
      </w:r>
      <w:r w:rsidRPr="00904486">
        <w:rPr>
          <w:highlight w:val="white"/>
          <w:lang w:val="en-US"/>
        </w:rPr>
        <w:t xml:space="preserve">ing method, shotgun whole genome sequencing is an approach which sequences all genomic DNA existing in a sample. The library preparation step is similar to whole genome sequencing. The next step is a quality trimming and comparison to a reference database </w:t>
      </w:r>
      <w:r w:rsidRPr="00904486">
        <w:rPr>
          <w:highlight w:val="white"/>
          <w:lang w:val="en-US"/>
        </w:rPr>
        <w:t>to generate a taxonomy profile. Shotgun sequencing can be used for additional analyses such as metabolic function profiling, antibiotic resistance gene profiling and etc.</w:t>
      </w:r>
    </w:p>
    <w:p w14:paraId="6C41C7DF" w14:textId="33DC474A" w:rsidR="00583023" w:rsidRPr="00904486" w:rsidRDefault="008A4680">
      <w:pPr>
        <w:spacing w:line="360" w:lineRule="auto"/>
        <w:ind w:firstLine="720"/>
        <w:jc w:val="both"/>
        <w:rPr>
          <w:sz w:val="21"/>
          <w:szCs w:val="21"/>
          <w:highlight w:val="white"/>
          <w:u w:val="single"/>
          <w:lang w:val="en-US"/>
        </w:rPr>
      </w:pPr>
      <w:r w:rsidRPr="00904486">
        <w:rPr>
          <w:highlight w:val="white"/>
          <w:lang w:val="en-US"/>
        </w:rPr>
        <w:t xml:space="preserve">The main goal of this article is defining bacterial species in </w:t>
      </w:r>
      <w:r w:rsidRPr="00904486">
        <w:rPr>
          <w:lang w:val="en-US"/>
        </w:rPr>
        <w:t>dead man’s teeth</w:t>
      </w:r>
      <w:r w:rsidRPr="00904486">
        <w:rPr>
          <w:highlight w:val="white"/>
          <w:lang w:val="en-US"/>
        </w:rPr>
        <w:t xml:space="preserve"> cause</w:t>
      </w:r>
      <w:r w:rsidRPr="00904486">
        <w:rPr>
          <w:highlight w:val="white"/>
          <w:lang w:val="en-US"/>
        </w:rPr>
        <w:t xml:space="preserve">d periodontitis. Periodontitis is one of the most common diseases of the tissue surrounding the tooth. The human oral cavity is inhabited by approximately 700 species of microorganisms. The primary causative agent resulting in periodontal </w:t>
      </w:r>
      <w:r w:rsidR="00904486" w:rsidRPr="00904486">
        <w:rPr>
          <w:highlight w:val="white"/>
          <w:lang w:val="en-US"/>
        </w:rPr>
        <w:t>disease is</w:t>
      </w:r>
      <w:r w:rsidRPr="00904486">
        <w:rPr>
          <w:highlight w:val="white"/>
          <w:lang w:val="en-US"/>
        </w:rPr>
        <w:t xml:space="preserve"> the b</w:t>
      </w:r>
      <w:r w:rsidRPr="00904486">
        <w:rPr>
          <w:highlight w:val="white"/>
          <w:lang w:val="en-US"/>
        </w:rPr>
        <w:t xml:space="preserve">acterial biofilm which grows on the tooth surface leading to the destruction of the supporting and surrounding tooth structures. The red complex has been proposed as a pathogenic consortium causing periodontitis and consisting of </w:t>
      </w:r>
      <w:proofErr w:type="spellStart"/>
      <w:r w:rsidRPr="00904486">
        <w:rPr>
          <w:i/>
          <w:sz w:val="21"/>
          <w:szCs w:val="21"/>
          <w:highlight w:val="white"/>
          <w:lang w:val="en-US"/>
        </w:rPr>
        <w:t>Porphyromonas</w:t>
      </w:r>
      <w:proofErr w:type="spellEnd"/>
      <w:r w:rsidRPr="00904486">
        <w:rPr>
          <w:i/>
          <w:sz w:val="21"/>
          <w:szCs w:val="21"/>
          <w:highlight w:val="white"/>
          <w:lang w:val="en-US"/>
        </w:rPr>
        <w:t xml:space="preserve"> </w:t>
      </w:r>
      <w:proofErr w:type="spellStart"/>
      <w:r w:rsidRPr="00904486">
        <w:rPr>
          <w:i/>
          <w:sz w:val="21"/>
          <w:szCs w:val="21"/>
          <w:highlight w:val="white"/>
          <w:lang w:val="en-US"/>
        </w:rPr>
        <w:t>gingivalis</w:t>
      </w:r>
      <w:proofErr w:type="spellEnd"/>
      <w:r w:rsidRPr="00904486">
        <w:rPr>
          <w:i/>
          <w:sz w:val="21"/>
          <w:szCs w:val="21"/>
          <w:highlight w:val="white"/>
          <w:lang w:val="en-US"/>
        </w:rPr>
        <w:t xml:space="preserve">, </w:t>
      </w:r>
      <w:proofErr w:type="spellStart"/>
      <w:r w:rsidRPr="00904486">
        <w:rPr>
          <w:i/>
          <w:sz w:val="21"/>
          <w:szCs w:val="21"/>
          <w:highlight w:val="white"/>
          <w:lang w:val="en-US"/>
        </w:rPr>
        <w:t>Tannerella</w:t>
      </w:r>
      <w:proofErr w:type="spellEnd"/>
      <w:r w:rsidRPr="00904486">
        <w:rPr>
          <w:i/>
          <w:sz w:val="21"/>
          <w:szCs w:val="21"/>
          <w:highlight w:val="white"/>
          <w:lang w:val="en-US"/>
        </w:rPr>
        <w:t xml:space="preserve"> forsythia </w:t>
      </w:r>
      <w:r w:rsidRPr="00904486">
        <w:rPr>
          <w:sz w:val="21"/>
          <w:szCs w:val="21"/>
          <w:highlight w:val="white"/>
          <w:lang w:val="en-US"/>
        </w:rPr>
        <w:t xml:space="preserve">and </w:t>
      </w:r>
      <w:r w:rsidRPr="00904486">
        <w:rPr>
          <w:i/>
          <w:sz w:val="21"/>
          <w:szCs w:val="21"/>
          <w:highlight w:val="white"/>
          <w:lang w:val="en-US"/>
        </w:rPr>
        <w:t xml:space="preserve">Treponema </w:t>
      </w:r>
      <w:proofErr w:type="spellStart"/>
      <w:r w:rsidRPr="00904486">
        <w:rPr>
          <w:i/>
          <w:sz w:val="21"/>
          <w:szCs w:val="21"/>
          <w:highlight w:val="white"/>
          <w:lang w:val="en-US"/>
        </w:rPr>
        <w:t>denticola</w:t>
      </w:r>
      <w:proofErr w:type="spellEnd"/>
      <w:r w:rsidRPr="00904486">
        <w:rPr>
          <w:i/>
          <w:sz w:val="21"/>
          <w:szCs w:val="21"/>
          <w:highlight w:val="white"/>
          <w:lang w:val="en-US"/>
        </w:rPr>
        <w:t xml:space="preserve"> </w:t>
      </w:r>
      <w:r w:rsidRPr="00904486">
        <w:rPr>
          <w:sz w:val="21"/>
          <w:szCs w:val="21"/>
          <w:highlight w:val="white"/>
          <w:lang w:val="en-US"/>
        </w:rPr>
        <w:t>[3].</w:t>
      </w:r>
    </w:p>
    <w:p w14:paraId="329DB5D7" w14:textId="77777777" w:rsidR="00583023" w:rsidRPr="00904486" w:rsidRDefault="00583023">
      <w:pPr>
        <w:spacing w:line="360" w:lineRule="auto"/>
        <w:rPr>
          <w:b/>
          <w:lang w:val="en-US"/>
        </w:rPr>
      </w:pPr>
    </w:p>
    <w:p w14:paraId="6755CE72" w14:textId="77777777" w:rsidR="00583023" w:rsidRPr="00904486" w:rsidRDefault="008A4680">
      <w:pPr>
        <w:rPr>
          <w:b/>
          <w:sz w:val="24"/>
          <w:szCs w:val="24"/>
          <w:lang w:val="en-US"/>
        </w:rPr>
      </w:pPr>
      <w:r w:rsidRPr="00904486">
        <w:rPr>
          <w:b/>
          <w:lang w:val="en-US"/>
        </w:rPr>
        <w:br/>
      </w:r>
      <w:r w:rsidRPr="00904486">
        <w:rPr>
          <w:b/>
          <w:sz w:val="24"/>
          <w:szCs w:val="24"/>
          <w:lang w:val="en-US"/>
        </w:rPr>
        <w:t>Materials and methods</w:t>
      </w:r>
    </w:p>
    <w:p w14:paraId="61DDE758" w14:textId="77777777" w:rsidR="00583023" w:rsidRPr="00904486" w:rsidRDefault="008A4680">
      <w:pPr>
        <w:jc w:val="both"/>
        <w:rPr>
          <w:b/>
          <w:lang w:val="en-US"/>
        </w:rPr>
      </w:pPr>
      <w:r w:rsidRPr="00904486">
        <w:rPr>
          <w:b/>
          <w:lang w:val="en-US"/>
        </w:rPr>
        <w:br/>
        <w:t>Data</w:t>
      </w:r>
    </w:p>
    <w:p w14:paraId="19010572" w14:textId="77777777" w:rsidR="00583023" w:rsidRPr="00904486" w:rsidRDefault="008A4680">
      <w:pPr>
        <w:spacing w:line="360" w:lineRule="auto"/>
        <w:ind w:firstLine="720"/>
        <w:jc w:val="both"/>
        <w:rPr>
          <w:color w:val="00000A"/>
          <w:lang w:val="en-US"/>
        </w:rPr>
      </w:pPr>
      <w:r w:rsidRPr="00904486">
        <w:rPr>
          <w:lang w:val="en-US"/>
        </w:rPr>
        <w:t xml:space="preserve">For amplicon analysis we used sequencing data from dental calculus and bone of the dead man </w:t>
      </w:r>
      <w:proofErr w:type="spellStart"/>
      <w:r w:rsidRPr="00904486">
        <w:rPr>
          <w:lang w:val="en-US"/>
        </w:rPr>
        <w:t>Dunheim</w:t>
      </w:r>
      <w:proofErr w:type="spellEnd"/>
      <w:r w:rsidRPr="00904486">
        <w:rPr>
          <w:lang w:val="en-US"/>
        </w:rPr>
        <w:t>, Germany obtained by an instrument Roche GS Junior (454)</w:t>
      </w:r>
      <w:r w:rsidRPr="00904486">
        <w:rPr>
          <w:color w:val="00000A"/>
          <w:lang w:val="en-US"/>
        </w:rPr>
        <w:t>. Reads and descript</w:t>
      </w:r>
      <w:r w:rsidRPr="00904486">
        <w:rPr>
          <w:color w:val="00000A"/>
          <w:lang w:val="en-US"/>
        </w:rPr>
        <w:t>ion can be found by the link:</w:t>
      </w:r>
    </w:p>
    <w:p w14:paraId="50DC8542" w14:textId="77777777" w:rsidR="00904486" w:rsidRDefault="008A4680">
      <w:pPr>
        <w:spacing w:line="360" w:lineRule="auto"/>
        <w:jc w:val="both"/>
        <w:rPr>
          <w:lang w:val="en-US"/>
        </w:rPr>
      </w:pPr>
      <w:hyperlink r:id="rId4">
        <w:r w:rsidRPr="00904486">
          <w:rPr>
            <w:color w:val="1155CC"/>
            <w:u w:val="single"/>
            <w:lang w:val="en-US"/>
          </w:rPr>
          <w:t>https://figshare.com/articles/_Dead_man_s_teeth_dataset/12152040</w:t>
        </w:r>
      </w:hyperlink>
      <w:r w:rsidRPr="00904486">
        <w:rPr>
          <w:color w:val="00000A"/>
          <w:lang w:val="en-US"/>
        </w:rPr>
        <w:br/>
      </w:r>
      <w:r w:rsidRPr="00904486">
        <w:rPr>
          <w:lang w:val="en-US"/>
        </w:rPr>
        <w:t>and in the NCBI Short Read Archive:</w:t>
      </w:r>
    </w:p>
    <w:p w14:paraId="6E21F742" w14:textId="77777777" w:rsidR="00904486" w:rsidRDefault="008A4680">
      <w:pPr>
        <w:spacing w:line="360" w:lineRule="auto"/>
        <w:jc w:val="both"/>
        <w:rPr>
          <w:lang w:val="en-US"/>
        </w:rPr>
      </w:pPr>
      <w:hyperlink r:id="rId5">
        <w:r w:rsidRPr="00904486">
          <w:rPr>
            <w:color w:val="1155CC"/>
            <w:u w:val="single"/>
            <w:lang w:val="en-US"/>
          </w:rPr>
          <w:t>https://trace.ncbi.nlm.nih.gov/Traces/sra/?study=SRP029257</w:t>
        </w:r>
      </w:hyperlink>
      <w:r w:rsidRPr="00904486">
        <w:rPr>
          <w:lang w:val="en-US"/>
        </w:rPr>
        <w:br/>
      </w:r>
      <w:r w:rsidRPr="00904486">
        <w:rPr>
          <w:lang w:val="en-US"/>
        </w:rPr>
        <w:t xml:space="preserve">The </w:t>
      </w:r>
      <w:proofErr w:type="spellStart"/>
      <w:r w:rsidRPr="00904486">
        <w:rPr>
          <w:lang w:val="en-US"/>
        </w:rPr>
        <w:t>GreenGenes</w:t>
      </w:r>
      <w:proofErr w:type="spellEnd"/>
      <w:r w:rsidRPr="00904486">
        <w:rPr>
          <w:lang w:val="en-US"/>
        </w:rPr>
        <w:t xml:space="preserve"> database for taxonomic analysis can be found here:</w:t>
      </w:r>
    </w:p>
    <w:p w14:paraId="4EC2F917" w14:textId="77777777" w:rsidR="00904486" w:rsidRDefault="008A4680">
      <w:pPr>
        <w:spacing w:line="360" w:lineRule="auto"/>
        <w:jc w:val="both"/>
        <w:rPr>
          <w:lang w:val="en-US"/>
        </w:rPr>
      </w:pPr>
      <w:hyperlink r:id="rId6">
        <w:r w:rsidRPr="00904486">
          <w:rPr>
            <w:color w:val="1155CC"/>
            <w:u w:val="single"/>
            <w:lang w:val="en-US"/>
          </w:rPr>
          <w:t>https://data.qiime2.org/2020.2/common/gg-13-8-99-nb-classifier.qza</w:t>
        </w:r>
      </w:hyperlink>
      <w:r w:rsidRPr="00904486">
        <w:rPr>
          <w:lang w:val="en-US"/>
        </w:rPr>
        <w:br/>
        <w:t>Metagenome assembly of the calculus sample was download from here:</w:t>
      </w:r>
    </w:p>
    <w:p w14:paraId="6512FAE9" w14:textId="77777777" w:rsidR="00904486" w:rsidRDefault="008A4680">
      <w:pPr>
        <w:spacing w:line="360" w:lineRule="auto"/>
        <w:jc w:val="both"/>
        <w:rPr>
          <w:lang w:val="en-US"/>
        </w:rPr>
      </w:pPr>
      <w:hyperlink r:id="rId7">
        <w:r w:rsidRPr="00904486">
          <w:rPr>
            <w:color w:val="1155CC"/>
            <w:u w:val="single"/>
            <w:lang w:val="en-US"/>
          </w:rPr>
          <w:t>ht</w:t>
        </w:r>
        <w:r w:rsidRPr="00904486">
          <w:rPr>
            <w:color w:val="1155CC"/>
            <w:u w:val="single"/>
            <w:lang w:val="en-US"/>
          </w:rPr>
          <w:t>tps://www.dropbox.com/s/f5j52tliumt6etm/G12_assembly.fna.gz?dl=0</w:t>
        </w:r>
      </w:hyperlink>
      <w:r w:rsidRPr="00904486">
        <w:rPr>
          <w:lang w:val="en-US"/>
        </w:rPr>
        <w:br/>
        <w:t>and also can be download from MG-RAST server:</w:t>
      </w:r>
    </w:p>
    <w:p w14:paraId="56D077FF" w14:textId="77777777" w:rsidR="00904486" w:rsidRDefault="008A4680">
      <w:pPr>
        <w:spacing w:line="360" w:lineRule="auto"/>
        <w:jc w:val="both"/>
        <w:rPr>
          <w:lang w:val="en-US"/>
        </w:rPr>
      </w:pPr>
      <w:hyperlink r:id="rId8">
        <w:r w:rsidRPr="00904486">
          <w:rPr>
            <w:color w:val="1155CC"/>
            <w:u w:val="single"/>
            <w:lang w:val="en-US"/>
          </w:rPr>
          <w:t>http://metagenomics.anl.gov/mgmain.html?mgpage</w:t>
        </w:r>
        <w:r w:rsidRPr="00904486">
          <w:rPr>
            <w:color w:val="1155CC"/>
            <w:u w:val="single"/>
            <w:lang w:val="en-US"/>
          </w:rPr>
          <w:t>=download&amp;metagenome=mgm4530391.3</w:t>
        </w:r>
      </w:hyperlink>
      <w:r w:rsidRPr="00904486">
        <w:rPr>
          <w:lang w:val="en-US"/>
        </w:rPr>
        <w:br/>
        <w:t>Human microbiome data for checkpoint step in our analysis was downloaded from here:</w:t>
      </w:r>
      <w:r w:rsidRPr="00904486">
        <w:rPr>
          <w:lang w:val="en-US"/>
        </w:rPr>
        <w:br/>
      </w:r>
      <w:hyperlink r:id="rId9">
        <w:r w:rsidRPr="00904486">
          <w:rPr>
            <w:color w:val="1155CC"/>
            <w:u w:val="single"/>
            <w:lang w:val="en-US"/>
          </w:rPr>
          <w:t>https://www.dropbox.com/s/aeq9fsoax68h9qk/SRS01445</w:t>
        </w:r>
        <w:r w:rsidRPr="00904486">
          <w:rPr>
            <w:color w:val="1155CC"/>
            <w:u w:val="single"/>
            <w:lang w:val="en-US"/>
          </w:rPr>
          <w:t>9-Stool.fasta?dl=0</w:t>
        </w:r>
      </w:hyperlink>
      <w:r w:rsidRPr="00904486">
        <w:rPr>
          <w:lang w:val="en-US"/>
        </w:rPr>
        <w:br/>
      </w:r>
      <w:hyperlink r:id="rId10">
        <w:r w:rsidRPr="00904486">
          <w:rPr>
            <w:color w:val="1155CC"/>
            <w:u w:val="single"/>
            <w:lang w:val="en-US"/>
          </w:rPr>
          <w:t>https://www.dropbox.com/s/r6du0tazu7ocyop/SRS014464-Anterior_nares.fasta?dl=0</w:t>
        </w:r>
      </w:hyperlink>
      <w:r w:rsidRPr="00904486">
        <w:rPr>
          <w:lang w:val="en-US"/>
        </w:rPr>
        <w:br/>
      </w:r>
      <w:hyperlink r:id="rId11">
        <w:r w:rsidRPr="00904486">
          <w:rPr>
            <w:color w:val="1155CC"/>
            <w:u w:val="single"/>
            <w:lang w:val="en-US"/>
          </w:rPr>
          <w:t>https://www.dropbox.com/s/xyoy6oo12r9mjry/SRS014470-Tongue_dorsum.fasta?dl=0</w:t>
        </w:r>
      </w:hyperlink>
      <w:r w:rsidRPr="00904486">
        <w:rPr>
          <w:lang w:val="en-US"/>
        </w:rPr>
        <w:br/>
      </w:r>
      <w:hyperlink r:id="rId12">
        <w:r w:rsidRPr="00904486">
          <w:rPr>
            <w:color w:val="1155CC"/>
            <w:u w:val="single"/>
            <w:lang w:val="en-US"/>
          </w:rPr>
          <w:t>https://www.dropbox.com/s/mwxyzjumb6gc9sz/SRS0144</w:t>
        </w:r>
        <w:r w:rsidRPr="00904486">
          <w:rPr>
            <w:color w:val="1155CC"/>
            <w:u w:val="single"/>
            <w:lang w:val="en-US"/>
          </w:rPr>
          <w:t>72-Buccal_mucosa.fasta?dl=0</w:t>
        </w:r>
      </w:hyperlink>
      <w:r w:rsidRPr="00904486">
        <w:rPr>
          <w:lang w:val="en-US"/>
        </w:rPr>
        <w:br/>
      </w:r>
      <w:hyperlink r:id="rId13">
        <w:r w:rsidRPr="00904486">
          <w:rPr>
            <w:color w:val="1155CC"/>
            <w:u w:val="single"/>
            <w:lang w:val="en-US"/>
          </w:rPr>
          <w:t>https://www.dropbox.com/s/ajt786ac2ijnra8/SRS014476-Supragingival_plaque.fasta?dl=0</w:t>
        </w:r>
      </w:hyperlink>
      <w:r w:rsidRPr="00904486">
        <w:rPr>
          <w:lang w:val="en-US"/>
        </w:rPr>
        <w:br/>
      </w:r>
      <w:hyperlink r:id="rId14">
        <w:r w:rsidRPr="00904486">
          <w:rPr>
            <w:color w:val="1155CC"/>
            <w:u w:val="single"/>
            <w:lang w:val="en-US"/>
          </w:rPr>
          <w:t>https://www.dropbox.com/s/6oiowqeg447kq1j/SRS014494-Posterior_fornix.fasta?dl=0</w:t>
        </w:r>
      </w:hyperlink>
      <w:r w:rsidRPr="00904486">
        <w:rPr>
          <w:lang w:val="en-US"/>
        </w:rPr>
        <w:br/>
        <w:t>and in full variant also can be found on HMP website:</w:t>
      </w:r>
    </w:p>
    <w:p w14:paraId="573A9E29" w14:textId="169856B8" w:rsidR="00583023" w:rsidRPr="00904486" w:rsidRDefault="008A4680">
      <w:pPr>
        <w:spacing w:line="360" w:lineRule="auto"/>
        <w:jc w:val="both"/>
        <w:rPr>
          <w:lang w:val="en-US"/>
        </w:rPr>
      </w:pPr>
      <w:hyperlink r:id="rId15">
        <w:r w:rsidRPr="00904486">
          <w:rPr>
            <w:color w:val="1155CC"/>
            <w:u w:val="single"/>
            <w:lang w:val="en-US"/>
          </w:rPr>
          <w:t>http://hmpdacc.org/</w:t>
        </w:r>
        <w:r w:rsidRPr="00904486">
          <w:rPr>
            <w:color w:val="1155CC"/>
            <w:u w:val="single"/>
            <w:lang w:val="en-US"/>
          </w:rPr>
          <w:t>HMASM/</w:t>
        </w:r>
      </w:hyperlink>
      <w:r w:rsidRPr="00904486">
        <w:rPr>
          <w:lang w:val="en-US"/>
        </w:rPr>
        <w:br/>
      </w:r>
      <w:proofErr w:type="spellStart"/>
      <w:r w:rsidRPr="00904486">
        <w:rPr>
          <w:i/>
          <w:iCs/>
          <w:lang w:val="en-US"/>
        </w:rPr>
        <w:t>Tannerella</w:t>
      </w:r>
      <w:proofErr w:type="spellEnd"/>
      <w:r w:rsidRPr="00904486">
        <w:rPr>
          <w:i/>
          <w:iCs/>
          <w:lang w:val="en-US"/>
        </w:rPr>
        <w:t xml:space="preserve"> forsythia</w:t>
      </w:r>
      <w:r w:rsidRPr="00904486">
        <w:rPr>
          <w:lang w:val="en-US"/>
        </w:rPr>
        <w:t xml:space="preserve"> genome and annotation (NC_016610.1) was downloaded from the NCBI:</w:t>
      </w:r>
    </w:p>
    <w:p w14:paraId="5268ED43" w14:textId="77777777" w:rsidR="00904486" w:rsidRDefault="008A4680">
      <w:pPr>
        <w:spacing w:line="360" w:lineRule="auto"/>
        <w:jc w:val="both"/>
        <w:rPr>
          <w:b/>
          <w:lang w:val="en-US"/>
        </w:rPr>
      </w:pPr>
      <w:hyperlink r:id="rId16">
        <w:r w:rsidRPr="00904486">
          <w:rPr>
            <w:color w:val="1155CC"/>
            <w:u w:val="single"/>
            <w:lang w:val="en-US"/>
          </w:rPr>
          <w:t>https://www.ncbi.nlm.nih.gov/nuccore/NC_016610.1</w:t>
        </w:r>
      </w:hyperlink>
      <w:r w:rsidRPr="00904486">
        <w:rPr>
          <w:lang w:val="en-US"/>
        </w:rPr>
        <w:br/>
      </w:r>
      <w:r w:rsidRPr="00904486">
        <w:rPr>
          <w:lang w:val="en-US"/>
        </w:rPr>
        <w:br/>
      </w:r>
      <w:r w:rsidRPr="00904486">
        <w:rPr>
          <w:b/>
          <w:lang w:val="en-US"/>
        </w:rPr>
        <w:t>Taxonomic analysis</w:t>
      </w:r>
    </w:p>
    <w:p w14:paraId="7ED26A20" w14:textId="1E63037A" w:rsidR="00583023" w:rsidRPr="00904486" w:rsidRDefault="008A4680">
      <w:pPr>
        <w:spacing w:line="360" w:lineRule="auto"/>
        <w:jc w:val="both"/>
        <w:rPr>
          <w:lang w:val="en-US"/>
        </w:rPr>
      </w:pPr>
      <w:r w:rsidRPr="00904486">
        <w:rPr>
          <w:lang w:val="en-US"/>
        </w:rPr>
        <w:tab/>
        <w:t xml:space="preserve">Quality control for the </w:t>
      </w:r>
      <w:r w:rsidRPr="00904486">
        <w:rPr>
          <w:lang w:val="en-US"/>
        </w:rPr>
        <w:t xml:space="preserve">16s amplicon sequencing results and taxonomic analysis were performed with the QIIME2 package. </w:t>
      </w:r>
    </w:p>
    <w:p w14:paraId="40E50ACF" w14:textId="77777777" w:rsidR="00904486" w:rsidRDefault="008A4680">
      <w:pPr>
        <w:spacing w:line="360" w:lineRule="auto"/>
        <w:jc w:val="both"/>
        <w:rPr>
          <w:lang w:val="en-US"/>
        </w:rPr>
      </w:pPr>
      <w:r w:rsidRPr="00904486">
        <w:rPr>
          <w:lang w:val="en-US"/>
        </w:rPr>
        <w:t>Import of the data and QC were performed with default parameters.</w:t>
      </w:r>
    </w:p>
    <w:p w14:paraId="35C014BC" w14:textId="77777777" w:rsidR="00904486" w:rsidRDefault="008A4680">
      <w:pPr>
        <w:spacing w:line="360" w:lineRule="auto"/>
        <w:jc w:val="both"/>
        <w:rPr>
          <w:lang w:val="en-US"/>
        </w:rPr>
      </w:pPr>
      <w:r w:rsidRPr="00904486">
        <w:rPr>
          <w:lang w:val="en-US"/>
        </w:rPr>
        <w:t>For filtering, according to the results of the QC, parameter n = 148 for --p-</w:t>
      </w:r>
      <w:proofErr w:type="spellStart"/>
      <w:r w:rsidRPr="00904486">
        <w:rPr>
          <w:lang w:val="en-US"/>
        </w:rPr>
        <w:t>trunc</w:t>
      </w:r>
      <w:proofErr w:type="spellEnd"/>
      <w:r w:rsidRPr="00904486">
        <w:rPr>
          <w:lang w:val="en-US"/>
        </w:rPr>
        <w:t>-</w:t>
      </w:r>
      <w:proofErr w:type="spellStart"/>
      <w:r w:rsidRPr="00904486">
        <w:rPr>
          <w:lang w:val="en-US"/>
        </w:rPr>
        <w:t>len</w:t>
      </w:r>
      <w:proofErr w:type="spellEnd"/>
      <w:r w:rsidRPr="00904486">
        <w:rPr>
          <w:lang w:val="en-US"/>
        </w:rPr>
        <w:t xml:space="preserve"> and</w:t>
      </w:r>
    </w:p>
    <w:p w14:paraId="01F10928" w14:textId="77777777" w:rsidR="00904486" w:rsidRDefault="008A4680">
      <w:pPr>
        <w:spacing w:line="360" w:lineRule="auto"/>
        <w:jc w:val="both"/>
        <w:rPr>
          <w:lang w:val="en-US"/>
        </w:rPr>
      </w:pPr>
      <w:r w:rsidRPr="00904486">
        <w:rPr>
          <w:lang w:val="en-US"/>
        </w:rPr>
        <w:t>par</w:t>
      </w:r>
      <w:r w:rsidRPr="00904486">
        <w:rPr>
          <w:lang w:val="en-US"/>
        </w:rPr>
        <w:t>ameter m = 32 for --p-trim-left as total length of the barcode and primer were chosen in</w:t>
      </w:r>
    </w:p>
    <w:p w14:paraId="6283AA5B" w14:textId="77777777" w:rsidR="00904486" w:rsidRDefault="008A4680">
      <w:pPr>
        <w:spacing w:line="360" w:lineRule="auto"/>
        <w:jc w:val="both"/>
        <w:rPr>
          <w:lang w:val="en-US"/>
        </w:rPr>
      </w:pPr>
      <w:r w:rsidRPr="00904486">
        <w:rPr>
          <w:lang w:val="en-US"/>
        </w:rPr>
        <w:t>DADA2 pipeline (from QIIME2).</w:t>
      </w:r>
    </w:p>
    <w:p w14:paraId="25C09927" w14:textId="77777777" w:rsidR="00904486" w:rsidRDefault="008A4680">
      <w:pPr>
        <w:spacing w:line="360" w:lineRule="auto"/>
        <w:jc w:val="both"/>
        <w:rPr>
          <w:lang w:val="en-US"/>
        </w:rPr>
      </w:pPr>
      <w:r w:rsidRPr="00904486">
        <w:rPr>
          <w:lang w:val="en-US"/>
        </w:rPr>
        <w:t xml:space="preserve">Each step of the analysis was visualized at </w:t>
      </w:r>
      <w:hyperlink r:id="rId17">
        <w:r w:rsidRPr="00904486">
          <w:rPr>
            <w:color w:val="1155CC"/>
            <w:u w:val="single"/>
            <w:lang w:val="en-US"/>
          </w:rPr>
          <w:t>https://view.qiime2.org/</w:t>
        </w:r>
      </w:hyperlink>
      <w:r w:rsidRPr="00904486">
        <w:rPr>
          <w:lang w:val="en-US"/>
        </w:rPr>
        <w:t>.</w:t>
      </w:r>
    </w:p>
    <w:p w14:paraId="6A439B39" w14:textId="77777777" w:rsidR="00904486" w:rsidRDefault="008A4680">
      <w:pPr>
        <w:spacing w:line="360" w:lineRule="auto"/>
        <w:jc w:val="both"/>
        <w:rPr>
          <w:lang w:val="en-US"/>
        </w:rPr>
      </w:pPr>
      <w:r w:rsidRPr="00904486">
        <w:rPr>
          <w:lang w:val="en-US"/>
        </w:rPr>
        <w:t>All the steps describe</w:t>
      </w:r>
      <w:r w:rsidRPr="00904486">
        <w:rPr>
          <w:lang w:val="en-US"/>
        </w:rPr>
        <w:t xml:space="preserve">d in detail in </w:t>
      </w:r>
      <w:r w:rsidRPr="00904486">
        <w:rPr>
          <w:b/>
          <w:i/>
          <w:lang w:val="en-US"/>
        </w:rPr>
        <w:t>Supplementary materials</w:t>
      </w:r>
      <w:r w:rsidRPr="00904486">
        <w:rPr>
          <w:lang w:val="en-US"/>
        </w:rPr>
        <w:t>.</w:t>
      </w:r>
    </w:p>
    <w:p w14:paraId="61ABAFAB" w14:textId="77777777" w:rsidR="00904486" w:rsidRDefault="008A4680">
      <w:pPr>
        <w:spacing w:line="360" w:lineRule="auto"/>
        <w:jc w:val="both"/>
        <w:rPr>
          <w:b/>
          <w:lang w:val="en-US"/>
        </w:rPr>
      </w:pPr>
      <w:r w:rsidRPr="00904486">
        <w:rPr>
          <w:lang w:val="en-US"/>
        </w:rPr>
        <w:br/>
      </w:r>
      <w:r w:rsidRPr="00904486">
        <w:rPr>
          <w:b/>
          <w:lang w:val="en-US"/>
        </w:rPr>
        <w:t>Calculation of organism abundances</w:t>
      </w:r>
    </w:p>
    <w:p w14:paraId="693E48A8" w14:textId="127F17C1" w:rsidR="00583023" w:rsidRPr="00904486" w:rsidRDefault="008A4680">
      <w:pPr>
        <w:spacing w:line="360" w:lineRule="auto"/>
        <w:jc w:val="both"/>
        <w:rPr>
          <w:lang w:val="en-US"/>
        </w:rPr>
      </w:pPr>
      <w:r w:rsidRPr="00904486">
        <w:rPr>
          <w:lang w:val="en-US"/>
        </w:rPr>
        <w:tab/>
        <w:t xml:space="preserve">To check where the bacteria, found in the calculus sample, likely reside and abound we used </w:t>
      </w:r>
      <w:proofErr w:type="spellStart"/>
      <w:r w:rsidRPr="00904486">
        <w:rPr>
          <w:lang w:val="en-US"/>
        </w:rPr>
        <w:t>MetaPhlAn</w:t>
      </w:r>
      <w:proofErr w:type="spellEnd"/>
      <w:r w:rsidRPr="00904486">
        <w:rPr>
          <w:lang w:val="en-US"/>
        </w:rPr>
        <w:t xml:space="preserve"> 3.0.7 (with default parameters).  Also, for comparison with the data from the</w:t>
      </w:r>
      <w:r w:rsidRPr="00904486">
        <w:rPr>
          <w:lang w:val="en-US"/>
        </w:rPr>
        <w:t xml:space="preserve"> Human Metagenome Project, we drew a heatmap where different bacteria were clustered by the places of their abundance in human organisms using hclust2 tool (full code for preparing the file and drawing can be found in </w:t>
      </w:r>
      <w:r w:rsidRPr="00904486">
        <w:rPr>
          <w:b/>
          <w:i/>
          <w:lang w:val="en-US"/>
        </w:rPr>
        <w:t>Supplementary materials</w:t>
      </w:r>
      <w:r w:rsidRPr="00904486">
        <w:rPr>
          <w:lang w:val="en-US"/>
        </w:rPr>
        <w:t>).</w:t>
      </w:r>
    </w:p>
    <w:p w14:paraId="157638C4" w14:textId="77777777" w:rsidR="00583023" w:rsidRPr="00904486" w:rsidRDefault="00583023">
      <w:pPr>
        <w:jc w:val="both"/>
        <w:rPr>
          <w:color w:val="00000A"/>
          <w:lang w:val="en-US"/>
        </w:rPr>
      </w:pPr>
    </w:p>
    <w:p w14:paraId="294CE848" w14:textId="77777777" w:rsidR="00904486" w:rsidRDefault="008A4680">
      <w:pPr>
        <w:spacing w:line="360" w:lineRule="auto"/>
        <w:jc w:val="both"/>
        <w:rPr>
          <w:b/>
          <w:lang w:val="en-US"/>
        </w:rPr>
      </w:pPr>
      <w:r w:rsidRPr="00904486">
        <w:rPr>
          <w:b/>
          <w:lang w:val="en-US"/>
        </w:rPr>
        <w:t xml:space="preserve">Comparison of the </w:t>
      </w:r>
      <w:proofErr w:type="spellStart"/>
      <w:r w:rsidRPr="00904486">
        <w:rPr>
          <w:b/>
          <w:lang w:val="en-US"/>
        </w:rPr>
        <w:t>Tannerella</w:t>
      </w:r>
      <w:proofErr w:type="spellEnd"/>
      <w:r w:rsidRPr="00904486">
        <w:rPr>
          <w:b/>
          <w:lang w:val="en-US"/>
        </w:rPr>
        <w:t xml:space="preserve"> forsythia genomes</w:t>
      </w:r>
    </w:p>
    <w:p w14:paraId="06A13F74" w14:textId="77777777" w:rsidR="00904486" w:rsidRDefault="008A4680">
      <w:pPr>
        <w:spacing w:line="360" w:lineRule="auto"/>
        <w:jc w:val="both"/>
        <w:rPr>
          <w:lang w:val="en-US"/>
        </w:rPr>
      </w:pPr>
      <w:r w:rsidRPr="00904486">
        <w:rPr>
          <w:b/>
          <w:lang w:val="en-US"/>
        </w:rPr>
        <w:tab/>
      </w:r>
      <w:r w:rsidRPr="00904486">
        <w:rPr>
          <w:lang w:val="en-US"/>
        </w:rPr>
        <w:t xml:space="preserve">Assembly of the metagenome from calculus was aligned to the modern </w:t>
      </w:r>
      <w:proofErr w:type="spellStart"/>
      <w:r w:rsidRPr="00904486">
        <w:rPr>
          <w:i/>
          <w:iCs/>
          <w:lang w:val="en-US"/>
        </w:rPr>
        <w:t>Tannerella</w:t>
      </w:r>
      <w:proofErr w:type="spellEnd"/>
      <w:r w:rsidRPr="00904486">
        <w:rPr>
          <w:i/>
          <w:iCs/>
          <w:lang w:val="en-US"/>
        </w:rPr>
        <w:t xml:space="preserve"> forsythia</w:t>
      </w:r>
      <w:r w:rsidRPr="00904486">
        <w:rPr>
          <w:lang w:val="en-US"/>
        </w:rPr>
        <w:t xml:space="preserve"> genome using the bwa mem tool.</w:t>
      </w:r>
    </w:p>
    <w:p w14:paraId="105F2A87" w14:textId="77777777" w:rsidR="00904486" w:rsidRDefault="008A4680">
      <w:pPr>
        <w:spacing w:line="360" w:lineRule="auto"/>
        <w:jc w:val="both"/>
        <w:rPr>
          <w:lang w:val="en-US"/>
        </w:rPr>
      </w:pPr>
      <w:r w:rsidRPr="00904486">
        <w:rPr>
          <w:lang w:val="en-US"/>
        </w:rPr>
        <w:t xml:space="preserve">Preparing for the visualization was performed by </w:t>
      </w:r>
      <w:proofErr w:type="spellStart"/>
      <w:r w:rsidRPr="00904486">
        <w:rPr>
          <w:lang w:val="en-US"/>
        </w:rPr>
        <w:t>samtools</w:t>
      </w:r>
      <w:proofErr w:type="spellEnd"/>
      <w:r w:rsidRPr="00904486">
        <w:rPr>
          <w:lang w:val="en-US"/>
        </w:rPr>
        <w:t xml:space="preserve"> utility and visualization itsel</w:t>
      </w:r>
      <w:r w:rsidRPr="00904486">
        <w:rPr>
          <w:lang w:val="en-US"/>
        </w:rPr>
        <w:t xml:space="preserve">f was done in </w:t>
      </w:r>
      <w:proofErr w:type="spellStart"/>
      <w:r w:rsidRPr="00904486">
        <w:rPr>
          <w:lang w:val="en-US"/>
        </w:rPr>
        <w:t>IGVBrowser</w:t>
      </w:r>
      <w:proofErr w:type="spellEnd"/>
      <w:r w:rsidRPr="00904486">
        <w:rPr>
          <w:lang w:val="en-US"/>
        </w:rPr>
        <w:t>.</w:t>
      </w:r>
    </w:p>
    <w:p w14:paraId="736C619C" w14:textId="4DAA91F6" w:rsidR="00583023" w:rsidRDefault="008A4680">
      <w:pPr>
        <w:spacing w:line="360" w:lineRule="auto"/>
        <w:jc w:val="both"/>
        <w:rPr>
          <w:lang w:val="en-US"/>
        </w:rPr>
      </w:pPr>
      <w:r w:rsidRPr="00904486">
        <w:rPr>
          <w:lang w:val="en-US"/>
        </w:rPr>
        <w:t xml:space="preserve">Intersection of the ancient and modern bacteria was performed with the use of the </w:t>
      </w:r>
      <w:proofErr w:type="spellStart"/>
      <w:r w:rsidRPr="00904486">
        <w:rPr>
          <w:lang w:val="en-US"/>
        </w:rPr>
        <w:t>bedtools</w:t>
      </w:r>
      <w:proofErr w:type="spellEnd"/>
      <w:r w:rsidRPr="00904486">
        <w:rPr>
          <w:lang w:val="en-US"/>
        </w:rPr>
        <w:t xml:space="preserve"> utility.</w:t>
      </w:r>
      <w:r w:rsidRPr="00904486">
        <w:rPr>
          <w:lang w:val="en-US"/>
        </w:rPr>
        <w:br/>
        <w:t xml:space="preserve">Functional annotation of the obtained genes was made based on information from </w:t>
      </w:r>
      <w:proofErr w:type="spellStart"/>
      <w:r w:rsidRPr="00904486">
        <w:rPr>
          <w:lang w:val="en-US"/>
        </w:rPr>
        <w:t>UniProt</w:t>
      </w:r>
      <w:proofErr w:type="spellEnd"/>
      <w:r w:rsidRPr="00904486">
        <w:rPr>
          <w:lang w:val="en-US"/>
        </w:rPr>
        <w:t xml:space="preserve"> and </w:t>
      </w:r>
      <w:proofErr w:type="spellStart"/>
      <w:r w:rsidRPr="00904486">
        <w:rPr>
          <w:lang w:val="en-US"/>
        </w:rPr>
        <w:t>Pfam</w:t>
      </w:r>
      <w:proofErr w:type="spellEnd"/>
      <w:r w:rsidRPr="00904486">
        <w:rPr>
          <w:lang w:val="en-US"/>
        </w:rPr>
        <w:t xml:space="preserve"> databases.</w:t>
      </w:r>
    </w:p>
    <w:p w14:paraId="23AE76F1" w14:textId="7715B697" w:rsidR="00904486" w:rsidRDefault="00904486">
      <w:pPr>
        <w:spacing w:line="360" w:lineRule="auto"/>
        <w:jc w:val="both"/>
        <w:rPr>
          <w:lang w:val="en-US"/>
        </w:rPr>
      </w:pPr>
    </w:p>
    <w:p w14:paraId="170AC428" w14:textId="77777777" w:rsidR="00904486" w:rsidRPr="00904486" w:rsidRDefault="00904486">
      <w:pPr>
        <w:spacing w:line="360" w:lineRule="auto"/>
        <w:jc w:val="both"/>
        <w:rPr>
          <w:lang w:val="en-US"/>
        </w:rPr>
      </w:pPr>
    </w:p>
    <w:p w14:paraId="1FE99689" w14:textId="77777777" w:rsidR="00583023" w:rsidRPr="00904486" w:rsidRDefault="00583023">
      <w:pPr>
        <w:rPr>
          <w:b/>
          <w:lang w:val="en-US"/>
        </w:rPr>
      </w:pPr>
    </w:p>
    <w:p w14:paraId="5F40B8CB" w14:textId="77777777" w:rsidR="00583023" w:rsidRPr="00904486" w:rsidRDefault="008A4680">
      <w:pPr>
        <w:rPr>
          <w:b/>
          <w:lang w:val="en-US"/>
        </w:rPr>
      </w:pPr>
      <w:r w:rsidRPr="00904486">
        <w:rPr>
          <w:b/>
          <w:lang w:val="en-US"/>
        </w:rPr>
        <w:lastRenderedPageBreak/>
        <w:t>Results</w:t>
      </w:r>
    </w:p>
    <w:p w14:paraId="50FE3855" w14:textId="77777777" w:rsidR="00583023" w:rsidRPr="00904486" w:rsidRDefault="00583023">
      <w:pPr>
        <w:rPr>
          <w:b/>
          <w:lang w:val="en-US"/>
        </w:rPr>
      </w:pPr>
    </w:p>
    <w:p w14:paraId="43C406FF" w14:textId="039D56C6" w:rsidR="00583023" w:rsidRPr="00904486" w:rsidRDefault="008A4680">
      <w:pPr>
        <w:ind w:firstLine="720"/>
        <w:rPr>
          <w:lang w:val="en-US"/>
        </w:rPr>
      </w:pPr>
      <w:r w:rsidRPr="00904486">
        <w:rPr>
          <w:lang w:val="en-US"/>
        </w:rPr>
        <w:t xml:space="preserve">Quality control showed presence of the bad-quality read ends, as can be seen on </w:t>
      </w:r>
      <w:r w:rsidR="00904486">
        <w:rPr>
          <w:b/>
          <w:i/>
          <w:lang w:val="en-US"/>
        </w:rPr>
        <w:t>F</w:t>
      </w:r>
      <w:r w:rsidRPr="00904486">
        <w:rPr>
          <w:b/>
          <w:i/>
          <w:lang w:val="en-US"/>
        </w:rPr>
        <w:t>igure 1</w:t>
      </w:r>
      <w:r w:rsidRPr="00904486">
        <w:rPr>
          <w:lang w:val="en-US"/>
        </w:rPr>
        <w:t xml:space="preserve">. </w:t>
      </w:r>
      <w:r w:rsidR="00904486" w:rsidRPr="00904486">
        <w:rPr>
          <w:lang w:val="en-US"/>
        </w:rPr>
        <w:t>So,</w:t>
      </w:r>
      <w:r w:rsidRPr="00904486">
        <w:rPr>
          <w:lang w:val="en-US"/>
        </w:rPr>
        <w:t xml:space="preserve"> for taxonomic analysis it was decided to filter our reads in order to obtain more accurate and higher-resolved amplicon sequence variants (ASV) rather than operati</w:t>
      </w:r>
      <w:r w:rsidRPr="00904486">
        <w:rPr>
          <w:lang w:val="en-US"/>
        </w:rPr>
        <w:t xml:space="preserve">onal taxonomic units. Results of the filtration are shown in </w:t>
      </w:r>
      <w:r w:rsidRPr="00904486">
        <w:rPr>
          <w:b/>
          <w:i/>
          <w:lang w:val="en-US"/>
        </w:rPr>
        <w:t>Table 1</w:t>
      </w:r>
      <w:r w:rsidRPr="00904486">
        <w:rPr>
          <w:lang w:val="en-US"/>
        </w:rPr>
        <w:t>.</w:t>
      </w:r>
    </w:p>
    <w:p w14:paraId="524D309D" w14:textId="77777777" w:rsidR="00583023" w:rsidRPr="00904486" w:rsidRDefault="00583023">
      <w:pPr>
        <w:ind w:firstLine="720"/>
        <w:rPr>
          <w:lang w:val="en-US"/>
        </w:rPr>
      </w:pPr>
    </w:p>
    <w:p w14:paraId="764ED7EA" w14:textId="77777777" w:rsidR="00583023" w:rsidRPr="00904486" w:rsidRDefault="008A4680">
      <w:pPr>
        <w:ind w:left="141" w:hanging="135"/>
        <w:rPr>
          <w:sz w:val="24"/>
          <w:szCs w:val="24"/>
          <w:lang w:val="en-US"/>
        </w:rPr>
      </w:pPr>
      <w:r>
        <w:rPr>
          <w:noProof/>
        </w:rPr>
        <w:drawing>
          <wp:inline distT="114300" distB="114300" distL="114300" distR="114300" wp14:anchorId="61F1440F" wp14:editId="7FCCD920">
            <wp:extent cx="5400675"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400675" cy="3190875"/>
                    </a:xfrm>
                    <a:prstGeom prst="rect">
                      <a:avLst/>
                    </a:prstGeom>
                    <a:ln/>
                  </pic:spPr>
                </pic:pic>
              </a:graphicData>
            </a:graphic>
          </wp:inline>
        </w:drawing>
      </w:r>
      <w:r w:rsidRPr="00904486">
        <w:rPr>
          <w:lang w:val="en-US"/>
        </w:rPr>
        <w:br/>
      </w:r>
      <w:r>
        <w:rPr>
          <w:noProof/>
        </w:rPr>
        <w:drawing>
          <wp:inline distT="114300" distB="114300" distL="114300" distR="114300" wp14:anchorId="70B28D1E" wp14:editId="0CDCB8B4">
            <wp:extent cx="5019675" cy="2638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019675" cy="2638425"/>
                    </a:xfrm>
                    <a:prstGeom prst="rect">
                      <a:avLst/>
                    </a:prstGeom>
                    <a:ln/>
                  </pic:spPr>
                </pic:pic>
              </a:graphicData>
            </a:graphic>
          </wp:inline>
        </w:drawing>
      </w:r>
      <w:r w:rsidRPr="00904486">
        <w:rPr>
          <w:sz w:val="24"/>
          <w:szCs w:val="24"/>
          <w:lang w:val="en-US"/>
        </w:rPr>
        <w:br/>
      </w:r>
      <w:r w:rsidRPr="00904486">
        <w:rPr>
          <w:b/>
          <w:i/>
          <w:sz w:val="24"/>
          <w:szCs w:val="24"/>
          <w:lang w:val="en-US"/>
        </w:rPr>
        <w:t>Figure 1.</w:t>
      </w:r>
      <w:r w:rsidRPr="00904486">
        <w:rPr>
          <w:i/>
          <w:sz w:val="24"/>
          <w:szCs w:val="24"/>
          <w:lang w:val="en-US"/>
        </w:rPr>
        <w:t xml:space="preserve"> </w:t>
      </w:r>
      <w:r w:rsidRPr="00904486">
        <w:rPr>
          <w:sz w:val="24"/>
          <w:szCs w:val="24"/>
          <w:lang w:val="en-US"/>
        </w:rPr>
        <w:t>Distribution of quality scores for the 16s reads.</w:t>
      </w:r>
    </w:p>
    <w:p w14:paraId="49BE26E4" w14:textId="77777777" w:rsidR="00583023" w:rsidRPr="00904486" w:rsidRDefault="008A4680">
      <w:pPr>
        <w:rPr>
          <w:lang w:val="en-US"/>
        </w:rPr>
      </w:pPr>
      <w:r w:rsidRPr="00904486">
        <w:rPr>
          <w:sz w:val="24"/>
          <w:szCs w:val="24"/>
          <w:lang w:val="en-US"/>
        </w:rPr>
        <w:br/>
      </w:r>
      <w:r w:rsidRPr="00904486">
        <w:rPr>
          <w:b/>
          <w:i/>
          <w:sz w:val="24"/>
          <w:szCs w:val="24"/>
          <w:lang w:val="en-US"/>
        </w:rPr>
        <w:t>Table 1</w:t>
      </w:r>
      <w:r w:rsidRPr="00904486">
        <w:rPr>
          <w:sz w:val="24"/>
          <w:szCs w:val="24"/>
          <w:lang w:val="en-US"/>
        </w:rPr>
        <w:t>. - Filtration summary for 16s reads.</w:t>
      </w:r>
    </w:p>
    <w:tbl>
      <w:tblPr>
        <w:tblStyle w:val="a5"/>
        <w:tblW w:w="807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20"/>
        <w:gridCol w:w="840"/>
        <w:gridCol w:w="1320"/>
        <w:gridCol w:w="1125"/>
        <w:gridCol w:w="1320"/>
        <w:gridCol w:w="1560"/>
      </w:tblGrid>
      <w:tr w:rsidR="00583023" w14:paraId="6AFA267A" w14:textId="77777777">
        <w:tc>
          <w:tcPr>
            <w:tcW w:w="1185" w:type="dxa"/>
            <w:shd w:val="clear" w:color="auto" w:fill="auto"/>
            <w:tcMar>
              <w:top w:w="100" w:type="dxa"/>
              <w:left w:w="100" w:type="dxa"/>
              <w:bottom w:w="100" w:type="dxa"/>
              <w:right w:w="100" w:type="dxa"/>
            </w:tcMar>
          </w:tcPr>
          <w:p w14:paraId="1EE6CE79" w14:textId="77777777" w:rsidR="00583023" w:rsidRDefault="008A4680">
            <w:pPr>
              <w:widowControl w:val="0"/>
              <w:spacing w:line="240" w:lineRule="auto"/>
              <w:rPr>
                <w:sz w:val="18"/>
                <w:szCs w:val="18"/>
              </w:rPr>
            </w:pPr>
            <w:proofErr w:type="spellStart"/>
            <w:r>
              <w:rPr>
                <w:sz w:val="18"/>
                <w:szCs w:val="18"/>
              </w:rPr>
              <w:t>Sample</w:t>
            </w:r>
            <w:proofErr w:type="spellEnd"/>
            <w:r>
              <w:rPr>
                <w:sz w:val="18"/>
                <w:szCs w:val="18"/>
              </w:rPr>
              <w:t xml:space="preserve"> ID</w:t>
            </w:r>
          </w:p>
        </w:tc>
        <w:tc>
          <w:tcPr>
            <w:tcW w:w="720" w:type="dxa"/>
            <w:shd w:val="clear" w:color="auto" w:fill="auto"/>
            <w:tcMar>
              <w:top w:w="100" w:type="dxa"/>
              <w:left w:w="100" w:type="dxa"/>
              <w:bottom w:w="100" w:type="dxa"/>
              <w:right w:w="100" w:type="dxa"/>
            </w:tcMar>
          </w:tcPr>
          <w:p w14:paraId="178BC30A" w14:textId="77777777" w:rsidR="00583023" w:rsidRDefault="008A4680">
            <w:pPr>
              <w:widowControl w:val="0"/>
              <w:spacing w:line="240" w:lineRule="auto"/>
              <w:rPr>
                <w:sz w:val="18"/>
                <w:szCs w:val="18"/>
              </w:rPr>
            </w:pPr>
            <w:proofErr w:type="spellStart"/>
            <w:r>
              <w:rPr>
                <w:sz w:val="18"/>
                <w:szCs w:val="18"/>
              </w:rPr>
              <w:t>Input</w:t>
            </w:r>
            <w:proofErr w:type="spellEnd"/>
          </w:p>
        </w:tc>
        <w:tc>
          <w:tcPr>
            <w:tcW w:w="840" w:type="dxa"/>
            <w:shd w:val="clear" w:color="auto" w:fill="auto"/>
            <w:tcMar>
              <w:top w:w="100" w:type="dxa"/>
              <w:left w:w="100" w:type="dxa"/>
              <w:bottom w:w="100" w:type="dxa"/>
              <w:right w:w="100" w:type="dxa"/>
            </w:tcMar>
          </w:tcPr>
          <w:p w14:paraId="67C60A42" w14:textId="77777777" w:rsidR="00583023" w:rsidRDefault="008A4680">
            <w:pPr>
              <w:widowControl w:val="0"/>
              <w:spacing w:line="240" w:lineRule="auto"/>
              <w:rPr>
                <w:sz w:val="18"/>
                <w:szCs w:val="18"/>
              </w:rPr>
            </w:pPr>
            <w:proofErr w:type="spellStart"/>
            <w:r>
              <w:rPr>
                <w:sz w:val="18"/>
                <w:szCs w:val="18"/>
              </w:rPr>
              <w:t>Filtered</w:t>
            </w:r>
            <w:proofErr w:type="spellEnd"/>
          </w:p>
        </w:tc>
        <w:tc>
          <w:tcPr>
            <w:tcW w:w="1320" w:type="dxa"/>
            <w:shd w:val="clear" w:color="auto" w:fill="auto"/>
            <w:tcMar>
              <w:top w:w="100" w:type="dxa"/>
              <w:left w:w="100" w:type="dxa"/>
              <w:bottom w:w="100" w:type="dxa"/>
              <w:right w:w="100" w:type="dxa"/>
            </w:tcMar>
          </w:tcPr>
          <w:p w14:paraId="33846596" w14:textId="77777777" w:rsidR="00583023" w:rsidRDefault="008A4680">
            <w:pPr>
              <w:widowControl w:val="0"/>
              <w:spacing w:line="240" w:lineRule="auto"/>
              <w:rPr>
                <w:sz w:val="18"/>
                <w:szCs w:val="18"/>
              </w:rPr>
            </w:pPr>
            <w:r>
              <w:rPr>
                <w:sz w:val="18"/>
                <w:szCs w:val="18"/>
              </w:rPr>
              <w:t xml:space="preserve">% </w:t>
            </w:r>
            <w:proofErr w:type="spellStart"/>
            <w:r>
              <w:rPr>
                <w:sz w:val="18"/>
                <w:szCs w:val="18"/>
              </w:rPr>
              <w:t>of</w:t>
            </w:r>
            <w:proofErr w:type="spellEnd"/>
            <w:r>
              <w:rPr>
                <w:sz w:val="18"/>
                <w:szCs w:val="18"/>
              </w:rPr>
              <w:t xml:space="preserve"> </w:t>
            </w:r>
            <w:proofErr w:type="spellStart"/>
            <w:r>
              <w:rPr>
                <w:sz w:val="18"/>
                <w:szCs w:val="18"/>
              </w:rPr>
              <w:t>input</w:t>
            </w:r>
            <w:proofErr w:type="spellEnd"/>
            <w:r>
              <w:rPr>
                <w:sz w:val="18"/>
                <w:szCs w:val="18"/>
              </w:rPr>
              <w:t xml:space="preserve"> </w:t>
            </w:r>
            <w:proofErr w:type="spellStart"/>
            <w:r>
              <w:rPr>
                <w:sz w:val="18"/>
                <w:szCs w:val="18"/>
              </w:rPr>
              <w:t>passed</w:t>
            </w:r>
            <w:proofErr w:type="spellEnd"/>
          </w:p>
        </w:tc>
        <w:tc>
          <w:tcPr>
            <w:tcW w:w="1125" w:type="dxa"/>
            <w:shd w:val="clear" w:color="auto" w:fill="auto"/>
            <w:tcMar>
              <w:top w:w="100" w:type="dxa"/>
              <w:left w:w="100" w:type="dxa"/>
              <w:bottom w:w="100" w:type="dxa"/>
              <w:right w:w="100" w:type="dxa"/>
            </w:tcMar>
          </w:tcPr>
          <w:p w14:paraId="7939FCA3" w14:textId="77777777" w:rsidR="00583023" w:rsidRDefault="008A4680">
            <w:pPr>
              <w:widowControl w:val="0"/>
              <w:spacing w:line="240" w:lineRule="auto"/>
              <w:rPr>
                <w:sz w:val="18"/>
                <w:szCs w:val="18"/>
              </w:rPr>
            </w:pPr>
            <w:proofErr w:type="spellStart"/>
            <w:r>
              <w:rPr>
                <w:sz w:val="18"/>
                <w:szCs w:val="18"/>
              </w:rPr>
              <w:t>Denoised</w:t>
            </w:r>
            <w:proofErr w:type="spellEnd"/>
          </w:p>
        </w:tc>
        <w:tc>
          <w:tcPr>
            <w:tcW w:w="1320" w:type="dxa"/>
            <w:shd w:val="clear" w:color="auto" w:fill="auto"/>
            <w:tcMar>
              <w:top w:w="100" w:type="dxa"/>
              <w:left w:w="100" w:type="dxa"/>
              <w:bottom w:w="100" w:type="dxa"/>
              <w:right w:w="100" w:type="dxa"/>
            </w:tcMar>
          </w:tcPr>
          <w:p w14:paraId="409DEE8E" w14:textId="77777777" w:rsidR="00583023" w:rsidRDefault="008A4680">
            <w:pPr>
              <w:widowControl w:val="0"/>
              <w:spacing w:line="240" w:lineRule="auto"/>
              <w:rPr>
                <w:sz w:val="18"/>
                <w:szCs w:val="18"/>
              </w:rPr>
            </w:pPr>
            <w:proofErr w:type="spellStart"/>
            <w:r>
              <w:rPr>
                <w:sz w:val="18"/>
                <w:szCs w:val="18"/>
              </w:rPr>
              <w:t>Non-chimeric</w:t>
            </w:r>
            <w:proofErr w:type="spellEnd"/>
          </w:p>
        </w:tc>
        <w:tc>
          <w:tcPr>
            <w:tcW w:w="1560" w:type="dxa"/>
            <w:shd w:val="clear" w:color="auto" w:fill="auto"/>
            <w:tcMar>
              <w:top w:w="100" w:type="dxa"/>
              <w:left w:w="100" w:type="dxa"/>
              <w:bottom w:w="100" w:type="dxa"/>
              <w:right w:w="100" w:type="dxa"/>
            </w:tcMar>
          </w:tcPr>
          <w:p w14:paraId="05D58273" w14:textId="77777777" w:rsidR="00583023" w:rsidRDefault="008A4680">
            <w:pPr>
              <w:widowControl w:val="0"/>
              <w:spacing w:line="240" w:lineRule="auto"/>
              <w:rPr>
                <w:sz w:val="18"/>
                <w:szCs w:val="18"/>
              </w:rPr>
            </w:pPr>
            <w:r>
              <w:rPr>
                <w:sz w:val="18"/>
                <w:szCs w:val="18"/>
              </w:rPr>
              <w:t xml:space="preserve">% </w:t>
            </w:r>
            <w:proofErr w:type="spellStart"/>
            <w:r>
              <w:rPr>
                <w:sz w:val="18"/>
                <w:szCs w:val="18"/>
              </w:rPr>
              <w:t>of</w:t>
            </w:r>
            <w:proofErr w:type="spellEnd"/>
            <w:r>
              <w:rPr>
                <w:sz w:val="18"/>
                <w:szCs w:val="18"/>
              </w:rPr>
              <w:t xml:space="preserve"> </w:t>
            </w:r>
            <w:proofErr w:type="spellStart"/>
            <w:r>
              <w:rPr>
                <w:sz w:val="18"/>
                <w:szCs w:val="18"/>
              </w:rPr>
              <w:t>input</w:t>
            </w:r>
            <w:proofErr w:type="spellEnd"/>
            <w:r>
              <w:rPr>
                <w:sz w:val="18"/>
                <w:szCs w:val="18"/>
              </w:rPr>
              <w:t xml:space="preserve"> </w:t>
            </w:r>
            <w:proofErr w:type="spellStart"/>
            <w:r>
              <w:rPr>
                <w:sz w:val="18"/>
                <w:szCs w:val="18"/>
              </w:rPr>
              <w:t>non-chimeric</w:t>
            </w:r>
            <w:proofErr w:type="spellEnd"/>
          </w:p>
        </w:tc>
      </w:tr>
      <w:tr w:rsidR="00583023" w14:paraId="6600D208" w14:textId="77777777">
        <w:tc>
          <w:tcPr>
            <w:tcW w:w="1185" w:type="dxa"/>
            <w:tcMar>
              <w:top w:w="100" w:type="dxa"/>
              <w:left w:w="100" w:type="dxa"/>
              <w:bottom w:w="100" w:type="dxa"/>
              <w:right w:w="100" w:type="dxa"/>
            </w:tcMar>
          </w:tcPr>
          <w:p w14:paraId="19A31913" w14:textId="77777777" w:rsidR="00583023" w:rsidRDefault="008A4680">
            <w:pPr>
              <w:widowControl w:val="0"/>
              <w:spacing w:line="240" w:lineRule="auto"/>
              <w:rPr>
                <w:sz w:val="18"/>
                <w:szCs w:val="18"/>
              </w:rPr>
            </w:pPr>
            <w:proofErr w:type="spellStart"/>
            <w:r>
              <w:rPr>
                <w:sz w:val="18"/>
                <w:szCs w:val="18"/>
              </w:rPr>
              <w:t>bone</w:t>
            </w:r>
            <w:proofErr w:type="spellEnd"/>
          </w:p>
        </w:tc>
        <w:tc>
          <w:tcPr>
            <w:tcW w:w="720" w:type="dxa"/>
            <w:tcMar>
              <w:top w:w="100" w:type="dxa"/>
              <w:left w:w="100" w:type="dxa"/>
              <w:bottom w:w="100" w:type="dxa"/>
              <w:right w:w="100" w:type="dxa"/>
            </w:tcMar>
          </w:tcPr>
          <w:p w14:paraId="2105A008" w14:textId="77777777" w:rsidR="00583023" w:rsidRDefault="008A4680">
            <w:pPr>
              <w:widowControl w:val="0"/>
              <w:spacing w:line="240" w:lineRule="auto"/>
              <w:rPr>
                <w:sz w:val="18"/>
                <w:szCs w:val="18"/>
              </w:rPr>
            </w:pPr>
            <w:r>
              <w:rPr>
                <w:sz w:val="18"/>
                <w:szCs w:val="18"/>
              </w:rPr>
              <w:t>5788</w:t>
            </w:r>
          </w:p>
        </w:tc>
        <w:tc>
          <w:tcPr>
            <w:tcW w:w="840" w:type="dxa"/>
            <w:tcMar>
              <w:top w:w="100" w:type="dxa"/>
              <w:left w:w="100" w:type="dxa"/>
              <w:bottom w:w="100" w:type="dxa"/>
              <w:right w:w="100" w:type="dxa"/>
            </w:tcMar>
          </w:tcPr>
          <w:p w14:paraId="6FD91A3C" w14:textId="77777777" w:rsidR="00583023" w:rsidRDefault="008A4680">
            <w:pPr>
              <w:widowControl w:val="0"/>
              <w:spacing w:line="240" w:lineRule="auto"/>
              <w:rPr>
                <w:sz w:val="18"/>
                <w:szCs w:val="18"/>
              </w:rPr>
            </w:pPr>
            <w:r>
              <w:rPr>
                <w:sz w:val="18"/>
                <w:szCs w:val="18"/>
              </w:rPr>
              <w:t>5589</w:t>
            </w:r>
          </w:p>
        </w:tc>
        <w:tc>
          <w:tcPr>
            <w:tcW w:w="1320" w:type="dxa"/>
            <w:tcMar>
              <w:top w:w="100" w:type="dxa"/>
              <w:left w:w="100" w:type="dxa"/>
              <w:bottom w:w="100" w:type="dxa"/>
              <w:right w:w="100" w:type="dxa"/>
            </w:tcMar>
          </w:tcPr>
          <w:p w14:paraId="76D06D00" w14:textId="77777777" w:rsidR="00583023" w:rsidRDefault="008A4680">
            <w:pPr>
              <w:widowControl w:val="0"/>
              <w:spacing w:line="240" w:lineRule="auto"/>
              <w:rPr>
                <w:sz w:val="18"/>
                <w:szCs w:val="18"/>
              </w:rPr>
            </w:pPr>
            <w:r>
              <w:rPr>
                <w:sz w:val="18"/>
                <w:szCs w:val="18"/>
              </w:rPr>
              <w:t>96.56</w:t>
            </w:r>
          </w:p>
        </w:tc>
        <w:tc>
          <w:tcPr>
            <w:tcW w:w="1125" w:type="dxa"/>
            <w:tcMar>
              <w:top w:w="100" w:type="dxa"/>
              <w:left w:w="100" w:type="dxa"/>
              <w:bottom w:w="100" w:type="dxa"/>
              <w:right w:w="100" w:type="dxa"/>
            </w:tcMar>
          </w:tcPr>
          <w:p w14:paraId="34F286EC" w14:textId="77777777" w:rsidR="00583023" w:rsidRDefault="008A4680">
            <w:pPr>
              <w:widowControl w:val="0"/>
              <w:spacing w:line="240" w:lineRule="auto"/>
              <w:rPr>
                <w:sz w:val="18"/>
                <w:szCs w:val="18"/>
              </w:rPr>
            </w:pPr>
            <w:r>
              <w:rPr>
                <w:sz w:val="18"/>
                <w:szCs w:val="18"/>
              </w:rPr>
              <w:t>5377</w:t>
            </w:r>
          </w:p>
        </w:tc>
        <w:tc>
          <w:tcPr>
            <w:tcW w:w="1320" w:type="dxa"/>
            <w:tcMar>
              <w:top w:w="100" w:type="dxa"/>
              <w:left w:w="100" w:type="dxa"/>
              <w:bottom w:w="100" w:type="dxa"/>
              <w:right w:w="100" w:type="dxa"/>
            </w:tcMar>
          </w:tcPr>
          <w:p w14:paraId="572ED131" w14:textId="77777777" w:rsidR="00583023" w:rsidRDefault="008A4680">
            <w:pPr>
              <w:widowControl w:val="0"/>
              <w:spacing w:line="240" w:lineRule="auto"/>
              <w:rPr>
                <w:sz w:val="18"/>
                <w:szCs w:val="18"/>
              </w:rPr>
            </w:pPr>
            <w:r>
              <w:rPr>
                <w:sz w:val="18"/>
                <w:szCs w:val="18"/>
              </w:rPr>
              <w:t>5377</w:t>
            </w:r>
          </w:p>
        </w:tc>
        <w:tc>
          <w:tcPr>
            <w:tcW w:w="1560" w:type="dxa"/>
            <w:tcMar>
              <w:top w:w="100" w:type="dxa"/>
              <w:left w:w="100" w:type="dxa"/>
              <w:bottom w:w="100" w:type="dxa"/>
              <w:right w:w="100" w:type="dxa"/>
            </w:tcMar>
          </w:tcPr>
          <w:p w14:paraId="3A1C2D40" w14:textId="77777777" w:rsidR="00583023" w:rsidRDefault="008A4680">
            <w:pPr>
              <w:widowControl w:val="0"/>
              <w:spacing w:line="240" w:lineRule="auto"/>
              <w:rPr>
                <w:sz w:val="18"/>
                <w:szCs w:val="18"/>
              </w:rPr>
            </w:pPr>
            <w:r>
              <w:rPr>
                <w:sz w:val="18"/>
                <w:szCs w:val="18"/>
              </w:rPr>
              <w:t>92.9</w:t>
            </w:r>
          </w:p>
        </w:tc>
      </w:tr>
      <w:tr w:rsidR="00583023" w14:paraId="5216258D" w14:textId="77777777">
        <w:tc>
          <w:tcPr>
            <w:tcW w:w="1185" w:type="dxa"/>
            <w:tcMar>
              <w:top w:w="100" w:type="dxa"/>
              <w:left w:w="100" w:type="dxa"/>
              <w:bottom w:w="100" w:type="dxa"/>
              <w:right w:w="100" w:type="dxa"/>
            </w:tcMar>
          </w:tcPr>
          <w:p w14:paraId="48865852" w14:textId="77777777" w:rsidR="00583023" w:rsidRDefault="008A4680">
            <w:pPr>
              <w:widowControl w:val="0"/>
              <w:spacing w:line="240" w:lineRule="auto"/>
              <w:rPr>
                <w:sz w:val="18"/>
                <w:szCs w:val="18"/>
              </w:rPr>
            </w:pPr>
            <w:proofErr w:type="spellStart"/>
            <w:r>
              <w:rPr>
                <w:sz w:val="18"/>
                <w:szCs w:val="18"/>
              </w:rPr>
              <w:t>calculus</w:t>
            </w:r>
            <w:proofErr w:type="spellEnd"/>
          </w:p>
        </w:tc>
        <w:tc>
          <w:tcPr>
            <w:tcW w:w="720" w:type="dxa"/>
            <w:tcMar>
              <w:top w:w="100" w:type="dxa"/>
              <w:left w:w="100" w:type="dxa"/>
              <w:bottom w:w="100" w:type="dxa"/>
              <w:right w:w="100" w:type="dxa"/>
            </w:tcMar>
          </w:tcPr>
          <w:p w14:paraId="64F70C57" w14:textId="77777777" w:rsidR="00583023" w:rsidRDefault="008A4680">
            <w:pPr>
              <w:widowControl w:val="0"/>
              <w:spacing w:line="240" w:lineRule="auto"/>
              <w:rPr>
                <w:sz w:val="18"/>
                <w:szCs w:val="18"/>
              </w:rPr>
            </w:pPr>
            <w:r>
              <w:rPr>
                <w:sz w:val="18"/>
                <w:szCs w:val="18"/>
              </w:rPr>
              <w:t>5362</w:t>
            </w:r>
          </w:p>
        </w:tc>
        <w:tc>
          <w:tcPr>
            <w:tcW w:w="840" w:type="dxa"/>
            <w:tcMar>
              <w:top w:w="100" w:type="dxa"/>
              <w:left w:w="100" w:type="dxa"/>
              <w:bottom w:w="100" w:type="dxa"/>
              <w:right w:w="100" w:type="dxa"/>
            </w:tcMar>
          </w:tcPr>
          <w:p w14:paraId="74A15B8A" w14:textId="77777777" w:rsidR="00583023" w:rsidRDefault="008A4680">
            <w:pPr>
              <w:widowControl w:val="0"/>
              <w:spacing w:line="240" w:lineRule="auto"/>
              <w:rPr>
                <w:sz w:val="18"/>
                <w:szCs w:val="18"/>
              </w:rPr>
            </w:pPr>
            <w:r>
              <w:rPr>
                <w:sz w:val="18"/>
                <w:szCs w:val="18"/>
              </w:rPr>
              <w:t>5183</w:t>
            </w:r>
          </w:p>
        </w:tc>
        <w:tc>
          <w:tcPr>
            <w:tcW w:w="1320" w:type="dxa"/>
            <w:tcMar>
              <w:top w:w="100" w:type="dxa"/>
              <w:left w:w="100" w:type="dxa"/>
              <w:bottom w:w="100" w:type="dxa"/>
              <w:right w:w="100" w:type="dxa"/>
            </w:tcMar>
          </w:tcPr>
          <w:p w14:paraId="6D41B996" w14:textId="77777777" w:rsidR="00583023" w:rsidRDefault="008A4680">
            <w:pPr>
              <w:widowControl w:val="0"/>
              <w:spacing w:line="240" w:lineRule="auto"/>
              <w:rPr>
                <w:sz w:val="18"/>
                <w:szCs w:val="18"/>
              </w:rPr>
            </w:pPr>
            <w:r>
              <w:rPr>
                <w:sz w:val="18"/>
                <w:szCs w:val="18"/>
              </w:rPr>
              <w:t>96.66</w:t>
            </w:r>
          </w:p>
        </w:tc>
        <w:tc>
          <w:tcPr>
            <w:tcW w:w="1125" w:type="dxa"/>
            <w:tcMar>
              <w:top w:w="100" w:type="dxa"/>
              <w:left w:w="100" w:type="dxa"/>
              <w:bottom w:w="100" w:type="dxa"/>
              <w:right w:w="100" w:type="dxa"/>
            </w:tcMar>
          </w:tcPr>
          <w:p w14:paraId="0D79A475" w14:textId="77777777" w:rsidR="00583023" w:rsidRDefault="008A4680">
            <w:pPr>
              <w:widowControl w:val="0"/>
              <w:spacing w:line="240" w:lineRule="auto"/>
              <w:rPr>
                <w:sz w:val="18"/>
                <w:szCs w:val="18"/>
              </w:rPr>
            </w:pPr>
            <w:r>
              <w:rPr>
                <w:sz w:val="18"/>
                <w:szCs w:val="18"/>
              </w:rPr>
              <w:t>5059</w:t>
            </w:r>
          </w:p>
        </w:tc>
        <w:tc>
          <w:tcPr>
            <w:tcW w:w="1320" w:type="dxa"/>
            <w:tcMar>
              <w:top w:w="100" w:type="dxa"/>
              <w:left w:w="100" w:type="dxa"/>
              <w:bottom w:w="100" w:type="dxa"/>
              <w:right w:w="100" w:type="dxa"/>
            </w:tcMar>
          </w:tcPr>
          <w:p w14:paraId="0EA6E4D0" w14:textId="77777777" w:rsidR="00583023" w:rsidRDefault="008A4680">
            <w:pPr>
              <w:widowControl w:val="0"/>
              <w:spacing w:line="240" w:lineRule="auto"/>
              <w:rPr>
                <w:sz w:val="18"/>
                <w:szCs w:val="18"/>
              </w:rPr>
            </w:pPr>
            <w:r>
              <w:rPr>
                <w:sz w:val="18"/>
                <w:szCs w:val="18"/>
              </w:rPr>
              <w:t>4817</w:t>
            </w:r>
          </w:p>
        </w:tc>
        <w:tc>
          <w:tcPr>
            <w:tcW w:w="1560" w:type="dxa"/>
            <w:tcMar>
              <w:top w:w="100" w:type="dxa"/>
              <w:left w:w="100" w:type="dxa"/>
              <w:bottom w:w="100" w:type="dxa"/>
              <w:right w:w="100" w:type="dxa"/>
            </w:tcMar>
          </w:tcPr>
          <w:p w14:paraId="33A4BDE7" w14:textId="77777777" w:rsidR="00583023" w:rsidRDefault="008A4680">
            <w:pPr>
              <w:widowControl w:val="0"/>
              <w:spacing w:line="240" w:lineRule="auto"/>
              <w:rPr>
                <w:sz w:val="18"/>
                <w:szCs w:val="18"/>
              </w:rPr>
            </w:pPr>
            <w:r>
              <w:rPr>
                <w:sz w:val="18"/>
                <w:szCs w:val="18"/>
              </w:rPr>
              <w:t>89.84</w:t>
            </w:r>
          </w:p>
        </w:tc>
      </w:tr>
    </w:tbl>
    <w:p w14:paraId="36AB7BDF" w14:textId="706B2C7B" w:rsidR="00583023" w:rsidRPr="00904486" w:rsidRDefault="008A4680">
      <w:pPr>
        <w:rPr>
          <w:sz w:val="24"/>
          <w:szCs w:val="24"/>
          <w:lang w:val="en-US"/>
        </w:rPr>
      </w:pPr>
      <w:r w:rsidRPr="00904486">
        <w:rPr>
          <w:rFonts w:ascii="Times New Roman" w:eastAsia="Times New Roman" w:hAnsi="Times New Roman" w:cs="Times New Roman"/>
          <w:i/>
          <w:sz w:val="24"/>
          <w:szCs w:val="24"/>
          <w:lang w:val="en-US"/>
        </w:rPr>
        <w:lastRenderedPageBreak/>
        <w:tab/>
      </w:r>
      <w:r w:rsidRPr="00904486">
        <w:rPr>
          <w:sz w:val="24"/>
          <w:szCs w:val="24"/>
          <w:lang w:val="en-US"/>
        </w:rPr>
        <w:t xml:space="preserve">Distribution of the obtained ASV (or features) is displayed on </w:t>
      </w:r>
      <w:r w:rsidR="00904486" w:rsidRPr="00904486">
        <w:rPr>
          <w:b/>
          <w:i/>
          <w:sz w:val="24"/>
          <w:szCs w:val="24"/>
          <w:lang w:val="en-US"/>
        </w:rPr>
        <w:t>F</w:t>
      </w:r>
      <w:r w:rsidRPr="00904486">
        <w:rPr>
          <w:b/>
          <w:i/>
          <w:sz w:val="24"/>
          <w:szCs w:val="24"/>
          <w:lang w:val="en-US"/>
        </w:rPr>
        <w:t>igure 2</w:t>
      </w:r>
      <w:r w:rsidRPr="00904486">
        <w:rPr>
          <w:i/>
          <w:sz w:val="24"/>
          <w:szCs w:val="24"/>
          <w:lang w:val="en-US"/>
        </w:rPr>
        <w:t>.</w:t>
      </w:r>
      <w:r w:rsidRPr="00904486">
        <w:rPr>
          <w:sz w:val="24"/>
          <w:szCs w:val="24"/>
          <w:lang w:val="en-US"/>
        </w:rPr>
        <w:t xml:space="preserve"> Some feature statistics can be found in </w:t>
      </w:r>
      <w:r w:rsidRPr="00904486">
        <w:rPr>
          <w:b/>
          <w:i/>
          <w:sz w:val="24"/>
          <w:szCs w:val="24"/>
          <w:lang w:val="en-US"/>
        </w:rPr>
        <w:t>Table 2</w:t>
      </w:r>
      <w:r w:rsidRPr="00904486">
        <w:rPr>
          <w:i/>
          <w:sz w:val="24"/>
          <w:szCs w:val="24"/>
          <w:lang w:val="en-US"/>
        </w:rPr>
        <w:t>.</w:t>
      </w:r>
      <w:r w:rsidRPr="00904486">
        <w:rPr>
          <w:sz w:val="24"/>
          <w:szCs w:val="24"/>
          <w:lang w:val="en-US"/>
        </w:rPr>
        <w:t xml:space="preserve"> </w:t>
      </w:r>
      <w:r w:rsidR="00904486" w:rsidRPr="00904486">
        <w:rPr>
          <w:sz w:val="24"/>
          <w:szCs w:val="24"/>
          <w:lang w:val="en-US"/>
        </w:rPr>
        <w:t>Also,</w:t>
      </w:r>
      <w:r w:rsidRPr="00904486">
        <w:rPr>
          <w:sz w:val="24"/>
          <w:szCs w:val="24"/>
          <w:lang w:val="en-US"/>
        </w:rPr>
        <w:t xml:space="preserve"> some statistics of the samples can be found in </w:t>
      </w:r>
      <w:r w:rsidRPr="00904486">
        <w:rPr>
          <w:b/>
          <w:i/>
          <w:sz w:val="24"/>
          <w:szCs w:val="24"/>
          <w:lang w:val="en-US"/>
        </w:rPr>
        <w:t>Supplementary materials</w:t>
      </w:r>
      <w:r w:rsidRPr="00904486">
        <w:rPr>
          <w:sz w:val="24"/>
          <w:szCs w:val="24"/>
          <w:lang w:val="en-US"/>
        </w:rPr>
        <w:t xml:space="preserve"> (</w:t>
      </w:r>
      <w:r w:rsidRPr="00904486">
        <w:rPr>
          <w:b/>
          <w:sz w:val="24"/>
          <w:szCs w:val="24"/>
          <w:lang w:val="en-US"/>
        </w:rPr>
        <w:t>tables 2-3</w:t>
      </w:r>
      <w:r w:rsidRPr="00904486">
        <w:rPr>
          <w:sz w:val="24"/>
          <w:szCs w:val="24"/>
          <w:lang w:val="en-US"/>
        </w:rPr>
        <w:t>).</w:t>
      </w:r>
    </w:p>
    <w:p w14:paraId="6BBBF832" w14:textId="77777777" w:rsidR="00583023" w:rsidRPr="00904486" w:rsidRDefault="00583023">
      <w:pPr>
        <w:rPr>
          <w:lang w:val="en-US"/>
        </w:rPr>
      </w:pPr>
    </w:p>
    <w:p w14:paraId="252D7C5E" w14:textId="77777777" w:rsidR="00583023" w:rsidRDefault="008A4680">
      <w:r>
        <w:rPr>
          <w:noProof/>
        </w:rPr>
        <w:drawing>
          <wp:inline distT="114300" distB="114300" distL="114300" distR="114300" wp14:anchorId="0AA68E29" wp14:editId="32A87A49">
            <wp:extent cx="4695132" cy="356121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l="29900" t="18289" r="26079" b="22418"/>
                    <a:stretch>
                      <a:fillRect/>
                    </a:stretch>
                  </pic:blipFill>
                  <pic:spPr>
                    <a:xfrm>
                      <a:off x="0" y="0"/>
                      <a:ext cx="4695132" cy="3561214"/>
                    </a:xfrm>
                    <a:prstGeom prst="rect">
                      <a:avLst/>
                    </a:prstGeom>
                    <a:ln/>
                  </pic:spPr>
                </pic:pic>
              </a:graphicData>
            </a:graphic>
          </wp:inline>
        </w:drawing>
      </w:r>
    </w:p>
    <w:p w14:paraId="5D08F2B2" w14:textId="77777777" w:rsidR="00583023" w:rsidRPr="00904486" w:rsidRDefault="008A4680">
      <w:pPr>
        <w:rPr>
          <w:lang w:val="en-US"/>
        </w:rPr>
      </w:pPr>
      <w:r w:rsidRPr="00904486">
        <w:rPr>
          <w:b/>
          <w:i/>
          <w:sz w:val="24"/>
          <w:szCs w:val="24"/>
          <w:lang w:val="en-US"/>
        </w:rPr>
        <w:t>Figure 2.</w:t>
      </w:r>
      <w:r w:rsidRPr="00904486">
        <w:rPr>
          <w:i/>
          <w:sz w:val="24"/>
          <w:szCs w:val="24"/>
          <w:lang w:val="en-US"/>
        </w:rPr>
        <w:t xml:space="preserve"> </w:t>
      </w:r>
      <w:r w:rsidRPr="00904486">
        <w:rPr>
          <w:sz w:val="24"/>
          <w:szCs w:val="24"/>
          <w:lang w:val="en-US"/>
        </w:rPr>
        <w:t>Distribution of the features in both calculus and bone samples.</w:t>
      </w:r>
      <w:r w:rsidRPr="00904486">
        <w:rPr>
          <w:sz w:val="24"/>
          <w:szCs w:val="24"/>
          <w:lang w:val="en-US"/>
        </w:rPr>
        <w:br/>
      </w:r>
    </w:p>
    <w:p w14:paraId="3B537A9E" w14:textId="77777777" w:rsidR="00583023" w:rsidRPr="00904486" w:rsidRDefault="00583023">
      <w:pPr>
        <w:rPr>
          <w:sz w:val="24"/>
          <w:szCs w:val="24"/>
          <w:lang w:val="en-US"/>
        </w:rPr>
      </w:pPr>
    </w:p>
    <w:p w14:paraId="0C93E514" w14:textId="77777777" w:rsidR="00583023" w:rsidRDefault="008A4680">
      <w:pPr>
        <w:rPr>
          <w:sz w:val="24"/>
          <w:szCs w:val="24"/>
        </w:rPr>
      </w:pPr>
      <w:proofErr w:type="spellStart"/>
      <w:r>
        <w:rPr>
          <w:b/>
          <w:i/>
          <w:sz w:val="24"/>
          <w:szCs w:val="24"/>
        </w:rPr>
        <w:t>Table</w:t>
      </w:r>
      <w:proofErr w:type="spellEnd"/>
      <w:r>
        <w:rPr>
          <w:b/>
          <w:i/>
          <w:sz w:val="24"/>
          <w:szCs w:val="24"/>
        </w:rPr>
        <w:t xml:space="preserve"> 2</w:t>
      </w:r>
      <w:r>
        <w:rPr>
          <w:sz w:val="24"/>
          <w:szCs w:val="24"/>
        </w:rPr>
        <w:t xml:space="preserve"> - </w:t>
      </w:r>
      <w:proofErr w:type="spellStart"/>
      <w:r>
        <w:rPr>
          <w:sz w:val="24"/>
          <w:szCs w:val="24"/>
        </w:rPr>
        <w:t>Frequency</w:t>
      </w:r>
      <w:proofErr w:type="spellEnd"/>
      <w:r>
        <w:rPr>
          <w:sz w:val="24"/>
          <w:szCs w:val="24"/>
        </w:rPr>
        <w:t xml:space="preserve"> </w:t>
      </w:r>
      <w:proofErr w:type="spellStart"/>
      <w:r>
        <w:rPr>
          <w:sz w:val="24"/>
          <w:szCs w:val="24"/>
        </w:rPr>
        <w:t>per</w:t>
      </w:r>
      <w:proofErr w:type="spellEnd"/>
      <w:r>
        <w:rPr>
          <w:sz w:val="24"/>
          <w:szCs w:val="24"/>
        </w:rPr>
        <w:t xml:space="preserve"> </w:t>
      </w:r>
      <w:proofErr w:type="spellStart"/>
      <w:r>
        <w:rPr>
          <w:sz w:val="24"/>
          <w:szCs w:val="24"/>
        </w:rPr>
        <w:t>feature</w:t>
      </w:r>
      <w:proofErr w:type="spellEnd"/>
      <w:r>
        <w:rPr>
          <w:sz w:val="24"/>
          <w:szCs w:val="24"/>
        </w:rPr>
        <w:t>.</w:t>
      </w:r>
    </w:p>
    <w:tbl>
      <w:tblPr>
        <w:tblStyle w:val="a6"/>
        <w:tblW w:w="688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055"/>
      </w:tblGrid>
      <w:tr w:rsidR="00583023" w14:paraId="0928A1D5" w14:textId="77777777">
        <w:tc>
          <w:tcPr>
            <w:tcW w:w="4830" w:type="dxa"/>
            <w:shd w:val="clear" w:color="auto" w:fill="auto"/>
            <w:tcMar>
              <w:top w:w="100" w:type="dxa"/>
              <w:left w:w="100" w:type="dxa"/>
              <w:bottom w:w="100" w:type="dxa"/>
              <w:right w:w="100" w:type="dxa"/>
            </w:tcMar>
          </w:tcPr>
          <w:p w14:paraId="20C7F667" w14:textId="77777777" w:rsidR="00583023" w:rsidRDefault="008A4680">
            <w:pPr>
              <w:widowControl w:val="0"/>
              <w:spacing w:line="240" w:lineRule="auto"/>
              <w:jc w:val="center"/>
            </w:pPr>
            <w:proofErr w:type="spellStart"/>
            <w:r>
              <w:t>Minimum</w:t>
            </w:r>
            <w:proofErr w:type="spellEnd"/>
            <w:r>
              <w:t xml:space="preserve"> </w:t>
            </w:r>
            <w:proofErr w:type="spellStart"/>
            <w:r>
              <w:t>frequency</w:t>
            </w:r>
            <w:proofErr w:type="spellEnd"/>
          </w:p>
        </w:tc>
        <w:tc>
          <w:tcPr>
            <w:tcW w:w="2055" w:type="dxa"/>
            <w:shd w:val="clear" w:color="auto" w:fill="auto"/>
            <w:tcMar>
              <w:top w:w="100" w:type="dxa"/>
              <w:left w:w="100" w:type="dxa"/>
              <w:bottom w:w="100" w:type="dxa"/>
              <w:right w:w="100" w:type="dxa"/>
            </w:tcMar>
          </w:tcPr>
          <w:p w14:paraId="3244817F" w14:textId="77777777" w:rsidR="00583023" w:rsidRDefault="008A4680">
            <w:pPr>
              <w:widowControl w:val="0"/>
              <w:spacing w:line="240" w:lineRule="auto"/>
              <w:jc w:val="center"/>
            </w:pPr>
            <w:r>
              <w:t>3.0</w:t>
            </w:r>
          </w:p>
        </w:tc>
      </w:tr>
      <w:tr w:rsidR="00583023" w14:paraId="7644679B" w14:textId="77777777">
        <w:tc>
          <w:tcPr>
            <w:tcW w:w="4830" w:type="dxa"/>
            <w:shd w:val="clear" w:color="auto" w:fill="auto"/>
            <w:tcMar>
              <w:top w:w="100" w:type="dxa"/>
              <w:left w:w="100" w:type="dxa"/>
              <w:bottom w:w="100" w:type="dxa"/>
              <w:right w:w="100" w:type="dxa"/>
            </w:tcMar>
          </w:tcPr>
          <w:p w14:paraId="76D520CC" w14:textId="77777777" w:rsidR="00583023" w:rsidRDefault="008A4680">
            <w:pPr>
              <w:widowControl w:val="0"/>
              <w:spacing w:line="240" w:lineRule="auto"/>
              <w:jc w:val="center"/>
            </w:pPr>
            <w:r>
              <w:t xml:space="preserve">1st </w:t>
            </w:r>
            <w:proofErr w:type="spellStart"/>
            <w:r>
              <w:t>quartile</w:t>
            </w:r>
            <w:proofErr w:type="spellEnd"/>
          </w:p>
        </w:tc>
        <w:tc>
          <w:tcPr>
            <w:tcW w:w="2055" w:type="dxa"/>
            <w:shd w:val="clear" w:color="auto" w:fill="auto"/>
            <w:tcMar>
              <w:top w:w="100" w:type="dxa"/>
              <w:left w:w="100" w:type="dxa"/>
              <w:bottom w:w="100" w:type="dxa"/>
              <w:right w:w="100" w:type="dxa"/>
            </w:tcMar>
          </w:tcPr>
          <w:p w14:paraId="695829B1" w14:textId="77777777" w:rsidR="00583023" w:rsidRDefault="008A4680">
            <w:pPr>
              <w:widowControl w:val="0"/>
              <w:spacing w:line="240" w:lineRule="auto"/>
              <w:jc w:val="center"/>
            </w:pPr>
            <w:r>
              <w:t>13.0</w:t>
            </w:r>
          </w:p>
        </w:tc>
      </w:tr>
      <w:tr w:rsidR="00583023" w14:paraId="15589252" w14:textId="77777777">
        <w:tc>
          <w:tcPr>
            <w:tcW w:w="4830" w:type="dxa"/>
            <w:shd w:val="clear" w:color="auto" w:fill="auto"/>
            <w:tcMar>
              <w:top w:w="100" w:type="dxa"/>
              <w:left w:w="100" w:type="dxa"/>
              <w:bottom w:w="100" w:type="dxa"/>
              <w:right w:w="100" w:type="dxa"/>
            </w:tcMar>
          </w:tcPr>
          <w:p w14:paraId="39478C43" w14:textId="77777777" w:rsidR="00583023" w:rsidRDefault="008A4680">
            <w:pPr>
              <w:widowControl w:val="0"/>
              <w:spacing w:line="240" w:lineRule="auto"/>
              <w:jc w:val="center"/>
            </w:pPr>
            <w:proofErr w:type="spellStart"/>
            <w:r>
              <w:t>Median</w:t>
            </w:r>
            <w:proofErr w:type="spellEnd"/>
            <w:r>
              <w:t xml:space="preserve"> </w:t>
            </w:r>
            <w:proofErr w:type="spellStart"/>
            <w:r>
              <w:t>frequency</w:t>
            </w:r>
            <w:proofErr w:type="spellEnd"/>
          </w:p>
        </w:tc>
        <w:tc>
          <w:tcPr>
            <w:tcW w:w="2055" w:type="dxa"/>
            <w:shd w:val="clear" w:color="auto" w:fill="auto"/>
            <w:tcMar>
              <w:top w:w="100" w:type="dxa"/>
              <w:left w:w="100" w:type="dxa"/>
              <w:bottom w:w="100" w:type="dxa"/>
              <w:right w:w="100" w:type="dxa"/>
            </w:tcMar>
          </w:tcPr>
          <w:p w14:paraId="08DCB000" w14:textId="77777777" w:rsidR="00583023" w:rsidRDefault="008A4680">
            <w:pPr>
              <w:widowControl w:val="0"/>
              <w:spacing w:line="240" w:lineRule="auto"/>
              <w:jc w:val="center"/>
            </w:pPr>
            <w:r>
              <w:t>29.0</w:t>
            </w:r>
          </w:p>
        </w:tc>
      </w:tr>
      <w:tr w:rsidR="00583023" w14:paraId="02E9FE8E" w14:textId="77777777">
        <w:tc>
          <w:tcPr>
            <w:tcW w:w="4830" w:type="dxa"/>
            <w:shd w:val="clear" w:color="auto" w:fill="auto"/>
            <w:tcMar>
              <w:top w:w="100" w:type="dxa"/>
              <w:left w:w="100" w:type="dxa"/>
              <w:bottom w:w="100" w:type="dxa"/>
              <w:right w:w="100" w:type="dxa"/>
            </w:tcMar>
          </w:tcPr>
          <w:p w14:paraId="01F20E9D" w14:textId="77777777" w:rsidR="00583023" w:rsidRDefault="008A4680">
            <w:pPr>
              <w:widowControl w:val="0"/>
              <w:spacing w:line="240" w:lineRule="auto"/>
              <w:jc w:val="center"/>
            </w:pPr>
            <w:r>
              <w:t xml:space="preserve">3rd </w:t>
            </w:r>
            <w:proofErr w:type="spellStart"/>
            <w:r>
              <w:t>quartile</w:t>
            </w:r>
            <w:proofErr w:type="spellEnd"/>
          </w:p>
        </w:tc>
        <w:tc>
          <w:tcPr>
            <w:tcW w:w="2055" w:type="dxa"/>
            <w:shd w:val="clear" w:color="auto" w:fill="auto"/>
            <w:tcMar>
              <w:top w:w="100" w:type="dxa"/>
              <w:left w:w="100" w:type="dxa"/>
              <w:bottom w:w="100" w:type="dxa"/>
              <w:right w:w="100" w:type="dxa"/>
            </w:tcMar>
          </w:tcPr>
          <w:p w14:paraId="3E2740B4" w14:textId="77777777" w:rsidR="00583023" w:rsidRDefault="008A4680">
            <w:pPr>
              <w:widowControl w:val="0"/>
              <w:spacing w:line="240" w:lineRule="auto"/>
              <w:jc w:val="center"/>
            </w:pPr>
            <w:r>
              <w:t>61.5</w:t>
            </w:r>
          </w:p>
        </w:tc>
      </w:tr>
      <w:tr w:rsidR="00583023" w14:paraId="11914F3B" w14:textId="77777777">
        <w:tc>
          <w:tcPr>
            <w:tcW w:w="4830" w:type="dxa"/>
            <w:shd w:val="clear" w:color="auto" w:fill="auto"/>
            <w:tcMar>
              <w:top w:w="100" w:type="dxa"/>
              <w:left w:w="100" w:type="dxa"/>
              <w:bottom w:w="100" w:type="dxa"/>
              <w:right w:w="100" w:type="dxa"/>
            </w:tcMar>
          </w:tcPr>
          <w:p w14:paraId="65D74ACD" w14:textId="77777777" w:rsidR="00583023" w:rsidRDefault="008A4680">
            <w:pPr>
              <w:widowControl w:val="0"/>
              <w:spacing w:line="240" w:lineRule="auto"/>
              <w:jc w:val="center"/>
            </w:pPr>
            <w:proofErr w:type="spellStart"/>
            <w:r>
              <w:t>Maximum</w:t>
            </w:r>
            <w:proofErr w:type="spellEnd"/>
            <w:r>
              <w:t xml:space="preserve"> </w:t>
            </w:r>
            <w:proofErr w:type="spellStart"/>
            <w:r>
              <w:t>frequency</w:t>
            </w:r>
            <w:proofErr w:type="spellEnd"/>
          </w:p>
        </w:tc>
        <w:tc>
          <w:tcPr>
            <w:tcW w:w="2055" w:type="dxa"/>
            <w:shd w:val="clear" w:color="auto" w:fill="auto"/>
            <w:tcMar>
              <w:top w:w="100" w:type="dxa"/>
              <w:left w:w="100" w:type="dxa"/>
              <w:bottom w:w="100" w:type="dxa"/>
              <w:right w:w="100" w:type="dxa"/>
            </w:tcMar>
          </w:tcPr>
          <w:p w14:paraId="0F5D83AD" w14:textId="77777777" w:rsidR="00583023" w:rsidRDefault="008A4680">
            <w:pPr>
              <w:widowControl w:val="0"/>
              <w:spacing w:line="240" w:lineRule="auto"/>
              <w:jc w:val="center"/>
            </w:pPr>
            <w:r>
              <w:t>847.0</w:t>
            </w:r>
          </w:p>
        </w:tc>
      </w:tr>
      <w:tr w:rsidR="00583023" w14:paraId="3ABD18E8" w14:textId="77777777">
        <w:tc>
          <w:tcPr>
            <w:tcW w:w="4830" w:type="dxa"/>
            <w:shd w:val="clear" w:color="auto" w:fill="auto"/>
            <w:tcMar>
              <w:top w:w="100" w:type="dxa"/>
              <w:left w:w="100" w:type="dxa"/>
              <w:bottom w:w="100" w:type="dxa"/>
              <w:right w:w="100" w:type="dxa"/>
            </w:tcMar>
          </w:tcPr>
          <w:p w14:paraId="0E993393" w14:textId="77777777" w:rsidR="00583023" w:rsidRDefault="008A4680">
            <w:pPr>
              <w:widowControl w:val="0"/>
              <w:spacing w:line="240" w:lineRule="auto"/>
              <w:jc w:val="center"/>
            </w:pPr>
            <w:proofErr w:type="spellStart"/>
            <w:r>
              <w:t>Mean</w:t>
            </w:r>
            <w:proofErr w:type="spellEnd"/>
            <w:r>
              <w:t xml:space="preserve"> </w:t>
            </w:r>
            <w:proofErr w:type="spellStart"/>
            <w:r>
              <w:t>frequency</w:t>
            </w:r>
            <w:proofErr w:type="spellEnd"/>
          </w:p>
        </w:tc>
        <w:tc>
          <w:tcPr>
            <w:tcW w:w="2055" w:type="dxa"/>
            <w:shd w:val="clear" w:color="auto" w:fill="auto"/>
            <w:tcMar>
              <w:top w:w="100" w:type="dxa"/>
              <w:left w:w="100" w:type="dxa"/>
              <w:bottom w:w="100" w:type="dxa"/>
              <w:right w:w="100" w:type="dxa"/>
            </w:tcMar>
          </w:tcPr>
          <w:p w14:paraId="265C372A" w14:textId="77777777" w:rsidR="00583023" w:rsidRDefault="008A4680">
            <w:pPr>
              <w:widowControl w:val="0"/>
              <w:spacing w:line="240" w:lineRule="auto"/>
              <w:jc w:val="center"/>
            </w:pPr>
            <w:r>
              <w:t>62.54</w:t>
            </w:r>
          </w:p>
        </w:tc>
      </w:tr>
    </w:tbl>
    <w:p w14:paraId="03713D2C" w14:textId="5681245E" w:rsidR="00583023" w:rsidRPr="00904486" w:rsidRDefault="008A4680">
      <w:pPr>
        <w:rPr>
          <w:sz w:val="24"/>
          <w:szCs w:val="24"/>
          <w:lang w:val="en-US"/>
        </w:rPr>
      </w:pPr>
      <w:r w:rsidRPr="00904486">
        <w:rPr>
          <w:rFonts w:ascii="Times New Roman" w:eastAsia="Times New Roman" w:hAnsi="Times New Roman" w:cs="Times New Roman"/>
          <w:i/>
          <w:sz w:val="24"/>
          <w:szCs w:val="24"/>
          <w:lang w:val="en-US"/>
        </w:rPr>
        <w:br/>
      </w:r>
      <w:r w:rsidRPr="00904486">
        <w:rPr>
          <w:i/>
          <w:lang w:val="en-US"/>
        </w:rPr>
        <w:tab/>
      </w:r>
      <w:r w:rsidRPr="00904486">
        <w:rPr>
          <w:lang w:val="en-US"/>
        </w:rPr>
        <w:t xml:space="preserve">Results of the taxonomic analysis are shown in </w:t>
      </w:r>
      <w:proofErr w:type="spellStart"/>
      <w:r w:rsidRPr="00904486">
        <w:rPr>
          <w:lang w:val="en-US"/>
        </w:rPr>
        <w:t>barplots</w:t>
      </w:r>
      <w:proofErr w:type="spellEnd"/>
      <w:r w:rsidRPr="00904486">
        <w:rPr>
          <w:lang w:val="en-US"/>
        </w:rPr>
        <w:t>,</w:t>
      </w:r>
      <w:r w:rsidRPr="00904486">
        <w:rPr>
          <w:b/>
          <w:i/>
          <w:lang w:val="en-US"/>
        </w:rPr>
        <w:t xml:space="preserve"> </w:t>
      </w:r>
      <w:r w:rsidR="00904486">
        <w:rPr>
          <w:b/>
          <w:i/>
          <w:lang w:val="en-US"/>
        </w:rPr>
        <w:t>F</w:t>
      </w:r>
      <w:r w:rsidRPr="00904486">
        <w:rPr>
          <w:b/>
          <w:i/>
          <w:lang w:val="en-US"/>
        </w:rPr>
        <w:t>igure 3</w:t>
      </w:r>
      <w:r w:rsidRPr="00904486">
        <w:rPr>
          <w:lang w:val="en-US"/>
        </w:rPr>
        <w:t>. Here can be seen proportions of taxa on the class level</w:t>
      </w:r>
      <w:r w:rsidRPr="00904486">
        <w:rPr>
          <w:sz w:val="24"/>
          <w:szCs w:val="24"/>
          <w:lang w:val="en-US"/>
        </w:rPr>
        <w:t>.</w:t>
      </w:r>
      <w:r w:rsidRPr="00904486">
        <w:rPr>
          <w:rFonts w:ascii="Times New Roman" w:eastAsia="Times New Roman" w:hAnsi="Times New Roman" w:cs="Times New Roman"/>
          <w:sz w:val="24"/>
          <w:szCs w:val="24"/>
          <w:lang w:val="en-US"/>
        </w:rPr>
        <w:br/>
      </w:r>
      <w:r>
        <w:rPr>
          <w:noProof/>
        </w:rPr>
        <w:lastRenderedPageBreak/>
        <w:drawing>
          <wp:inline distT="114300" distB="114300" distL="114300" distR="114300" wp14:anchorId="04680FA0" wp14:editId="272C1D15">
            <wp:extent cx="4298569" cy="57769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l="4318" t="25073" r="64285"/>
                    <a:stretch>
                      <a:fillRect/>
                    </a:stretch>
                  </pic:blipFill>
                  <pic:spPr>
                    <a:xfrm>
                      <a:off x="0" y="0"/>
                      <a:ext cx="4298569" cy="5776913"/>
                    </a:xfrm>
                    <a:prstGeom prst="rect">
                      <a:avLst/>
                    </a:prstGeom>
                    <a:ln/>
                  </pic:spPr>
                </pic:pic>
              </a:graphicData>
            </a:graphic>
          </wp:inline>
        </w:drawing>
      </w:r>
      <w:r w:rsidRPr="00904486">
        <w:rPr>
          <w:rFonts w:ascii="Times New Roman" w:eastAsia="Times New Roman" w:hAnsi="Times New Roman" w:cs="Times New Roman"/>
          <w:i/>
          <w:sz w:val="24"/>
          <w:szCs w:val="24"/>
          <w:lang w:val="en-US"/>
        </w:rPr>
        <w:br/>
      </w:r>
      <w:proofErr w:type="spellStart"/>
      <w:r>
        <w:rPr>
          <w:b/>
          <w:i/>
          <w:sz w:val="24"/>
          <w:szCs w:val="24"/>
        </w:rPr>
        <w:t>Figure</w:t>
      </w:r>
      <w:proofErr w:type="spellEnd"/>
      <w:r>
        <w:rPr>
          <w:b/>
          <w:i/>
          <w:sz w:val="24"/>
          <w:szCs w:val="24"/>
        </w:rPr>
        <w:t xml:space="preserve"> 3.</w:t>
      </w:r>
      <w:r>
        <w:rPr>
          <w:i/>
          <w:sz w:val="24"/>
          <w:szCs w:val="24"/>
        </w:rPr>
        <w:t xml:space="preserve"> </w:t>
      </w:r>
      <w:r w:rsidRPr="00904486">
        <w:rPr>
          <w:sz w:val="24"/>
          <w:szCs w:val="24"/>
          <w:lang w:val="en-US"/>
        </w:rPr>
        <w:t>Frequencies of the different bacterial taxa in calculus and bone samples.</w:t>
      </w:r>
    </w:p>
    <w:p w14:paraId="2A448000" w14:textId="77777777" w:rsidR="00583023" w:rsidRPr="00904486" w:rsidRDefault="00583023">
      <w:pPr>
        <w:rPr>
          <w:rFonts w:ascii="Times New Roman" w:eastAsia="Times New Roman" w:hAnsi="Times New Roman" w:cs="Times New Roman"/>
          <w:i/>
          <w:sz w:val="24"/>
          <w:szCs w:val="24"/>
          <w:lang w:val="en-US"/>
        </w:rPr>
      </w:pPr>
    </w:p>
    <w:p w14:paraId="13F8A0DE" w14:textId="77777777" w:rsidR="00904486" w:rsidRDefault="008A4680">
      <w:pPr>
        <w:ind w:firstLine="720"/>
        <w:jc w:val="both"/>
        <w:rPr>
          <w:lang w:val="en-US"/>
        </w:rPr>
      </w:pPr>
      <w:r w:rsidRPr="00904486">
        <w:rPr>
          <w:lang w:val="en-US"/>
        </w:rPr>
        <w:t xml:space="preserve">Among all found bacteria there were </w:t>
      </w:r>
      <w:proofErr w:type="spellStart"/>
      <w:r w:rsidRPr="00904486">
        <w:rPr>
          <w:i/>
          <w:lang w:val="en-US"/>
        </w:rPr>
        <w:t>Tannerella</w:t>
      </w:r>
      <w:proofErr w:type="spellEnd"/>
      <w:r w:rsidRPr="00904486">
        <w:rPr>
          <w:i/>
          <w:lang w:val="en-US"/>
        </w:rPr>
        <w:t xml:space="preserve"> sp</w:t>
      </w:r>
      <w:r w:rsidRPr="00904486">
        <w:rPr>
          <w:lang w:val="en-US"/>
        </w:rPr>
        <w:t xml:space="preserve">., </w:t>
      </w:r>
      <w:proofErr w:type="spellStart"/>
      <w:r w:rsidRPr="00904486">
        <w:rPr>
          <w:i/>
          <w:lang w:val="en-US"/>
        </w:rPr>
        <w:t>Porphyromonas</w:t>
      </w:r>
      <w:proofErr w:type="spellEnd"/>
      <w:r w:rsidRPr="00904486">
        <w:rPr>
          <w:i/>
          <w:lang w:val="en-US"/>
        </w:rPr>
        <w:t xml:space="preserve"> sp</w:t>
      </w:r>
      <w:r w:rsidRPr="00904486">
        <w:rPr>
          <w:lang w:val="en-US"/>
        </w:rPr>
        <w:t xml:space="preserve">. and </w:t>
      </w:r>
      <w:r w:rsidRPr="00904486">
        <w:rPr>
          <w:i/>
          <w:lang w:val="en-US"/>
        </w:rPr>
        <w:t>Treponema sp</w:t>
      </w:r>
      <w:r w:rsidRPr="00904486">
        <w:rPr>
          <w:lang w:val="en-US"/>
        </w:rPr>
        <w:t>. in calculus sample,</w:t>
      </w:r>
      <w:r w:rsidRPr="00904486">
        <w:rPr>
          <w:lang w:val="en-US"/>
        </w:rPr>
        <w:t xml:space="preserve"> which cause periodontitis nowadays. Proportions of these bacteria are shown in </w:t>
      </w:r>
      <w:r w:rsidRPr="00904486">
        <w:rPr>
          <w:b/>
          <w:i/>
          <w:lang w:val="en-US"/>
        </w:rPr>
        <w:t>Table 3</w:t>
      </w:r>
      <w:r w:rsidRPr="00904486">
        <w:rPr>
          <w:lang w:val="en-US"/>
        </w:rPr>
        <w:t>.</w:t>
      </w:r>
    </w:p>
    <w:p w14:paraId="20EF50A0" w14:textId="4440228A" w:rsidR="00583023" w:rsidRPr="00904486" w:rsidRDefault="008A4680">
      <w:pPr>
        <w:ind w:firstLine="720"/>
        <w:jc w:val="both"/>
        <w:rPr>
          <w:sz w:val="24"/>
          <w:szCs w:val="24"/>
          <w:lang w:val="en-US"/>
        </w:rPr>
      </w:pPr>
      <w:r w:rsidRPr="00904486">
        <w:rPr>
          <w:lang w:val="en-US"/>
        </w:rPr>
        <w:br/>
      </w:r>
      <w:r w:rsidRPr="00904486">
        <w:rPr>
          <w:b/>
          <w:i/>
          <w:sz w:val="24"/>
          <w:szCs w:val="24"/>
          <w:lang w:val="en-US"/>
        </w:rPr>
        <w:t>Table 3</w:t>
      </w:r>
      <w:r w:rsidRPr="00904486">
        <w:rPr>
          <w:sz w:val="24"/>
          <w:szCs w:val="24"/>
          <w:lang w:val="en-US"/>
        </w:rPr>
        <w:t xml:space="preserve"> - Proportions of potentially pathogenic bacteria in the calculus sample.</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83023" w14:paraId="03946BDD" w14:textId="77777777">
        <w:tc>
          <w:tcPr>
            <w:tcW w:w="4514" w:type="dxa"/>
            <w:shd w:val="clear" w:color="auto" w:fill="auto"/>
            <w:tcMar>
              <w:top w:w="100" w:type="dxa"/>
              <w:left w:w="100" w:type="dxa"/>
              <w:bottom w:w="100" w:type="dxa"/>
              <w:right w:w="100" w:type="dxa"/>
            </w:tcMar>
          </w:tcPr>
          <w:p w14:paraId="17F4CEB0" w14:textId="77777777" w:rsidR="00583023" w:rsidRDefault="008A4680">
            <w:pPr>
              <w:widowControl w:val="0"/>
              <w:pBdr>
                <w:top w:val="nil"/>
                <w:left w:val="nil"/>
                <w:bottom w:val="nil"/>
                <w:right w:val="nil"/>
                <w:between w:val="nil"/>
              </w:pBdr>
              <w:spacing w:line="240" w:lineRule="auto"/>
            </w:pPr>
            <w:proofErr w:type="spellStart"/>
            <w:r>
              <w:t>Bacterium</w:t>
            </w:r>
            <w:proofErr w:type="spellEnd"/>
          </w:p>
        </w:tc>
        <w:tc>
          <w:tcPr>
            <w:tcW w:w="4514" w:type="dxa"/>
            <w:shd w:val="clear" w:color="auto" w:fill="auto"/>
            <w:tcMar>
              <w:top w:w="100" w:type="dxa"/>
              <w:left w:w="100" w:type="dxa"/>
              <w:bottom w:w="100" w:type="dxa"/>
              <w:right w:w="100" w:type="dxa"/>
            </w:tcMar>
          </w:tcPr>
          <w:p w14:paraId="25A9F122" w14:textId="77777777" w:rsidR="00583023" w:rsidRDefault="008A4680">
            <w:pPr>
              <w:widowControl w:val="0"/>
              <w:pBdr>
                <w:top w:val="nil"/>
                <w:left w:val="nil"/>
                <w:bottom w:val="nil"/>
                <w:right w:val="nil"/>
                <w:between w:val="nil"/>
              </w:pBdr>
              <w:spacing w:line="240" w:lineRule="auto"/>
            </w:pPr>
            <w:proofErr w:type="spellStart"/>
            <w:r>
              <w:t>Proportion</w:t>
            </w:r>
            <w:proofErr w:type="spellEnd"/>
            <w:r>
              <w:t>, %</w:t>
            </w:r>
          </w:p>
        </w:tc>
      </w:tr>
      <w:tr w:rsidR="00583023" w14:paraId="39EC2B52" w14:textId="77777777">
        <w:tc>
          <w:tcPr>
            <w:tcW w:w="4514" w:type="dxa"/>
            <w:shd w:val="clear" w:color="auto" w:fill="auto"/>
            <w:tcMar>
              <w:top w:w="100" w:type="dxa"/>
              <w:left w:w="100" w:type="dxa"/>
              <w:bottom w:w="100" w:type="dxa"/>
              <w:right w:w="100" w:type="dxa"/>
            </w:tcMar>
          </w:tcPr>
          <w:p w14:paraId="6FFAADD6" w14:textId="77777777" w:rsidR="00583023" w:rsidRDefault="008A4680">
            <w:proofErr w:type="spellStart"/>
            <w:r>
              <w:t>Tannerella</w:t>
            </w:r>
            <w:proofErr w:type="spellEnd"/>
            <w:r>
              <w:t xml:space="preserve"> sp.</w:t>
            </w:r>
          </w:p>
        </w:tc>
        <w:tc>
          <w:tcPr>
            <w:tcW w:w="4514" w:type="dxa"/>
            <w:shd w:val="clear" w:color="auto" w:fill="auto"/>
            <w:tcMar>
              <w:top w:w="100" w:type="dxa"/>
              <w:left w:w="100" w:type="dxa"/>
              <w:bottom w:w="100" w:type="dxa"/>
              <w:right w:w="100" w:type="dxa"/>
            </w:tcMar>
          </w:tcPr>
          <w:p w14:paraId="7EEBDF8D" w14:textId="77777777" w:rsidR="00583023" w:rsidRDefault="008A4680">
            <w:pPr>
              <w:widowControl w:val="0"/>
              <w:pBdr>
                <w:top w:val="nil"/>
                <w:left w:val="nil"/>
                <w:bottom w:val="nil"/>
                <w:right w:val="nil"/>
                <w:between w:val="nil"/>
              </w:pBdr>
              <w:spacing w:line="240" w:lineRule="auto"/>
            </w:pPr>
            <w:r>
              <w:t>0.519</w:t>
            </w:r>
          </w:p>
        </w:tc>
      </w:tr>
      <w:tr w:rsidR="00583023" w14:paraId="33C95646" w14:textId="77777777">
        <w:tc>
          <w:tcPr>
            <w:tcW w:w="4514" w:type="dxa"/>
            <w:shd w:val="clear" w:color="auto" w:fill="auto"/>
            <w:tcMar>
              <w:top w:w="100" w:type="dxa"/>
              <w:left w:w="100" w:type="dxa"/>
              <w:bottom w:w="100" w:type="dxa"/>
              <w:right w:w="100" w:type="dxa"/>
            </w:tcMar>
          </w:tcPr>
          <w:p w14:paraId="3446AF73" w14:textId="77777777" w:rsidR="00583023" w:rsidRDefault="008A4680">
            <w:proofErr w:type="spellStart"/>
            <w:r>
              <w:t>Porphyromonas</w:t>
            </w:r>
            <w:proofErr w:type="spellEnd"/>
            <w:r>
              <w:t xml:space="preserve"> sp</w:t>
            </w:r>
          </w:p>
        </w:tc>
        <w:tc>
          <w:tcPr>
            <w:tcW w:w="4514" w:type="dxa"/>
            <w:shd w:val="clear" w:color="auto" w:fill="auto"/>
            <w:tcMar>
              <w:top w:w="100" w:type="dxa"/>
              <w:left w:w="100" w:type="dxa"/>
              <w:bottom w:w="100" w:type="dxa"/>
              <w:right w:w="100" w:type="dxa"/>
            </w:tcMar>
          </w:tcPr>
          <w:p w14:paraId="16C58D45" w14:textId="77777777" w:rsidR="00583023" w:rsidRDefault="008A4680">
            <w:pPr>
              <w:widowControl w:val="0"/>
              <w:pBdr>
                <w:top w:val="nil"/>
                <w:left w:val="nil"/>
                <w:bottom w:val="nil"/>
                <w:right w:val="nil"/>
                <w:between w:val="nil"/>
              </w:pBdr>
              <w:spacing w:line="240" w:lineRule="auto"/>
            </w:pPr>
            <w:r>
              <w:t>0.291</w:t>
            </w:r>
          </w:p>
        </w:tc>
      </w:tr>
      <w:tr w:rsidR="00583023" w14:paraId="7DF77801" w14:textId="77777777">
        <w:tc>
          <w:tcPr>
            <w:tcW w:w="4514" w:type="dxa"/>
            <w:shd w:val="clear" w:color="auto" w:fill="auto"/>
            <w:tcMar>
              <w:top w:w="100" w:type="dxa"/>
              <w:left w:w="100" w:type="dxa"/>
              <w:bottom w:w="100" w:type="dxa"/>
              <w:right w:w="100" w:type="dxa"/>
            </w:tcMar>
          </w:tcPr>
          <w:p w14:paraId="4DFF9CD6" w14:textId="77777777" w:rsidR="00583023" w:rsidRDefault="008A4680">
            <w:proofErr w:type="spellStart"/>
            <w:r>
              <w:t>Treponema</w:t>
            </w:r>
            <w:proofErr w:type="spellEnd"/>
            <w:r>
              <w:t xml:space="preserve"> sp.</w:t>
            </w:r>
          </w:p>
        </w:tc>
        <w:tc>
          <w:tcPr>
            <w:tcW w:w="4514" w:type="dxa"/>
            <w:shd w:val="clear" w:color="auto" w:fill="auto"/>
            <w:tcMar>
              <w:top w:w="100" w:type="dxa"/>
              <w:left w:w="100" w:type="dxa"/>
              <w:bottom w:w="100" w:type="dxa"/>
              <w:right w:w="100" w:type="dxa"/>
            </w:tcMar>
          </w:tcPr>
          <w:p w14:paraId="62309CAD" w14:textId="77777777" w:rsidR="00583023" w:rsidRDefault="008A4680">
            <w:pPr>
              <w:widowControl w:val="0"/>
              <w:pBdr>
                <w:top w:val="nil"/>
                <w:left w:val="nil"/>
                <w:bottom w:val="nil"/>
                <w:right w:val="nil"/>
                <w:between w:val="nil"/>
              </w:pBdr>
              <w:spacing w:line="240" w:lineRule="auto"/>
            </w:pPr>
            <w:r>
              <w:t>0.353</w:t>
            </w:r>
          </w:p>
        </w:tc>
      </w:tr>
      <w:tr w:rsidR="00583023" w14:paraId="4ED9174E" w14:textId="77777777">
        <w:tc>
          <w:tcPr>
            <w:tcW w:w="4514" w:type="dxa"/>
            <w:shd w:val="clear" w:color="auto" w:fill="auto"/>
            <w:tcMar>
              <w:top w:w="100" w:type="dxa"/>
              <w:left w:w="100" w:type="dxa"/>
              <w:bottom w:w="100" w:type="dxa"/>
              <w:right w:w="100" w:type="dxa"/>
            </w:tcMar>
          </w:tcPr>
          <w:p w14:paraId="19C3B26E" w14:textId="77777777" w:rsidR="00583023" w:rsidRDefault="008A4680">
            <w:proofErr w:type="spellStart"/>
            <w:r>
              <w:t>Treponema</w:t>
            </w:r>
            <w:proofErr w:type="spellEnd"/>
            <w:r>
              <w:t xml:space="preserve"> </w:t>
            </w:r>
            <w:proofErr w:type="spellStart"/>
            <w:r>
              <w:t>socranskii</w:t>
            </w:r>
            <w:proofErr w:type="spellEnd"/>
          </w:p>
        </w:tc>
        <w:tc>
          <w:tcPr>
            <w:tcW w:w="4514" w:type="dxa"/>
            <w:shd w:val="clear" w:color="auto" w:fill="auto"/>
            <w:tcMar>
              <w:top w:w="100" w:type="dxa"/>
              <w:left w:w="100" w:type="dxa"/>
              <w:bottom w:w="100" w:type="dxa"/>
              <w:right w:w="100" w:type="dxa"/>
            </w:tcMar>
          </w:tcPr>
          <w:p w14:paraId="03A0E761" w14:textId="77777777" w:rsidR="00583023" w:rsidRDefault="008A4680">
            <w:pPr>
              <w:widowControl w:val="0"/>
              <w:pBdr>
                <w:top w:val="nil"/>
                <w:left w:val="nil"/>
                <w:bottom w:val="nil"/>
                <w:right w:val="nil"/>
                <w:between w:val="nil"/>
              </w:pBdr>
              <w:spacing w:line="240" w:lineRule="auto"/>
            </w:pPr>
            <w:r>
              <w:t>0.561</w:t>
            </w:r>
          </w:p>
        </w:tc>
      </w:tr>
    </w:tbl>
    <w:p w14:paraId="795FE579" w14:textId="3E129CCD" w:rsidR="00583023" w:rsidRPr="00904486" w:rsidRDefault="008A4680">
      <w:pPr>
        <w:ind w:firstLine="720"/>
        <w:jc w:val="both"/>
        <w:rPr>
          <w:lang w:val="en-US"/>
        </w:rPr>
      </w:pPr>
      <w:r w:rsidRPr="00904486">
        <w:rPr>
          <w:lang w:val="en-US"/>
        </w:rPr>
        <w:lastRenderedPageBreak/>
        <w:t>To confirm that our sample is not contaminated and represents genuine dental microbial communities we compared our calculus sample metagenome with representative samples of different organism locations from Human Genome Project. The results of comparison a</w:t>
      </w:r>
      <w:r w:rsidRPr="00904486">
        <w:rPr>
          <w:lang w:val="en-US"/>
        </w:rPr>
        <w:t>re shown as heatmap on</w:t>
      </w:r>
      <w:r w:rsidRPr="00904486">
        <w:rPr>
          <w:i/>
          <w:lang w:val="en-US"/>
        </w:rPr>
        <w:t xml:space="preserve"> </w:t>
      </w:r>
      <w:r w:rsidR="00904486">
        <w:rPr>
          <w:b/>
          <w:i/>
          <w:lang w:val="en-US"/>
        </w:rPr>
        <w:t>F</w:t>
      </w:r>
      <w:r w:rsidRPr="00904486">
        <w:rPr>
          <w:b/>
          <w:i/>
          <w:lang w:val="en-US"/>
        </w:rPr>
        <w:t>igure 4</w:t>
      </w:r>
      <w:r w:rsidRPr="00904486">
        <w:rPr>
          <w:lang w:val="en-US"/>
        </w:rPr>
        <w:t xml:space="preserve">. We can notice </w:t>
      </w:r>
      <w:r w:rsidRPr="00904486">
        <w:rPr>
          <w:highlight w:val="white"/>
          <w:lang w:val="en-US"/>
        </w:rPr>
        <w:t>that only the Supragingival plaque profile and experimental sample contain the same microorganisms (</w:t>
      </w:r>
      <w:proofErr w:type="spellStart"/>
      <w:r w:rsidRPr="00904486">
        <w:rPr>
          <w:i/>
          <w:highlight w:val="white"/>
          <w:lang w:val="en-US"/>
        </w:rPr>
        <w:t>Rothia</w:t>
      </w:r>
      <w:proofErr w:type="spellEnd"/>
      <w:r w:rsidRPr="00904486">
        <w:rPr>
          <w:i/>
          <w:highlight w:val="white"/>
          <w:lang w:val="en-US"/>
        </w:rPr>
        <w:t xml:space="preserve"> </w:t>
      </w:r>
      <w:proofErr w:type="spellStart"/>
      <w:r w:rsidRPr="00904486">
        <w:rPr>
          <w:i/>
          <w:highlight w:val="white"/>
          <w:lang w:val="en-US"/>
        </w:rPr>
        <w:t>dentocariosa</w:t>
      </w:r>
      <w:proofErr w:type="spellEnd"/>
      <w:r w:rsidRPr="00904486">
        <w:rPr>
          <w:highlight w:val="white"/>
          <w:lang w:val="en-US"/>
        </w:rPr>
        <w:t xml:space="preserve"> and </w:t>
      </w:r>
      <w:r w:rsidRPr="00904486">
        <w:rPr>
          <w:i/>
          <w:highlight w:val="white"/>
          <w:lang w:val="en-US"/>
        </w:rPr>
        <w:t xml:space="preserve">Corynebacterium </w:t>
      </w:r>
      <w:proofErr w:type="spellStart"/>
      <w:r w:rsidRPr="00904486">
        <w:rPr>
          <w:i/>
          <w:highlight w:val="white"/>
          <w:lang w:val="en-US"/>
        </w:rPr>
        <w:t>matruchotii</w:t>
      </w:r>
      <w:proofErr w:type="spellEnd"/>
      <w:r w:rsidRPr="00904486">
        <w:rPr>
          <w:highlight w:val="white"/>
          <w:lang w:val="en-US"/>
        </w:rPr>
        <w:t>). Also, none of the representative organisms from other sites were found in our sample, so it was not contaminated.</w:t>
      </w:r>
    </w:p>
    <w:p w14:paraId="6EF34080" w14:textId="77777777" w:rsidR="00583023" w:rsidRDefault="008A4680">
      <w:r w:rsidRPr="00904486">
        <w:rPr>
          <w:lang w:val="en-US"/>
        </w:rPr>
        <w:br/>
      </w:r>
      <w:r>
        <w:rPr>
          <w:noProof/>
        </w:rPr>
        <w:drawing>
          <wp:inline distT="114300" distB="114300" distL="114300" distR="114300" wp14:anchorId="62646BB2" wp14:editId="418466ED">
            <wp:extent cx="3664281" cy="6931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664281" cy="6931675"/>
                    </a:xfrm>
                    <a:prstGeom prst="rect">
                      <a:avLst/>
                    </a:prstGeom>
                    <a:ln/>
                  </pic:spPr>
                </pic:pic>
              </a:graphicData>
            </a:graphic>
          </wp:inline>
        </w:drawing>
      </w:r>
    </w:p>
    <w:p w14:paraId="04FE5DEC" w14:textId="3B2E294D" w:rsidR="00583023" w:rsidRPr="00904486" w:rsidRDefault="008A4680">
      <w:pPr>
        <w:jc w:val="both"/>
        <w:rPr>
          <w:lang w:val="en-US"/>
        </w:rPr>
      </w:pPr>
      <w:r w:rsidRPr="00904486">
        <w:rPr>
          <w:b/>
          <w:i/>
          <w:lang w:val="en-US"/>
        </w:rPr>
        <w:t>Figure 4.</w:t>
      </w:r>
      <w:r w:rsidRPr="00904486">
        <w:rPr>
          <w:i/>
          <w:lang w:val="en-US"/>
        </w:rPr>
        <w:t xml:space="preserve"> </w:t>
      </w:r>
      <w:r w:rsidRPr="00904486">
        <w:rPr>
          <w:lang w:val="en-US"/>
        </w:rPr>
        <w:t>Cl</w:t>
      </w:r>
      <w:r w:rsidR="00904486">
        <w:rPr>
          <w:lang w:val="en-US"/>
        </w:rPr>
        <w:t>ustering</w:t>
      </w:r>
      <w:r w:rsidRPr="00904486">
        <w:rPr>
          <w:lang w:val="en-US"/>
        </w:rPr>
        <w:t xml:space="preserve"> of the samples from different parts of the human organism and dental calculus sample. </w:t>
      </w:r>
    </w:p>
    <w:p w14:paraId="2D65DE1C" w14:textId="77777777" w:rsidR="00583023" w:rsidRPr="00904486" w:rsidRDefault="008A4680">
      <w:pPr>
        <w:ind w:firstLine="720"/>
        <w:rPr>
          <w:lang w:val="en-US"/>
        </w:rPr>
      </w:pPr>
      <w:r w:rsidRPr="00904486">
        <w:rPr>
          <w:lang w:val="en-US"/>
        </w:rPr>
        <w:lastRenderedPageBreak/>
        <w:t>Comparison of the ancien</w:t>
      </w:r>
      <w:r w:rsidRPr="00904486">
        <w:rPr>
          <w:lang w:val="en-US"/>
        </w:rPr>
        <w:t xml:space="preserve">t and modern </w:t>
      </w:r>
      <w:r w:rsidRPr="00904486">
        <w:rPr>
          <w:i/>
          <w:lang w:val="en-US"/>
        </w:rPr>
        <w:t>T. forsythia</w:t>
      </w:r>
      <w:r w:rsidRPr="00904486">
        <w:rPr>
          <w:lang w:val="en-US"/>
        </w:rPr>
        <w:t xml:space="preserve"> genomes revealed new genes, obtained during evolution. These genes are listed in </w:t>
      </w:r>
      <w:r w:rsidRPr="00904486">
        <w:rPr>
          <w:b/>
          <w:i/>
          <w:lang w:val="en-US"/>
        </w:rPr>
        <w:t>Table 5 in the Supplementary materials</w:t>
      </w:r>
      <w:r w:rsidRPr="00904486">
        <w:rPr>
          <w:lang w:val="en-US"/>
        </w:rPr>
        <w:t>.</w:t>
      </w:r>
    </w:p>
    <w:p w14:paraId="38069491" w14:textId="77777777" w:rsidR="00583023" w:rsidRPr="00904486" w:rsidRDefault="00583023">
      <w:pPr>
        <w:rPr>
          <w:lang w:val="en-US"/>
        </w:rPr>
      </w:pPr>
    </w:p>
    <w:p w14:paraId="6F7E4196" w14:textId="77777777" w:rsidR="00583023" w:rsidRPr="00904486" w:rsidRDefault="00583023">
      <w:pPr>
        <w:rPr>
          <w:lang w:val="en-US"/>
        </w:rPr>
      </w:pPr>
    </w:p>
    <w:p w14:paraId="59A6F933" w14:textId="77777777" w:rsidR="00583023" w:rsidRPr="00904486" w:rsidRDefault="008A4680">
      <w:pPr>
        <w:rPr>
          <w:b/>
          <w:lang w:val="en-US"/>
        </w:rPr>
      </w:pPr>
      <w:r w:rsidRPr="00904486">
        <w:rPr>
          <w:b/>
          <w:lang w:val="en-US"/>
        </w:rPr>
        <w:t>Discussion</w:t>
      </w:r>
    </w:p>
    <w:p w14:paraId="75B2EDF8" w14:textId="29E959FA" w:rsidR="00583023" w:rsidRPr="00904486" w:rsidRDefault="00583023">
      <w:pPr>
        <w:rPr>
          <w:b/>
          <w:lang w:val="en-US"/>
        </w:rPr>
      </w:pPr>
    </w:p>
    <w:p w14:paraId="6C603821" w14:textId="62C1AAFA" w:rsidR="00583023" w:rsidRPr="00904486" w:rsidRDefault="008A4680">
      <w:pPr>
        <w:spacing w:line="360" w:lineRule="auto"/>
        <w:jc w:val="both"/>
        <w:rPr>
          <w:highlight w:val="white"/>
          <w:lang w:val="en-US"/>
        </w:rPr>
      </w:pPr>
      <w:r w:rsidRPr="00904486">
        <w:rPr>
          <w:lang w:val="en-US"/>
        </w:rPr>
        <w:tab/>
        <w:t xml:space="preserve">The human body is colonized by trillions of microorganisms called microbiota. </w:t>
      </w:r>
      <w:proofErr w:type="gramStart"/>
      <w:r w:rsidRPr="00904486">
        <w:rPr>
          <w:lang w:val="en-US"/>
        </w:rPr>
        <w:t>However</w:t>
      </w:r>
      <w:proofErr w:type="gramEnd"/>
      <w:r w:rsidRPr="00904486">
        <w:rPr>
          <w:lang w:val="en-US"/>
        </w:rPr>
        <w:t xml:space="preserve"> composi</w:t>
      </w:r>
      <w:r w:rsidRPr="00904486">
        <w:rPr>
          <w:lang w:val="en-US"/>
        </w:rPr>
        <w:t>tion of microbial communities in various parts of the human organism can differ significantly. In this study we compared two samples - dental calculus (experimental sample) and tooth root (control). Dental calculus contains only representatives of Bacteria</w:t>
      </w:r>
      <w:r w:rsidRPr="00904486">
        <w:rPr>
          <w:lang w:val="en-US"/>
        </w:rPr>
        <w:t xml:space="preserve"> while in bone about 0.13 % are representatives of Archaea. The most common bacteria in the calculus sample is </w:t>
      </w:r>
      <w:proofErr w:type="spellStart"/>
      <w:r w:rsidRPr="00904486">
        <w:rPr>
          <w:highlight w:val="white"/>
          <w:lang w:val="en-US"/>
        </w:rPr>
        <w:t>k__Bacteria</w:t>
      </w:r>
      <w:proofErr w:type="spellEnd"/>
      <w:r w:rsidRPr="00904486">
        <w:rPr>
          <w:highlight w:val="white"/>
          <w:lang w:val="en-US"/>
        </w:rPr>
        <w:t xml:space="preserve">; </w:t>
      </w:r>
      <w:proofErr w:type="spellStart"/>
      <w:r w:rsidRPr="00904486">
        <w:rPr>
          <w:highlight w:val="white"/>
          <w:lang w:val="en-US"/>
        </w:rPr>
        <w:t>p__Firmicutes</w:t>
      </w:r>
      <w:proofErr w:type="spellEnd"/>
      <w:r w:rsidRPr="00904486">
        <w:rPr>
          <w:highlight w:val="white"/>
          <w:lang w:val="en-US"/>
        </w:rPr>
        <w:t xml:space="preserve">; </w:t>
      </w:r>
      <w:proofErr w:type="spellStart"/>
      <w:r w:rsidRPr="00904486">
        <w:rPr>
          <w:highlight w:val="white"/>
          <w:lang w:val="en-US"/>
        </w:rPr>
        <w:t>c__Clostridia</w:t>
      </w:r>
      <w:proofErr w:type="spellEnd"/>
      <w:r w:rsidRPr="00904486">
        <w:rPr>
          <w:highlight w:val="white"/>
          <w:lang w:val="en-US"/>
        </w:rPr>
        <w:t>; o__</w:t>
      </w:r>
      <w:proofErr w:type="spellStart"/>
      <w:r w:rsidRPr="00904486">
        <w:rPr>
          <w:highlight w:val="white"/>
          <w:lang w:val="en-US"/>
        </w:rPr>
        <w:t>Clostridiales</w:t>
      </w:r>
      <w:proofErr w:type="spellEnd"/>
      <w:r w:rsidRPr="00904486">
        <w:rPr>
          <w:highlight w:val="white"/>
          <w:lang w:val="en-US"/>
        </w:rPr>
        <w:t>; f__[</w:t>
      </w:r>
      <w:proofErr w:type="spellStart"/>
      <w:r w:rsidRPr="00904486">
        <w:rPr>
          <w:highlight w:val="white"/>
          <w:lang w:val="en-US"/>
        </w:rPr>
        <w:t>Mogibacteriaceae</w:t>
      </w:r>
      <w:proofErr w:type="spellEnd"/>
      <w:r w:rsidRPr="00904486">
        <w:rPr>
          <w:highlight w:val="white"/>
          <w:lang w:val="en-US"/>
        </w:rPr>
        <w:t>]</w:t>
      </w:r>
      <w:r w:rsidR="00904486">
        <w:rPr>
          <w:highlight w:val="white"/>
          <w:lang w:val="en-US"/>
        </w:rPr>
        <w:t xml:space="preserve"> (</w:t>
      </w:r>
      <w:proofErr w:type="spellStart"/>
      <w:r w:rsidR="00904486" w:rsidRPr="00904486">
        <w:rPr>
          <w:color w:val="000000"/>
          <w:lang w:val="en-US"/>
        </w:rPr>
        <w:t>Mogibacteriaceae</w:t>
      </w:r>
      <w:proofErr w:type="spellEnd"/>
      <w:r w:rsidR="00904486" w:rsidRPr="00904486">
        <w:rPr>
          <w:color w:val="000000"/>
          <w:lang w:val="en-US"/>
        </w:rPr>
        <w:t xml:space="preserve"> from </w:t>
      </w:r>
      <w:proofErr w:type="spellStart"/>
      <w:r w:rsidR="00904486" w:rsidRPr="00904486">
        <w:rPr>
          <w:color w:val="000000"/>
          <w:lang w:val="en-US"/>
        </w:rPr>
        <w:t>Clostridiales</w:t>
      </w:r>
      <w:proofErr w:type="spellEnd"/>
      <w:r w:rsidR="00904486" w:rsidRPr="00904486">
        <w:rPr>
          <w:color w:val="000000"/>
          <w:lang w:val="en-US"/>
        </w:rPr>
        <w:t xml:space="preserve"> order</w:t>
      </w:r>
      <w:r w:rsidR="00904486">
        <w:rPr>
          <w:color w:val="000000"/>
          <w:lang w:val="en-US"/>
        </w:rPr>
        <w:t>)</w:t>
      </w:r>
      <w:r w:rsidRPr="00904486">
        <w:rPr>
          <w:highlight w:val="white"/>
          <w:lang w:val="en-US"/>
        </w:rPr>
        <w:t xml:space="preserve">. It was shown in different scientific articles that people </w:t>
      </w:r>
      <w:r w:rsidRPr="00904486">
        <w:rPr>
          <w:highlight w:val="white"/>
          <w:lang w:val="en-US"/>
        </w:rPr>
        <w:t xml:space="preserve">who suffer from apical periodontitis have very </w:t>
      </w:r>
      <w:r w:rsidR="00904486" w:rsidRPr="00904486">
        <w:rPr>
          <w:highlight w:val="white"/>
          <w:lang w:val="en-US"/>
        </w:rPr>
        <w:t>high-level</w:t>
      </w:r>
      <w:r w:rsidRPr="00904486">
        <w:rPr>
          <w:highlight w:val="white"/>
          <w:lang w:val="en-US"/>
        </w:rPr>
        <w:t xml:space="preserve"> microbial species belonging to </w:t>
      </w:r>
      <w:proofErr w:type="spellStart"/>
      <w:r w:rsidRPr="00904486">
        <w:rPr>
          <w:i/>
          <w:highlight w:val="white"/>
          <w:lang w:val="en-US"/>
        </w:rPr>
        <w:t>Mogibacteriaceae</w:t>
      </w:r>
      <w:proofErr w:type="spellEnd"/>
      <w:r w:rsidRPr="00904486">
        <w:rPr>
          <w:highlight w:val="white"/>
          <w:lang w:val="en-US"/>
        </w:rPr>
        <w:t xml:space="preserve"> family [4]. </w:t>
      </w:r>
      <w:r w:rsidRPr="00904486">
        <w:rPr>
          <w:lang w:val="en-US"/>
        </w:rPr>
        <w:t xml:space="preserve">The most common bacteria in tooth root sample is </w:t>
      </w:r>
      <w:r w:rsidRPr="00904486">
        <w:rPr>
          <w:highlight w:val="white"/>
          <w:lang w:val="en-US"/>
        </w:rPr>
        <w:t>k__</w:t>
      </w:r>
      <w:proofErr w:type="gramStart"/>
      <w:r w:rsidRPr="00904486">
        <w:rPr>
          <w:highlight w:val="white"/>
          <w:lang w:val="en-US"/>
        </w:rPr>
        <w:t>Bacteria;p</w:t>
      </w:r>
      <w:proofErr w:type="gramEnd"/>
      <w:r w:rsidRPr="00904486">
        <w:rPr>
          <w:highlight w:val="white"/>
          <w:lang w:val="en-US"/>
        </w:rPr>
        <w:t>__Proteobacteria;c__Betaproteobacteria;o__Burkholderiales;f__Alcaligenaceae.</w:t>
      </w:r>
      <w:r w:rsidRPr="00904486">
        <w:rPr>
          <w:highlight w:val="white"/>
          <w:lang w:val="en-US"/>
        </w:rPr>
        <w:t xml:space="preserve"> Their role is still unknown.</w:t>
      </w:r>
    </w:p>
    <w:p w14:paraId="42563FB3" w14:textId="120DCA5B" w:rsidR="00583023" w:rsidRPr="00904486" w:rsidRDefault="008A4680">
      <w:pPr>
        <w:spacing w:line="360" w:lineRule="auto"/>
        <w:ind w:firstLine="720"/>
        <w:jc w:val="both"/>
        <w:rPr>
          <w:highlight w:val="white"/>
          <w:lang w:val="en-US"/>
        </w:rPr>
      </w:pPr>
      <w:r w:rsidRPr="00904486">
        <w:rPr>
          <w:highlight w:val="white"/>
          <w:lang w:val="en-US"/>
        </w:rPr>
        <w:t>There are a lot of factors which can influence human microbiome composition - the main ones are oxygen and nutrients availability. Accordingly, microbial content of bone and calculus samples differs as does microbial content o</w:t>
      </w:r>
      <w:r w:rsidRPr="00904486">
        <w:rPr>
          <w:highlight w:val="white"/>
          <w:lang w:val="en-US"/>
        </w:rPr>
        <w:t xml:space="preserve">f other organism sites, as can be seen on the heatmap, </w:t>
      </w:r>
      <w:r w:rsidRPr="008A4680">
        <w:rPr>
          <w:b/>
          <w:i/>
          <w:iCs/>
          <w:highlight w:val="white"/>
          <w:lang w:val="en-US"/>
        </w:rPr>
        <w:t>F</w:t>
      </w:r>
      <w:r w:rsidRPr="008A4680">
        <w:rPr>
          <w:b/>
          <w:i/>
          <w:iCs/>
          <w:highlight w:val="white"/>
          <w:lang w:val="en-US"/>
        </w:rPr>
        <w:t>igure 4</w:t>
      </w:r>
      <w:r w:rsidRPr="00904486">
        <w:rPr>
          <w:highlight w:val="white"/>
          <w:lang w:val="en-US"/>
        </w:rPr>
        <w:t xml:space="preserve">. This fact allows scientists to use representative bacteria for the contamination control and study the diseases which have been associated with the human microbiota through abundances of the </w:t>
      </w:r>
      <w:r w:rsidRPr="00904486">
        <w:rPr>
          <w:highlight w:val="white"/>
          <w:lang w:val="en-US"/>
        </w:rPr>
        <w:t>pathogens.</w:t>
      </w:r>
    </w:p>
    <w:p w14:paraId="01D69DA8" w14:textId="2573E6DB" w:rsidR="00583023" w:rsidRPr="00904486" w:rsidRDefault="008A4680">
      <w:pPr>
        <w:spacing w:line="360" w:lineRule="auto"/>
        <w:ind w:firstLine="720"/>
        <w:rPr>
          <w:shd w:val="clear" w:color="auto" w:fill="999999"/>
          <w:lang w:val="en-US"/>
        </w:rPr>
      </w:pPr>
      <w:r w:rsidRPr="00904486">
        <w:rPr>
          <w:lang w:val="en-US"/>
        </w:rPr>
        <w:t>Previous studies showed that three bacteria of the “red complex” are responsible for severe forms of periodontitis [5]. In the sample from dental calculus we have found genus of all those bacteria through the taxonomic analysis by 16s rRNA genes</w:t>
      </w:r>
      <w:r w:rsidRPr="00904486">
        <w:rPr>
          <w:lang w:val="en-US"/>
        </w:rPr>
        <w:t xml:space="preserve">. Additionally, we determined the presence of </w:t>
      </w:r>
      <w:r w:rsidRPr="00904486">
        <w:rPr>
          <w:i/>
          <w:lang w:val="en-US"/>
        </w:rPr>
        <w:t xml:space="preserve">T. </w:t>
      </w:r>
      <w:proofErr w:type="spellStart"/>
      <w:r w:rsidRPr="00904486">
        <w:rPr>
          <w:i/>
          <w:lang w:val="en-US"/>
        </w:rPr>
        <w:t>denticola</w:t>
      </w:r>
      <w:proofErr w:type="spellEnd"/>
      <w:r w:rsidRPr="00904486">
        <w:rPr>
          <w:lang w:val="en-US"/>
        </w:rPr>
        <w:t xml:space="preserve"> and </w:t>
      </w:r>
      <w:proofErr w:type="spellStart"/>
      <w:proofErr w:type="gramStart"/>
      <w:r w:rsidRPr="00904486">
        <w:rPr>
          <w:i/>
          <w:lang w:val="en-US"/>
        </w:rPr>
        <w:t>T.forsythia</w:t>
      </w:r>
      <w:proofErr w:type="spellEnd"/>
      <w:proofErr w:type="gramEnd"/>
      <w:r w:rsidRPr="00904486">
        <w:rPr>
          <w:i/>
          <w:lang w:val="en-US"/>
        </w:rPr>
        <w:t xml:space="preserve"> </w:t>
      </w:r>
      <w:r w:rsidRPr="00904486">
        <w:rPr>
          <w:lang w:val="en-US"/>
        </w:rPr>
        <w:t>genomes</w:t>
      </w:r>
      <w:r w:rsidRPr="00904486">
        <w:rPr>
          <w:i/>
          <w:lang w:val="en-US"/>
        </w:rPr>
        <w:t xml:space="preserve"> </w:t>
      </w:r>
      <w:r w:rsidRPr="00904486">
        <w:rPr>
          <w:lang w:val="en-US"/>
        </w:rPr>
        <w:t>in the metagenome assembly. Also,</w:t>
      </w:r>
      <w:r w:rsidRPr="00904486">
        <w:rPr>
          <w:lang w:val="en-US"/>
        </w:rPr>
        <w:t xml:space="preserve"> we found bacterium </w:t>
      </w:r>
      <w:r w:rsidRPr="00904486">
        <w:rPr>
          <w:i/>
          <w:lang w:val="en-US"/>
        </w:rPr>
        <w:t xml:space="preserve">Treponema </w:t>
      </w:r>
      <w:proofErr w:type="spellStart"/>
      <w:r w:rsidRPr="00904486">
        <w:rPr>
          <w:i/>
          <w:lang w:val="en-US"/>
        </w:rPr>
        <w:t>socranskii</w:t>
      </w:r>
      <w:proofErr w:type="spellEnd"/>
      <w:r w:rsidRPr="00904486">
        <w:rPr>
          <w:lang w:val="en-US"/>
        </w:rPr>
        <w:t xml:space="preserve"> which was isolated from patients with periodontitis [6]. These findings tell us that ancient people </w:t>
      </w:r>
      <w:r w:rsidRPr="00904486">
        <w:rPr>
          <w:lang w:val="en-US"/>
        </w:rPr>
        <w:t>had suffered from the disease caused by the same bacteria as today.</w:t>
      </w:r>
    </w:p>
    <w:p w14:paraId="216AF187" w14:textId="019081BD" w:rsidR="00583023" w:rsidRPr="00904486" w:rsidRDefault="008A4680">
      <w:pPr>
        <w:spacing w:line="360" w:lineRule="auto"/>
        <w:ind w:firstLine="720"/>
        <w:jc w:val="both"/>
        <w:rPr>
          <w:lang w:val="en-US"/>
        </w:rPr>
      </w:pPr>
      <w:r>
        <w:rPr>
          <w:lang w:val="en-US"/>
        </w:rPr>
        <w:t>C</w:t>
      </w:r>
      <w:r w:rsidRPr="00904486">
        <w:rPr>
          <w:lang w:val="en-US"/>
        </w:rPr>
        <w:t>omparative</w:t>
      </w:r>
      <w:r w:rsidRPr="00904486">
        <w:rPr>
          <w:lang w:val="en-US"/>
        </w:rPr>
        <w:t xml:space="preserve"> analysis of modern </w:t>
      </w:r>
      <w:r w:rsidRPr="00904486">
        <w:rPr>
          <w:i/>
          <w:lang w:val="en-US"/>
        </w:rPr>
        <w:t>T. forsythia</w:t>
      </w:r>
      <w:r w:rsidRPr="00904486">
        <w:rPr>
          <w:lang w:val="en-US"/>
        </w:rPr>
        <w:t xml:space="preserve"> genome with ancient one revealed about 80 new protein-coding genes. Among them different conjugative transposon proteins, IS110 and other</w:t>
      </w:r>
      <w:r w:rsidRPr="00904486">
        <w:rPr>
          <w:lang w:val="en-US"/>
        </w:rPr>
        <w:t xml:space="preserve"> famil</w:t>
      </w:r>
      <w:r>
        <w:rPr>
          <w:lang w:val="en-US"/>
        </w:rPr>
        <w:t>ies’</w:t>
      </w:r>
      <w:r w:rsidRPr="00904486">
        <w:rPr>
          <w:lang w:val="en-US"/>
        </w:rPr>
        <w:t xml:space="preserve"> transposase</w:t>
      </w:r>
      <w:r>
        <w:rPr>
          <w:lang w:val="en-US"/>
        </w:rPr>
        <w:t>s</w:t>
      </w:r>
      <w:r w:rsidRPr="00904486">
        <w:rPr>
          <w:lang w:val="en-US"/>
        </w:rPr>
        <w:t>, response regulator etc. The obtained list of genes indicates that a lot of new genes were acquired by recruiting transposable element proteins and using them as cellular proteins. The most interesting new protein is tetracycline resistance</w:t>
      </w:r>
      <w:r w:rsidRPr="00904486">
        <w:rPr>
          <w:lang w:val="en-US"/>
        </w:rPr>
        <w:t xml:space="preserve"> ribosomal protection protein. This protein protects the bacterial ribosome from binding with tetracycline antibiotics. This molecule is a translational GTPase and has structure and sequence similarity </w:t>
      </w:r>
      <w:r w:rsidRPr="00904486">
        <w:rPr>
          <w:lang w:val="en-US"/>
        </w:rPr>
        <w:lastRenderedPageBreak/>
        <w:t xml:space="preserve">with elongation factor EF-G [7]. In </w:t>
      </w:r>
      <w:r w:rsidRPr="00904486">
        <w:rPr>
          <w:i/>
          <w:lang w:val="en-US"/>
        </w:rPr>
        <w:t>Salyers et al.</w:t>
      </w:r>
      <w:r w:rsidRPr="00904486">
        <w:rPr>
          <w:lang w:val="en-US"/>
        </w:rPr>
        <w:t xml:space="preserve"> rev</w:t>
      </w:r>
      <w:r w:rsidRPr="00904486">
        <w:rPr>
          <w:lang w:val="en-US"/>
        </w:rPr>
        <w:t xml:space="preserve">iew was mentioned that conjugative transposons of </w:t>
      </w:r>
      <w:r w:rsidRPr="00904486">
        <w:rPr>
          <w:i/>
          <w:lang w:val="en-US"/>
        </w:rPr>
        <w:t xml:space="preserve">Bacteroides </w:t>
      </w:r>
      <w:r w:rsidRPr="00904486">
        <w:rPr>
          <w:lang w:val="en-US"/>
        </w:rPr>
        <w:t xml:space="preserve">have unique features - the ability to insert in </w:t>
      </w:r>
      <w:proofErr w:type="spellStart"/>
      <w:r w:rsidRPr="00904486">
        <w:rPr>
          <w:lang w:val="en-US"/>
        </w:rPr>
        <w:t>coresident</w:t>
      </w:r>
      <w:proofErr w:type="spellEnd"/>
      <w:r w:rsidRPr="00904486">
        <w:rPr>
          <w:lang w:val="en-US"/>
        </w:rPr>
        <w:t xml:space="preserve"> plasmids and mobilize them, to excise and mobilize unlinked integrated elements and to control element transfer functions [8]. So trans</w:t>
      </w:r>
      <w:r w:rsidRPr="00904486">
        <w:rPr>
          <w:lang w:val="en-US"/>
        </w:rPr>
        <w:t xml:space="preserve">posable elements can be considered as one of the main drivers of the </w:t>
      </w:r>
      <w:r w:rsidRPr="00904486">
        <w:rPr>
          <w:i/>
          <w:lang w:val="en-US"/>
        </w:rPr>
        <w:t>T. forsythia</w:t>
      </w:r>
      <w:r w:rsidRPr="00904486">
        <w:rPr>
          <w:lang w:val="en-US"/>
        </w:rPr>
        <w:t xml:space="preserve"> genome evolution.</w:t>
      </w:r>
    </w:p>
    <w:p w14:paraId="1EC08411" w14:textId="6B0CA2E5" w:rsidR="00583023" w:rsidRPr="00904486" w:rsidRDefault="008A4680">
      <w:pPr>
        <w:spacing w:line="360" w:lineRule="auto"/>
        <w:ind w:firstLine="720"/>
        <w:jc w:val="both"/>
        <w:rPr>
          <w:lang w:val="en-US"/>
        </w:rPr>
      </w:pPr>
      <w:r w:rsidRPr="00904486">
        <w:rPr>
          <w:lang w:val="en-US"/>
        </w:rPr>
        <w:t>In addition,</w:t>
      </w:r>
      <w:r w:rsidRPr="00904486">
        <w:rPr>
          <w:lang w:val="en-US"/>
        </w:rPr>
        <w:t xml:space="preserve"> it was found new gene coding beta-ketoacyl-ACP synthase III which is involved in the dissociated fatty-acid biosynthesis system in bacteria. </w:t>
      </w:r>
      <w:r w:rsidRPr="00904486">
        <w:rPr>
          <w:lang w:val="en-US"/>
        </w:rPr>
        <w:t>This adaptation can be explained by the change of type of food. Modern people eat food which contains more fats and carbohydrates. In support of this theory we also found TIGR04157 family glycosyltransferase as a novel gene. Glycosyltransferases are enzyme</w:t>
      </w:r>
      <w:r w:rsidRPr="00904486">
        <w:rPr>
          <w:lang w:val="en-US"/>
        </w:rPr>
        <w:t>s that catalyze transfer of the saccharide moieties from an activated sugar to the acceptor and this particular transferase can be obtained by T. forsythia due to the increase of carbohydrate consumption [9].</w:t>
      </w:r>
    </w:p>
    <w:p w14:paraId="5A97373F" w14:textId="77777777" w:rsidR="00583023" w:rsidRPr="00904486" w:rsidRDefault="00583023">
      <w:pPr>
        <w:rPr>
          <w:b/>
          <w:lang w:val="en-US"/>
        </w:rPr>
      </w:pPr>
    </w:p>
    <w:p w14:paraId="762F5921" w14:textId="77777777" w:rsidR="00583023" w:rsidRPr="00904486" w:rsidRDefault="00583023">
      <w:pPr>
        <w:rPr>
          <w:b/>
          <w:lang w:val="en-US"/>
        </w:rPr>
      </w:pPr>
    </w:p>
    <w:p w14:paraId="117B40C0" w14:textId="77777777" w:rsidR="00583023" w:rsidRPr="00904486" w:rsidRDefault="008A4680">
      <w:pPr>
        <w:rPr>
          <w:b/>
          <w:lang w:val="en-US"/>
        </w:rPr>
      </w:pPr>
      <w:r w:rsidRPr="00904486">
        <w:rPr>
          <w:b/>
          <w:lang w:val="en-US"/>
        </w:rPr>
        <w:br/>
        <w:t>Conclusion</w:t>
      </w:r>
    </w:p>
    <w:p w14:paraId="406FBFAB" w14:textId="77777777" w:rsidR="00583023" w:rsidRPr="00904486" w:rsidRDefault="00583023">
      <w:pPr>
        <w:rPr>
          <w:b/>
          <w:lang w:val="en-US"/>
        </w:rPr>
      </w:pPr>
    </w:p>
    <w:p w14:paraId="1A18EC9F" w14:textId="1BDCDE93" w:rsidR="00583023" w:rsidRPr="00904486" w:rsidRDefault="008A4680">
      <w:pPr>
        <w:spacing w:line="360" w:lineRule="auto"/>
        <w:ind w:firstLine="720"/>
        <w:jc w:val="both"/>
        <w:rPr>
          <w:b/>
          <w:lang w:val="en-US"/>
        </w:rPr>
      </w:pPr>
      <w:r w:rsidRPr="00904486">
        <w:rPr>
          <w:lang w:val="en-US"/>
        </w:rPr>
        <w:t>In this research it was shown</w:t>
      </w:r>
      <w:r w:rsidRPr="00904486">
        <w:rPr>
          <w:lang w:val="en-US"/>
        </w:rPr>
        <w:t xml:space="preserve"> that ancient people suffered from periodontitis. The development of disease was caused by activity of </w:t>
      </w:r>
      <w:r w:rsidRPr="00904486">
        <w:rPr>
          <w:i/>
          <w:lang w:val="en-US"/>
        </w:rPr>
        <w:t xml:space="preserve">T. forsythia and T. </w:t>
      </w:r>
      <w:proofErr w:type="spellStart"/>
      <w:r w:rsidRPr="00904486">
        <w:rPr>
          <w:i/>
          <w:lang w:val="en-US"/>
        </w:rPr>
        <w:t>denticola</w:t>
      </w:r>
      <w:proofErr w:type="spellEnd"/>
      <w:r w:rsidRPr="00904486">
        <w:rPr>
          <w:i/>
          <w:lang w:val="en-US"/>
        </w:rPr>
        <w:t xml:space="preserve">. </w:t>
      </w:r>
      <w:bookmarkStart w:id="0" w:name="_GoBack"/>
      <w:bookmarkEnd w:id="0"/>
      <w:r w:rsidRPr="00904486">
        <w:rPr>
          <w:lang w:val="en-US"/>
        </w:rPr>
        <w:t>Also,</w:t>
      </w:r>
      <w:r w:rsidRPr="00904486">
        <w:rPr>
          <w:lang w:val="en-US"/>
        </w:rPr>
        <w:t xml:space="preserve"> it was demonstrated that the genome of modern </w:t>
      </w:r>
      <w:r w:rsidRPr="00904486">
        <w:rPr>
          <w:i/>
          <w:lang w:val="en-US"/>
        </w:rPr>
        <w:t xml:space="preserve">T. forsythia </w:t>
      </w:r>
      <w:r w:rsidRPr="00904486">
        <w:rPr>
          <w:lang w:val="en-US"/>
        </w:rPr>
        <w:t>contains a lot of new genes. Most of them serve as an adaptation to changing the type of food by the host organism. A lot of these genes could be acquired by T. forsythia via conjugative transposons.</w:t>
      </w:r>
    </w:p>
    <w:p w14:paraId="493A6002" w14:textId="77777777" w:rsidR="00583023" w:rsidRPr="00904486" w:rsidRDefault="00583023">
      <w:pPr>
        <w:rPr>
          <w:b/>
          <w:lang w:val="en-US"/>
        </w:rPr>
      </w:pPr>
    </w:p>
    <w:p w14:paraId="5F821B2B" w14:textId="77777777" w:rsidR="00583023" w:rsidRPr="00904486" w:rsidRDefault="008A4680">
      <w:pPr>
        <w:rPr>
          <w:b/>
          <w:lang w:val="en-US"/>
        </w:rPr>
      </w:pPr>
      <w:r w:rsidRPr="00904486">
        <w:rPr>
          <w:b/>
          <w:lang w:val="en-US"/>
        </w:rPr>
        <w:t>References</w:t>
      </w:r>
    </w:p>
    <w:p w14:paraId="1D5936C9" w14:textId="77777777" w:rsidR="00583023" w:rsidRPr="00904486" w:rsidRDefault="00583023">
      <w:pPr>
        <w:rPr>
          <w:b/>
          <w:lang w:val="en-US"/>
        </w:rPr>
      </w:pPr>
    </w:p>
    <w:p w14:paraId="029781A8" w14:textId="77777777" w:rsidR="00583023" w:rsidRPr="00904486" w:rsidRDefault="008A4680">
      <w:pPr>
        <w:jc w:val="both"/>
        <w:rPr>
          <w:highlight w:val="white"/>
          <w:lang w:val="en-US"/>
        </w:rPr>
      </w:pPr>
      <w:r w:rsidRPr="00904486">
        <w:rPr>
          <w:highlight w:val="white"/>
          <w:lang w:val="en-US"/>
        </w:rPr>
        <w:t xml:space="preserve">1. </w:t>
      </w:r>
      <w:proofErr w:type="spellStart"/>
      <w:r w:rsidRPr="00904486">
        <w:rPr>
          <w:highlight w:val="white"/>
          <w:lang w:val="en-US"/>
        </w:rPr>
        <w:t>Riesenfeld</w:t>
      </w:r>
      <w:proofErr w:type="spellEnd"/>
      <w:r w:rsidRPr="00904486">
        <w:rPr>
          <w:highlight w:val="white"/>
          <w:lang w:val="en-US"/>
        </w:rPr>
        <w:t xml:space="preserve"> CS, Schloss PD, </w:t>
      </w:r>
      <w:proofErr w:type="spellStart"/>
      <w:r w:rsidRPr="00904486">
        <w:rPr>
          <w:highlight w:val="white"/>
          <w:lang w:val="en-US"/>
        </w:rPr>
        <w:t>Handelsman</w:t>
      </w:r>
      <w:proofErr w:type="spellEnd"/>
      <w:r w:rsidRPr="00904486">
        <w:rPr>
          <w:highlight w:val="white"/>
          <w:lang w:val="en-US"/>
        </w:rPr>
        <w:t xml:space="preserve"> J. Metagenomics: genomic analysis of microbial communities. </w:t>
      </w:r>
      <w:proofErr w:type="spellStart"/>
      <w:r w:rsidRPr="00904486">
        <w:rPr>
          <w:highlight w:val="white"/>
          <w:lang w:val="en-US"/>
        </w:rPr>
        <w:t>Annu</w:t>
      </w:r>
      <w:proofErr w:type="spellEnd"/>
      <w:r w:rsidRPr="00904486">
        <w:rPr>
          <w:highlight w:val="white"/>
          <w:lang w:val="en-US"/>
        </w:rPr>
        <w:t xml:space="preserve"> Rev Genet. </w:t>
      </w:r>
      <w:proofErr w:type="gramStart"/>
      <w:r w:rsidRPr="00904486">
        <w:rPr>
          <w:highlight w:val="white"/>
          <w:lang w:val="en-US"/>
        </w:rPr>
        <w:t>2004;38:525</w:t>
      </w:r>
      <w:proofErr w:type="gramEnd"/>
      <w:r w:rsidRPr="00904486">
        <w:rPr>
          <w:highlight w:val="white"/>
          <w:lang w:val="en-US"/>
        </w:rPr>
        <w:t xml:space="preserve">-52. </w:t>
      </w:r>
      <w:proofErr w:type="gramStart"/>
      <w:r w:rsidRPr="00904486">
        <w:rPr>
          <w:highlight w:val="white"/>
          <w:lang w:val="en-US"/>
        </w:rPr>
        <w:t>doi:10.1146/annurev.genet</w:t>
      </w:r>
      <w:proofErr w:type="gramEnd"/>
      <w:r w:rsidRPr="00904486">
        <w:rPr>
          <w:highlight w:val="white"/>
          <w:lang w:val="en-US"/>
        </w:rPr>
        <w:t xml:space="preserve">.38.072902.091216. PMID: 15568985. </w:t>
      </w:r>
    </w:p>
    <w:p w14:paraId="0955CC32" w14:textId="77777777" w:rsidR="00583023" w:rsidRPr="00904486" w:rsidRDefault="00583023">
      <w:pPr>
        <w:jc w:val="both"/>
        <w:rPr>
          <w:highlight w:val="white"/>
          <w:lang w:val="en-US"/>
        </w:rPr>
      </w:pPr>
    </w:p>
    <w:p w14:paraId="3B875C8E" w14:textId="77777777" w:rsidR="00583023" w:rsidRPr="00904486" w:rsidRDefault="008A4680">
      <w:pPr>
        <w:jc w:val="both"/>
        <w:rPr>
          <w:highlight w:val="white"/>
          <w:lang w:val="en-US"/>
        </w:rPr>
      </w:pPr>
      <w:r w:rsidRPr="00904486">
        <w:rPr>
          <w:highlight w:val="white"/>
          <w:lang w:val="en-US"/>
        </w:rPr>
        <w:t xml:space="preserve">2. </w:t>
      </w:r>
      <w:proofErr w:type="spellStart"/>
      <w:r w:rsidRPr="00904486">
        <w:rPr>
          <w:highlight w:val="white"/>
          <w:lang w:val="en-US"/>
        </w:rPr>
        <w:t>Durazzi</w:t>
      </w:r>
      <w:proofErr w:type="spellEnd"/>
      <w:r w:rsidRPr="00904486">
        <w:rPr>
          <w:highlight w:val="white"/>
          <w:lang w:val="en-US"/>
        </w:rPr>
        <w:t xml:space="preserve">, F., Sala, C., Castellani, G. </w:t>
      </w:r>
      <w:r w:rsidRPr="00904486">
        <w:rPr>
          <w:i/>
          <w:highlight w:val="white"/>
          <w:lang w:val="en-US"/>
        </w:rPr>
        <w:t>et al.</w:t>
      </w:r>
      <w:r w:rsidRPr="00904486">
        <w:rPr>
          <w:highlight w:val="white"/>
          <w:lang w:val="en-US"/>
        </w:rPr>
        <w:t xml:space="preserve"> Comparison be</w:t>
      </w:r>
      <w:r w:rsidRPr="00904486">
        <w:rPr>
          <w:highlight w:val="white"/>
          <w:lang w:val="en-US"/>
        </w:rPr>
        <w:t xml:space="preserve">tween 16S rRNA and shotgun sequencing data for the taxonomic characterization of the gut microbiota. </w:t>
      </w:r>
      <w:r w:rsidRPr="00904486">
        <w:rPr>
          <w:i/>
          <w:highlight w:val="white"/>
          <w:lang w:val="en-US"/>
        </w:rPr>
        <w:t>Sci Rep</w:t>
      </w:r>
      <w:r w:rsidRPr="00904486">
        <w:rPr>
          <w:highlight w:val="white"/>
          <w:lang w:val="en-US"/>
        </w:rPr>
        <w:t xml:space="preserve"> 11, 3030 (2021). https://doi.org/10.1038/s41598-021-82726-y </w:t>
      </w:r>
    </w:p>
    <w:p w14:paraId="52F67B82" w14:textId="77777777" w:rsidR="00583023" w:rsidRPr="00904486" w:rsidRDefault="00583023">
      <w:pPr>
        <w:jc w:val="both"/>
        <w:rPr>
          <w:highlight w:val="white"/>
          <w:lang w:val="en-US"/>
        </w:rPr>
      </w:pPr>
    </w:p>
    <w:p w14:paraId="54ED032A" w14:textId="77777777" w:rsidR="00583023" w:rsidRPr="00904486" w:rsidRDefault="008A4680">
      <w:pPr>
        <w:jc w:val="both"/>
        <w:rPr>
          <w:highlight w:val="white"/>
          <w:lang w:val="en-US"/>
        </w:rPr>
      </w:pPr>
      <w:r w:rsidRPr="00904486">
        <w:rPr>
          <w:highlight w:val="white"/>
          <w:lang w:val="en-US"/>
        </w:rPr>
        <w:t xml:space="preserve">3. Mohanty, </w:t>
      </w:r>
      <w:proofErr w:type="spellStart"/>
      <w:r w:rsidRPr="00904486">
        <w:rPr>
          <w:highlight w:val="white"/>
          <w:lang w:val="en-US"/>
        </w:rPr>
        <w:t>Rinkee</w:t>
      </w:r>
      <w:proofErr w:type="spellEnd"/>
      <w:r w:rsidRPr="00904486">
        <w:rPr>
          <w:highlight w:val="white"/>
          <w:lang w:val="en-US"/>
        </w:rPr>
        <w:t xml:space="preserve"> et al. “Red complex: Polymicrobial conglomerate in oral flora: A r</w:t>
      </w:r>
      <w:r w:rsidRPr="00904486">
        <w:rPr>
          <w:highlight w:val="white"/>
          <w:lang w:val="en-US"/>
        </w:rPr>
        <w:t xml:space="preserve">eview.” </w:t>
      </w:r>
      <w:r w:rsidRPr="00904486">
        <w:rPr>
          <w:i/>
          <w:highlight w:val="white"/>
          <w:lang w:val="en-US"/>
        </w:rPr>
        <w:t>Journal of family medicine and primary care</w:t>
      </w:r>
      <w:r w:rsidRPr="00904486">
        <w:rPr>
          <w:highlight w:val="white"/>
          <w:lang w:val="en-US"/>
        </w:rPr>
        <w:t xml:space="preserve"> vol. 8,11 3480-3486. 15 Nov. 2019, </w:t>
      </w:r>
      <w:proofErr w:type="gramStart"/>
      <w:r w:rsidRPr="00904486">
        <w:rPr>
          <w:highlight w:val="white"/>
          <w:lang w:val="en-US"/>
        </w:rPr>
        <w:t>doi:10.4103/jfmpc.jfmpc</w:t>
      </w:r>
      <w:proofErr w:type="gramEnd"/>
      <w:r w:rsidRPr="00904486">
        <w:rPr>
          <w:highlight w:val="white"/>
          <w:lang w:val="en-US"/>
        </w:rPr>
        <w:t>_759_19</w:t>
      </w:r>
    </w:p>
    <w:p w14:paraId="239F5367" w14:textId="77777777" w:rsidR="00583023" w:rsidRPr="00904486" w:rsidRDefault="00583023">
      <w:pPr>
        <w:jc w:val="both"/>
        <w:rPr>
          <w:highlight w:val="white"/>
          <w:lang w:val="en-US"/>
        </w:rPr>
      </w:pPr>
    </w:p>
    <w:p w14:paraId="324F5489" w14:textId="77777777" w:rsidR="00583023" w:rsidRPr="00904486" w:rsidRDefault="008A4680">
      <w:pPr>
        <w:jc w:val="both"/>
        <w:rPr>
          <w:highlight w:val="white"/>
          <w:lang w:val="en-US"/>
        </w:rPr>
      </w:pPr>
      <w:r w:rsidRPr="00904486">
        <w:rPr>
          <w:highlight w:val="white"/>
          <w:lang w:val="en-US"/>
        </w:rPr>
        <w:t xml:space="preserve">4. Qian, W., Ma, T., Ye, M. </w:t>
      </w:r>
      <w:r w:rsidRPr="00904486">
        <w:rPr>
          <w:i/>
          <w:highlight w:val="white"/>
          <w:lang w:val="en-US"/>
        </w:rPr>
        <w:t>et al.</w:t>
      </w:r>
      <w:r w:rsidRPr="00904486">
        <w:rPr>
          <w:highlight w:val="white"/>
          <w:lang w:val="en-US"/>
        </w:rPr>
        <w:t xml:space="preserve"> Microbiota in the apical root canal system of tooth with apical periodontitis. </w:t>
      </w:r>
      <w:r w:rsidRPr="00904486">
        <w:rPr>
          <w:i/>
          <w:highlight w:val="white"/>
          <w:lang w:val="en-US"/>
        </w:rPr>
        <w:t>BMC Genomics</w:t>
      </w:r>
      <w:r w:rsidRPr="00904486">
        <w:rPr>
          <w:highlight w:val="white"/>
          <w:lang w:val="en-US"/>
        </w:rPr>
        <w:t xml:space="preserve"> 20, 189 (2</w:t>
      </w:r>
      <w:r w:rsidRPr="00904486">
        <w:rPr>
          <w:highlight w:val="white"/>
          <w:lang w:val="en-US"/>
        </w:rPr>
        <w:t>019). https://doi.org/10.1186/s12864-019-5474-y</w:t>
      </w:r>
    </w:p>
    <w:p w14:paraId="286AD580" w14:textId="77777777" w:rsidR="00583023" w:rsidRPr="00904486" w:rsidRDefault="00583023">
      <w:pPr>
        <w:jc w:val="both"/>
        <w:rPr>
          <w:highlight w:val="white"/>
          <w:lang w:val="en-US"/>
        </w:rPr>
      </w:pPr>
    </w:p>
    <w:p w14:paraId="258D5F27" w14:textId="77777777" w:rsidR="00583023" w:rsidRPr="00904486" w:rsidRDefault="008A4680">
      <w:pPr>
        <w:jc w:val="both"/>
        <w:rPr>
          <w:highlight w:val="white"/>
          <w:lang w:val="en-US"/>
        </w:rPr>
      </w:pPr>
      <w:r w:rsidRPr="00904486">
        <w:rPr>
          <w:highlight w:val="white"/>
          <w:lang w:val="en-US"/>
        </w:rPr>
        <w:lastRenderedPageBreak/>
        <w:t xml:space="preserve">5. </w:t>
      </w:r>
      <w:proofErr w:type="spellStart"/>
      <w:r w:rsidRPr="00904486">
        <w:rPr>
          <w:highlight w:val="white"/>
          <w:lang w:val="en-US"/>
        </w:rPr>
        <w:t>Rôças</w:t>
      </w:r>
      <w:proofErr w:type="spellEnd"/>
      <w:r w:rsidRPr="00904486">
        <w:rPr>
          <w:highlight w:val="white"/>
          <w:lang w:val="en-US"/>
        </w:rPr>
        <w:t xml:space="preserve"> IN, Siqueira JF, Santos KR, Coelho AM (April 2001). ""Red complex" (Bacteroides </w:t>
      </w:r>
      <w:proofErr w:type="spellStart"/>
      <w:r w:rsidRPr="00904486">
        <w:rPr>
          <w:highlight w:val="white"/>
          <w:lang w:val="en-US"/>
        </w:rPr>
        <w:t>forsythus</w:t>
      </w:r>
      <w:proofErr w:type="spellEnd"/>
      <w:r w:rsidRPr="00904486">
        <w:rPr>
          <w:highlight w:val="white"/>
          <w:lang w:val="en-US"/>
        </w:rPr>
        <w:t xml:space="preserve">, </w:t>
      </w:r>
      <w:proofErr w:type="spellStart"/>
      <w:r w:rsidRPr="00904486">
        <w:rPr>
          <w:highlight w:val="white"/>
          <w:lang w:val="en-US"/>
        </w:rPr>
        <w:t>Porphyromonas</w:t>
      </w:r>
      <w:proofErr w:type="spellEnd"/>
      <w:r w:rsidRPr="00904486">
        <w:rPr>
          <w:highlight w:val="white"/>
          <w:lang w:val="en-US"/>
        </w:rPr>
        <w:t xml:space="preserve"> </w:t>
      </w:r>
      <w:proofErr w:type="spellStart"/>
      <w:r w:rsidRPr="00904486">
        <w:rPr>
          <w:highlight w:val="white"/>
          <w:lang w:val="en-US"/>
        </w:rPr>
        <w:t>gingivalis</w:t>
      </w:r>
      <w:proofErr w:type="spellEnd"/>
      <w:r w:rsidRPr="00904486">
        <w:rPr>
          <w:highlight w:val="white"/>
          <w:lang w:val="en-US"/>
        </w:rPr>
        <w:t xml:space="preserve">, and Treponema </w:t>
      </w:r>
      <w:proofErr w:type="spellStart"/>
      <w:r w:rsidRPr="00904486">
        <w:rPr>
          <w:highlight w:val="white"/>
          <w:lang w:val="en-US"/>
        </w:rPr>
        <w:t>denticola</w:t>
      </w:r>
      <w:proofErr w:type="spellEnd"/>
      <w:r w:rsidRPr="00904486">
        <w:rPr>
          <w:highlight w:val="white"/>
          <w:lang w:val="en-US"/>
        </w:rPr>
        <w:t xml:space="preserve">) in endodontic infections: a molecular approach". </w:t>
      </w:r>
      <w:r w:rsidRPr="00904486">
        <w:rPr>
          <w:i/>
          <w:highlight w:val="white"/>
          <w:lang w:val="en-US"/>
        </w:rPr>
        <w:t>Oral Su</w:t>
      </w:r>
      <w:r w:rsidRPr="00904486">
        <w:rPr>
          <w:i/>
          <w:highlight w:val="white"/>
          <w:lang w:val="en-US"/>
        </w:rPr>
        <w:t>rgery, Oral Medicine, Oral Pathology, Oral Radiology, and Endodontics</w:t>
      </w:r>
      <w:r w:rsidRPr="00904486">
        <w:rPr>
          <w:highlight w:val="white"/>
          <w:lang w:val="en-US"/>
        </w:rPr>
        <w:t xml:space="preserve">. </w:t>
      </w:r>
      <w:r w:rsidRPr="00904486">
        <w:rPr>
          <w:b/>
          <w:highlight w:val="white"/>
          <w:lang w:val="en-US"/>
        </w:rPr>
        <w:t>91</w:t>
      </w:r>
      <w:r w:rsidRPr="00904486">
        <w:rPr>
          <w:highlight w:val="white"/>
          <w:lang w:val="en-US"/>
        </w:rPr>
        <w:t xml:space="preserve"> (4): 468–71. doi:10.1067/moe.2001.114379. PMID 11312465</w:t>
      </w:r>
    </w:p>
    <w:p w14:paraId="3B8811DE" w14:textId="77777777" w:rsidR="00583023" w:rsidRPr="00904486" w:rsidRDefault="00583023">
      <w:pPr>
        <w:jc w:val="both"/>
        <w:rPr>
          <w:highlight w:val="white"/>
          <w:lang w:val="en-US"/>
        </w:rPr>
      </w:pPr>
    </w:p>
    <w:p w14:paraId="6E223C0D" w14:textId="77777777" w:rsidR="00583023" w:rsidRPr="00904486" w:rsidRDefault="008A4680">
      <w:pPr>
        <w:jc w:val="both"/>
        <w:rPr>
          <w:highlight w:val="white"/>
          <w:lang w:val="en-US"/>
        </w:rPr>
      </w:pPr>
      <w:r w:rsidRPr="00904486">
        <w:rPr>
          <w:highlight w:val="white"/>
          <w:lang w:val="en-US"/>
        </w:rPr>
        <w:t xml:space="preserve">6. Smibert, R. M., Johnson, J. L., &amp; Ranney, R. R. (October 1984). "Treponema </w:t>
      </w:r>
      <w:proofErr w:type="spellStart"/>
      <w:r w:rsidRPr="00904486">
        <w:rPr>
          <w:highlight w:val="white"/>
          <w:lang w:val="en-US"/>
        </w:rPr>
        <w:t>socranskii</w:t>
      </w:r>
      <w:proofErr w:type="spellEnd"/>
      <w:r w:rsidRPr="00904486">
        <w:rPr>
          <w:highlight w:val="white"/>
          <w:lang w:val="en-US"/>
        </w:rPr>
        <w:t xml:space="preserve"> sp. </w:t>
      </w:r>
      <w:proofErr w:type="spellStart"/>
      <w:r w:rsidRPr="00904486">
        <w:rPr>
          <w:highlight w:val="white"/>
          <w:lang w:val="en-US"/>
        </w:rPr>
        <w:t>nov.</w:t>
      </w:r>
      <w:proofErr w:type="spellEnd"/>
      <w:r w:rsidRPr="00904486">
        <w:rPr>
          <w:highlight w:val="white"/>
          <w:lang w:val="en-US"/>
        </w:rPr>
        <w:t xml:space="preserve"> Treponema </w:t>
      </w:r>
      <w:proofErr w:type="spellStart"/>
      <w:r w:rsidRPr="00904486">
        <w:rPr>
          <w:highlight w:val="white"/>
          <w:lang w:val="en-US"/>
        </w:rPr>
        <w:t>socranskii</w:t>
      </w:r>
      <w:proofErr w:type="spellEnd"/>
      <w:r w:rsidRPr="00904486">
        <w:rPr>
          <w:highlight w:val="white"/>
          <w:lang w:val="en-US"/>
        </w:rPr>
        <w:t xml:space="preserve"> subsp.</w:t>
      </w:r>
      <w:r w:rsidRPr="00904486">
        <w:rPr>
          <w:highlight w:val="white"/>
          <w:lang w:val="en-US"/>
        </w:rPr>
        <w:t xml:space="preserve"> </w:t>
      </w:r>
      <w:proofErr w:type="spellStart"/>
      <w:r w:rsidRPr="00904486">
        <w:rPr>
          <w:highlight w:val="white"/>
          <w:lang w:val="en-US"/>
        </w:rPr>
        <w:t>socranskii</w:t>
      </w:r>
      <w:proofErr w:type="spellEnd"/>
      <w:r w:rsidRPr="00904486">
        <w:rPr>
          <w:highlight w:val="white"/>
          <w:lang w:val="en-US"/>
        </w:rPr>
        <w:t xml:space="preserve"> subsp. </w:t>
      </w:r>
      <w:proofErr w:type="spellStart"/>
      <w:r w:rsidRPr="00904486">
        <w:rPr>
          <w:highlight w:val="white"/>
          <w:lang w:val="en-US"/>
        </w:rPr>
        <w:t>nov.</w:t>
      </w:r>
      <w:proofErr w:type="spellEnd"/>
      <w:r w:rsidRPr="00904486">
        <w:rPr>
          <w:highlight w:val="white"/>
          <w:lang w:val="en-US"/>
        </w:rPr>
        <w:t xml:space="preserve"> Treponema </w:t>
      </w:r>
      <w:proofErr w:type="spellStart"/>
      <w:r w:rsidRPr="00904486">
        <w:rPr>
          <w:highlight w:val="white"/>
          <w:lang w:val="en-US"/>
        </w:rPr>
        <w:t>socranskii</w:t>
      </w:r>
      <w:proofErr w:type="spellEnd"/>
      <w:r w:rsidRPr="00904486">
        <w:rPr>
          <w:highlight w:val="white"/>
          <w:lang w:val="en-US"/>
        </w:rPr>
        <w:t xml:space="preserve"> subsp. </w:t>
      </w:r>
      <w:proofErr w:type="spellStart"/>
      <w:r w:rsidRPr="00904486">
        <w:rPr>
          <w:highlight w:val="white"/>
          <w:lang w:val="en-US"/>
        </w:rPr>
        <w:t>buccale</w:t>
      </w:r>
      <w:proofErr w:type="spellEnd"/>
      <w:r w:rsidRPr="00904486">
        <w:rPr>
          <w:highlight w:val="white"/>
          <w:lang w:val="en-US"/>
        </w:rPr>
        <w:t xml:space="preserve"> subsp. </w:t>
      </w:r>
      <w:proofErr w:type="spellStart"/>
      <w:r w:rsidRPr="00904486">
        <w:rPr>
          <w:highlight w:val="white"/>
          <w:lang w:val="en-US"/>
        </w:rPr>
        <w:t>nov.</w:t>
      </w:r>
      <w:proofErr w:type="spellEnd"/>
      <w:r w:rsidRPr="00904486">
        <w:rPr>
          <w:highlight w:val="white"/>
          <w:lang w:val="en-US"/>
        </w:rPr>
        <w:t xml:space="preserve">, and Treponema </w:t>
      </w:r>
      <w:proofErr w:type="spellStart"/>
      <w:r w:rsidRPr="00904486">
        <w:rPr>
          <w:highlight w:val="white"/>
          <w:lang w:val="en-US"/>
        </w:rPr>
        <w:t>socranskii</w:t>
      </w:r>
      <w:proofErr w:type="spellEnd"/>
      <w:r w:rsidRPr="00904486">
        <w:rPr>
          <w:highlight w:val="white"/>
          <w:lang w:val="en-US"/>
        </w:rPr>
        <w:t xml:space="preserve"> subsp. </w:t>
      </w:r>
      <w:proofErr w:type="spellStart"/>
      <w:r w:rsidRPr="00904486">
        <w:rPr>
          <w:highlight w:val="white"/>
          <w:lang w:val="en-US"/>
        </w:rPr>
        <w:t>paredis</w:t>
      </w:r>
      <w:proofErr w:type="spellEnd"/>
      <w:r w:rsidRPr="00904486">
        <w:rPr>
          <w:highlight w:val="white"/>
          <w:lang w:val="en-US"/>
        </w:rPr>
        <w:t xml:space="preserve"> subsp. </w:t>
      </w:r>
      <w:proofErr w:type="spellStart"/>
      <w:r w:rsidRPr="00904486">
        <w:rPr>
          <w:highlight w:val="white"/>
          <w:lang w:val="en-US"/>
        </w:rPr>
        <w:t>nov.</w:t>
      </w:r>
      <w:proofErr w:type="spellEnd"/>
      <w:r w:rsidRPr="00904486">
        <w:rPr>
          <w:highlight w:val="white"/>
          <w:lang w:val="en-US"/>
        </w:rPr>
        <w:t xml:space="preserve"> Isolated from the Human </w:t>
      </w:r>
      <w:proofErr w:type="spellStart"/>
      <w:r w:rsidRPr="00904486">
        <w:rPr>
          <w:highlight w:val="white"/>
          <w:lang w:val="en-US"/>
        </w:rPr>
        <w:t>Periodontia</w:t>
      </w:r>
      <w:proofErr w:type="spellEnd"/>
      <w:r w:rsidRPr="00904486">
        <w:rPr>
          <w:highlight w:val="white"/>
          <w:lang w:val="en-US"/>
        </w:rPr>
        <w:t xml:space="preserve">". </w:t>
      </w:r>
      <w:r w:rsidRPr="00904486">
        <w:rPr>
          <w:i/>
          <w:highlight w:val="white"/>
          <w:lang w:val="en-US"/>
        </w:rPr>
        <w:t>International Journal of Systematic Bacteriology</w:t>
      </w:r>
      <w:r w:rsidRPr="00904486">
        <w:rPr>
          <w:highlight w:val="white"/>
          <w:lang w:val="en-US"/>
        </w:rPr>
        <w:t xml:space="preserve">. </w:t>
      </w:r>
      <w:r w:rsidRPr="00904486">
        <w:rPr>
          <w:b/>
          <w:highlight w:val="white"/>
          <w:lang w:val="en-US"/>
        </w:rPr>
        <w:t>34</w:t>
      </w:r>
      <w:r w:rsidRPr="00904486">
        <w:rPr>
          <w:highlight w:val="white"/>
          <w:lang w:val="en-US"/>
        </w:rPr>
        <w:t xml:space="preserve"> (4): 457–462. doi:10.1099/00207713-34-4-</w:t>
      </w:r>
      <w:r w:rsidRPr="00904486">
        <w:rPr>
          <w:highlight w:val="white"/>
          <w:lang w:val="en-US"/>
        </w:rPr>
        <w:t>457</w:t>
      </w:r>
    </w:p>
    <w:p w14:paraId="3266A6B9" w14:textId="77777777" w:rsidR="00583023" w:rsidRPr="00904486" w:rsidRDefault="00583023">
      <w:pPr>
        <w:jc w:val="both"/>
        <w:rPr>
          <w:highlight w:val="white"/>
          <w:lang w:val="en-US"/>
        </w:rPr>
      </w:pPr>
    </w:p>
    <w:p w14:paraId="2716E58B" w14:textId="77777777" w:rsidR="00583023" w:rsidRPr="00904486" w:rsidRDefault="008A4680">
      <w:pPr>
        <w:jc w:val="both"/>
        <w:rPr>
          <w:highlight w:val="white"/>
          <w:lang w:val="en-US"/>
        </w:rPr>
      </w:pPr>
      <w:r w:rsidRPr="00904486">
        <w:rPr>
          <w:highlight w:val="white"/>
          <w:lang w:val="en-US"/>
        </w:rPr>
        <w:t xml:space="preserve">7. Li, W., Atkinson, G., </w:t>
      </w:r>
      <w:proofErr w:type="spellStart"/>
      <w:r w:rsidRPr="00904486">
        <w:rPr>
          <w:highlight w:val="white"/>
          <w:lang w:val="en-US"/>
        </w:rPr>
        <w:t>Thakor</w:t>
      </w:r>
      <w:proofErr w:type="spellEnd"/>
      <w:r w:rsidRPr="00904486">
        <w:rPr>
          <w:highlight w:val="white"/>
          <w:lang w:val="en-US"/>
        </w:rPr>
        <w:t xml:space="preserve">, N. </w:t>
      </w:r>
      <w:r w:rsidRPr="00904486">
        <w:rPr>
          <w:i/>
          <w:highlight w:val="white"/>
          <w:lang w:val="en-US"/>
        </w:rPr>
        <w:t>et al.</w:t>
      </w:r>
      <w:r w:rsidRPr="00904486">
        <w:rPr>
          <w:highlight w:val="white"/>
          <w:lang w:val="en-US"/>
        </w:rPr>
        <w:t xml:space="preserve"> Mechanism of tetracycline resistance by ribosomal protection protein Tet(O). </w:t>
      </w:r>
      <w:r w:rsidRPr="00904486">
        <w:rPr>
          <w:i/>
          <w:highlight w:val="white"/>
          <w:lang w:val="en-US"/>
        </w:rPr>
        <w:t xml:space="preserve">Nat </w:t>
      </w:r>
      <w:proofErr w:type="spellStart"/>
      <w:r w:rsidRPr="00904486">
        <w:rPr>
          <w:i/>
          <w:highlight w:val="white"/>
          <w:lang w:val="en-US"/>
        </w:rPr>
        <w:t>Commun</w:t>
      </w:r>
      <w:proofErr w:type="spellEnd"/>
      <w:r w:rsidRPr="00904486">
        <w:rPr>
          <w:highlight w:val="white"/>
          <w:lang w:val="en-US"/>
        </w:rPr>
        <w:t xml:space="preserve"> 4, 1477 (2013). https://doi.org/10.1038/ncomms2470</w:t>
      </w:r>
    </w:p>
    <w:p w14:paraId="3470D346" w14:textId="77777777" w:rsidR="00583023" w:rsidRPr="00904486" w:rsidRDefault="00583023">
      <w:pPr>
        <w:jc w:val="both"/>
        <w:rPr>
          <w:highlight w:val="white"/>
          <w:lang w:val="en-US"/>
        </w:rPr>
      </w:pPr>
    </w:p>
    <w:p w14:paraId="6765ECBC" w14:textId="77777777" w:rsidR="00583023" w:rsidRPr="00904486" w:rsidRDefault="008A4680">
      <w:pPr>
        <w:jc w:val="both"/>
        <w:rPr>
          <w:highlight w:val="white"/>
          <w:lang w:val="en-US"/>
        </w:rPr>
      </w:pPr>
      <w:r w:rsidRPr="00904486">
        <w:rPr>
          <w:highlight w:val="white"/>
          <w:lang w:val="en-US"/>
        </w:rPr>
        <w:t>8. Salyers, A. A., Shoemaker, N. B., Stevens, A. M., &amp; Li, L. Y. (19</w:t>
      </w:r>
      <w:r w:rsidRPr="00904486">
        <w:rPr>
          <w:highlight w:val="white"/>
          <w:lang w:val="en-US"/>
        </w:rPr>
        <w:t xml:space="preserve">95). Conjugative transposons: an unusual and diverse set of integrated gene transfer elements. </w:t>
      </w:r>
      <w:r w:rsidRPr="00904486">
        <w:rPr>
          <w:i/>
          <w:highlight w:val="white"/>
          <w:lang w:val="en-US"/>
        </w:rPr>
        <w:t>Microbiological reviews</w:t>
      </w:r>
      <w:r w:rsidRPr="00904486">
        <w:rPr>
          <w:highlight w:val="white"/>
          <w:lang w:val="en-US"/>
        </w:rPr>
        <w:t xml:space="preserve">, </w:t>
      </w:r>
      <w:r w:rsidRPr="00904486">
        <w:rPr>
          <w:i/>
          <w:highlight w:val="white"/>
          <w:lang w:val="en-US"/>
        </w:rPr>
        <w:t>59</w:t>
      </w:r>
      <w:r w:rsidRPr="00904486">
        <w:rPr>
          <w:highlight w:val="white"/>
          <w:lang w:val="en-US"/>
        </w:rPr>
        <w:t xml:space="preserve">(4), 579–590. </w:t>
      </w:r>
    </w:p>
    <w:p w14:paraId="4C37CD00" w14:textId="77777777" w:rsidR="00583023" w:rsidRPr="00904486" w:rsidRDefault="00583023">
      <w:pPr>
        <w:jc w:val="both"/>
        <w:rPr>
          <w:highlight w:val="white"/>
          <w:lang w:val="en-US"/>
        </w:rPr>
      </w:pPr>
    </w:p>
    <w:p w14:paraId="13C057A3" w14:textId="77777777" w:rsidR="00583023" w:rsidRDefault="008A4680">
      <w:pPr>
        <w:jc w:val="both"/>
        <w:rPr>
          <w:highlight w:val="white"/>
        </w:rPr>
      </w:pPr>
      <w:r w:rsidRPr="00904486">
        <w:rPr>
          <w:highlight w:val="white"/>
          <w:lang w:val="en-US"/>
        </w:rPr>
        <w:t xml:space="preserve">9. </w:t>
      </w:r>
      <w:proofErr w:type="spellStart"/>
      <w:r w:rsidRPr="00904486">
        <w:rPr>
          <w:highlight w:val="white"/>
          <w:lang w:val="en-US"/>
        </w:rPr>
        <w:t>Etzler</w:t>
      </w:r>
      <w:proofErr w:type="spellEnd"/>
      <w:r w:rsidRPr="00904486">
        <w:rPr>
          <w:highlight w:val="white"/>
          <w:lang w:val="en-US"/>
        </w:rPr>
        <w:t xml:space="preserve"> ME, Varki A, Cummings RL, Esko JD, Freeze HH, Hart GW, eds. (2008). </w:t>
      </w:r>
      <w:r w:rsidRPr="00904486">
        <w:rPr>
          <w:i/>
          <w:highlight w:val="white"/>
          <w:lang w:val="en-US"/>
        </w:rPr>
        <w:t>Essentials of Glycobiology</w:t>
      </w:r>
      <w:r w:rsidRPr="00904486">
        <w:rPr>
          <w:highlight w:val="white"/>
          <w:lang w:val="en-US"/>
        </w:rPr>
        <w:t xml:space="preserve"> (2nd ed.). Pl</w:t>
      </w:r>
      <w:r w:rsidRPr="00904486">
        <w:rPr>
          <w:highlight w:val="white"/>
          <w:lang w:val="en-US"/>
        </w:rPr>
        <w:t xml:space="preserve">ainview, N.Y: Cold Spring Harbor Laboratory Press. </w:t>
      </w:r>
      <w:r>
        <w:rPr>
          <w:highlight w:val="white"/>
        </w:rPr>
        <w:t>ISBN 978-0-87969-770-9.</w:t>
      </w:r>
    </w:p>
    <w:p w14:paraId="54EECB80" w14:textId="77777777" w:rsidR="00583023" w:rsidRDefault="00583023">
      <w:pPr>
        <w:jc w:val="both"/>
        <w:rPr>
          <w:highlight w:val="white"/>
        </w:rPr>
      </w:pPr>
    </w:p>
    <w:p w14:paraId="384248D7" w14:textId="77777777" w:rsidR="00583023" w:rsidRDefault="00583023">
      <w:pPr>
        <w:rPr>
          <w:b/>
        </w:rPr>
      </w:pPr>
    </w:p>
    <w:sectPr w:rsidR="005830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23"/>
    <w:rsid w:val="00583023"/>
    <w:rsid w:val="008A4680"/>
    <w:rsid w:val="00904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DBA0"/>
  <w15:docId w15:val="{3E757332-C787-49BE-82AD-4FD4A39B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Текст примечания Знак"/>
    <w:basedOn w:val="a0"/>
    <w:link w:val="a8"/>
    <w:uiPriority w:val="99"/>
    <w:semiHidden/>
    <w:rPr>
      <w:sz w:val="20"/>
      <w:szCs w:val="20"/>
    </w:rPr>
  </w:style>
  <w:style w:type="character" w:styleId="aa">
    <w:name w:val="annotation reference"/>
    <w:basedOn w:val="a0"/>
    <w:uiPriority w:val="99"/>
    <w:semiHidden/>
    <w:unhideWhenUsed/>
    <w:rPr>
      <w:sz w:val="16"/>
      <w:szCs w:val="16"/>
    </w:rPr>
  </w:style>
  <w:style w:type="paragraph" w:styleId="ab">
    <w:name w:val="Balloon Text"/>
    <w:basedOn w:val="a"/>
    <w:link w:val="ac"/>
    <w:uiPriority w:val="99"/>
    <w:semiHidden/>
    <w:unhideWhenUsed/>
    <w:rsid w:val="00904486"/>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904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metagenomics.anl.gov/mgmain.html?mgpage=download&amp;metagenome=mgm4530391.3" TargetMode="External"/><Relationship Id="rId13" Type="http://schemas.openxmlformats.org/officeDocument/2006/relationships/hyperlink" Target="https://www.dropbox.com/s/ajt786ac2ijnra8/SRS014476-Supragingival_plaque.fasta?dl=0"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hyperlink" Target="https://www.dropbox.com/s/f5j52tliumt6etm/G12_assembly.fna.gz?dl=0" TargetMode="External"/><Relationship Id="rId12" Type="http://schemas.openxmlformats.org/officeDocument/2006/relationships/hyperlink" Target="https://www.dropbox.com/s/mwxyzjumb6gc9sz/SRS014472-Buccal_mucosa.fasta?dl=0" TargetMode="External"/><Relationship Id="rId17" Type="http://schemas.openxmlformats.org/officeDocument/2006/relationships/hyperlink" Target="https://view.qiime2.org/" TargetMode="External"/><Relationship Id="rId2" Type="http://schemas.openxmlformats.org/officeDocument/2006/relationships/settings" Target="settings.xml"/><Relationship Id="rId16" Type="http://schemas.openxmlformats.org/officeDocument/2006/relationships/hyperlink" Target="https://www.ncbi.nlm.nih.gov/nuccore/NC_016610.1"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data.qiime2.org/2020.2/common/gg-13-8-99-nb-classifier.qza" TargetMode="External"/><Relationship Id="rId11" Type="http://schemas.openxmlformats.org/officeDocument/2006/relationships/hyperlink" Target="https://www.dropbox.com/s/xyoy6oo12r9mjry/SRS014470-Tongue_dorsum.fasta?dl=0" TargetMode="External"/><Relationship Id="rId24" Type="http://schemas.openxmlformats.org/officeDocument/2006/relationships/theme" Target="theme/theme1.xml"/><Relationship Id="rId5" Type="http://schemas.openxmlformats.org/officeDocument/2006/relationships/hyperlink" Target="https://trace.ncbi.nlm.nih.gov/Traces/sra/?study=SRP029257" TargetMode="External"/><Relationship Id="rId15" Type="http://schemas.openxmlformats.org/officeDocument/2006/relationships/hyperlink" Target="http://hmpdacc.org/HMASM/" TargetMode="External"/><Relationship Id="rId23" Type="http://schemas.openxmlformats.org/officeDocument/2006/relationships/fontTable" Target="fontTable.xml"/><Relationship Id="rId10" Type="http://schemas.openxmlformats.org/officeDocument/2006/relationships/hyperlink" Target="https://www.dropbox.com/s/r6du0tazu7ocyop/SRS014464-Anterior_nares.fasta?dl=0" TargetMode="External"/><Relationship Id="rId19" Type="http://schemas.openxmlformats.org/officeDocument/2006/relationships/image" Target="media/image2.png"/><Relationship Id="rId4" Type="http://schemas.openxmlformats.org/officeDocument/2006/relationships/hyperlink" Target="https://figshare.com/articles/_Dead_man_s_teeth_dataset/12152040" TargetMode="External"/><Relationship Id="rId9" Type="http://schemas.openxmlformats.org/officeDocument/2006/relationships/hyperlink" Target="https://www.dropbox.com/s/aeq9fsoax68h9qk/SRS014459-Stool.fasta?dl=0" TargetMode="External"/><Relationship Id="rId14" Type="http://schemas.openxmlformats.org/officeDocument/2006/relationships/hyperlink" Target="https://www.dropbox.com/s/6oiowqeg447kq1j/SRS014494-Posterior_fornix.fasta?dl=0"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2505</Words>
  <Characters>14279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2022-03-31T11:18:00Z</dcterms:created>
  <dcterms:modified xsi:type="dcterms:W3CDTF">2022-03-31T11:31:00Z</dcterms:modified>
</cp:coreProperties>
</file>