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sz w:val="24"/>
          <w:szCs w:val="24"/>
        </w:rPr>
      </w:pPr>
      <w:bookmarkStart w:colFirst="0" w:colLast="0" w:name="_rp5ldu1mqfi" w:id="0"/>
      <w:bookmarkEnd w:id="0"/>
      <w:r w:rsidDel="00000000" w:rsidR="00000000" w:rsidRPr="00000000">
        <w:rPr>
          <w:b w:val="1"/>
          <w:rtl w:val="0"/>
        </w:rPr>
        <w:t xml:space="preserve">Immune repertoire annotation: </w:t>
        <w:br w:type="textWrapping"/>
        <w:t xml:space="preserve">a RepSeq data analysis tutorial</w:t>
      </w:r>
      <w:r w:rsidDel="00000000" w:rsidR="00000000" w:rsidRPr="00000000">
        <w:rPr>
          <w:rtl w:val="0"/>
        </w:rPr>
      </w:r>
    </w:p>
    <w:p w:rsidR="00000000" w:rsidDel="00000000" w:rsidP="00000000" w:rsidRDefault="00000000" w:rsidRPr="00000000" w14:paraId="00000002">
      <w:pPr>
        <w:pStyle w:val="Heading2"/>
        <w:pageBreakBefore w:val="0"/>
        <w:shd w:fill="ffffff" w:val="clear"/>
        <w:spacing w:after="240" w:lineRule="auto"/>
        <w:rPr>
          <w:b w:val="1"/>
          <w:color w:val="24292e"/>
          <w:sz w:val="24"/>
          <w:szCs w:val="24"/>
        </w:rPr>
      </w:pPr>
      <w:bookmarkStart w:colFirst="0" w:colLast="0" w:name="_3wrlqjaeb4k" w:id="1"/>
      <w:bookmarkEnd w:id="1"/>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3">
      <w:pPr>
        <w:pageBreakBefore w:val="0"/>
        <w:shd w:fill="ffffff" w:val="clear"/>
        <w:spacing w:after="240" w:lineRule="auto"/>
        <w:rPr>
          <w:color w:val="24292e"/>
          <w:sz w:val="24"/>
          <w:szCs w:val="24"/>
        </w:rPr>
      </w:pPr>
      <w:hyperlink r:id="rId6">
        <w:r w:rsidDel="00000000" w:rsidR="00000000" w:rsidRPr="00000000">
          <w:rPr>
            <w:color w:val="1155cc"/>
            <w:sz w:val="24"/>
            <w:szCs w:val="24"/>
            <w:u w:val="single"/>
            <w:rtl w:val="0"/>
          </w:rPr>
          <w:t xml:space="preserve">https://github.com/antigenomics/repseq-annotation-tutorial</w:t>
        </w:r>
      </w:hyperlink>
      <w:r w:rsidDel="00000000" w:rsidR="00000000" w:rsidRPr="00000000">
        <w:rPr>
          <w:rtl w:val="0"/>
        </w:rPr>
      </w:r>
    </w:p>
    <w:p w:rsidR="00000000" w:rsidDel="00000000" w:rsidP="00000000" w:rsidRDefault="00000000" w:rsidRPr="00000000" w14:paraId="00000004">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This tutorial covers some basic aspects of Immune Repertoire Sequencing (RepSeq) data analysis focused on T-cell receptor (TCR) repertoires:</w:t>
      </w:r>
    </w:p>
    <w:p w:rsidR="00000000" w:rsidDel="00000000" w:rsidP="00000000" w:rsidRDefault="00000000" w:rsidRPr="00000000" w14:paraId="00000005">
      <w:pPr>
        <w:pageBreakBefore w:val="0"/>
        <w:numPr>
          <w:ilvl w:val="0"/>
          <w:numId w:val="2"/>
        </w:numPr>
        <w:spacing w:after="0" w:afterAutospacing="0" w:before="240" w:lineRule="auto"/>
        <w:ind w:left="720" w:hanging="360"/>
        <w:rPr/>
      </w:pPr>
      <w:r w:rsidDel="00000000" w:rsidR="00000000" w:rsidRPr="00000000">
        <w:rPr>
          <w:color w:val="24292e"/>
          <w:sz w:val="24"/>
          <w:szCs w:val="24"/>
          <w:rtl w:val="0"/>
        </w:rPr>
        <w:t xml:space="preserve">Repertoire diversity analysis</w:t>
      </w:r>
    </w:p>
    <w:p w:rsidR="00000000" w:rsidDel="00000000" w:rsidP="00000000" w:rsidRDefault="00000000" w:rsidRPr="00000000" w14:paraId="00000006">
      <w:pPr>
        <w:pageBreakBefore w:val="0"/>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Segment usage analysis</w:t>
      </w:r>
    </w:p>
    <w:p w:rsidR="00000000" w:rsidDel="00000000" w:rsidP="00000000" w:rsidRDefault="00000000" w:rsidRPr="00000000" w14:paraId="00000007">
      <w:pPr>
        <w:pageBreakBefore w:val="0"/>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Repertoire overlap analysis</w:t>
      </w:r>
    </w:p>
    <w:p w:rsidR="00000000" w:rsidDel="00000000" w:rsidP="00000000" w:rsidRDefault="00000000" w:rsidRPr="00000000" w14:paraId="00000008">
      <w:pPr>
        <w:pageBreakBefore w:val="0"/>
        <w:numPr>
          <w:ilvl w:val="0"/>
          <w:numId w:val="2"/>
        </w:numPr>
        <w:spacing w:after="480" w:before="0" w:beforeAutospacing="0" w:lineRule="auto"/>
        <w:ind w:left="720" w:hanging="360"/>
        <w:rPr/>
      </w:pPr>
      <w:r w:rsidDel="00000000" w:rsidR="00000000" w:rsidRPr="00000000">
        <w:rPr>
          <w:color w:val="24292e"/>
          <w:sz w:val="24"/>
          <w:szCs w:val="24"/>
          <w:rtl w:val="0"/>
        </w:rPr>
        <w:t xml:space="preserve">Annotation of antigen-specific TCR sequences</w:t>
      </w:r>
    </w:p>
    <w:p w:rsidR="00000000" w:rsidDel="00000000" w:rsidP="00000000" w:rsidRDefault="00000000" w:rsidRPr="00000000" w14:paraId="00000009">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The main idea of this tutorial is to demonstrate the immense amount of information encoded in immune repertoires and the ability to decode relevant characteristics from the RepSeq data using relatively simple bioinformatic/data mining methods.</w:t>
      </w:r>
    </w:p>
    <w:p w:rsidR="00000000" w:rsidDel="00000000" w:rsidP="00000000" w:rsidRDefault="00000000" w:rsidRPr="00000000" w14:paraId="0000000A">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Given a set of unlabeled samples from different donors (generated as shown below), T-cell subpopulations and phenotypes, we can reliably infer the sample origin and even some properties of the immunological status of a (relatively) healthy donor.</w:t>
      </w:r>
    </w:p>
    <w:p w:rsidR="00000000" w:rsidDel="00000000" w:rsidP="00000000" w:rsidRDefault="00000000" w:rsidRPr="00000000" w14:paraId="0000000B">
      <w:pPr>
        <w:pageBreakBefore w:val="0"/>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4457700"/>
            <wp:effectExtent b="0" l="0" r="0" t="0"/>
            <wp:docPr descr="Splash" id="1" name="image1.png"/>
            <a:graphic>
              <a:graphicData uri="http://schemas.openxmlformats.org/drawingml/2006/picture">
                <pic:pic>
                  <pic:nvPicPr>
                    <pic:cNvPr descr="Splash"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color w:val="24292e"/>
          <w:sz w:val="24"/>
          <w:szCs w:val="24"/>
          <w:rtl w:val="0"/>
        </w:rPr>
        <w:t xml:space="preserve">This analysis uses 16 samples of 10,000 random reads from two donors from </w:t>
      </w:r>
      <w:hyperlink r:id="rId8">
        <w:r w:rsidDel="00000000" w:rsidR="00000000" w:rsidRPr="00000000">
          <w:rPr>
            <w:color w:val="0366d6"/>
            <w:sz w:val="24"/>
            <w:szCs w:val="24"/>
            <w:u w:val="single"/>
            <w:rtl w:val="0"/>
          </w:rPr>
          <w:t xml:space="preserve">Qi et al. PNAS 2014</w:t>
        </w:r>
      </w:hyperlink>
      <w:r w:rsidDel="00000000" w:rsidR="00000000" w:rsidRPr="00000000">
        <w:rPr>
          <w:color w:val="24292e"/>
          <w:sz w:val="24"/>
          <w:szCs w:val="24"/>
          <w:rtl w:val="0"/>
        </w:rPr>
        <w:t xml:space="preserve"> study (sample labels and TCR nucleotide sequences are removed).</w:t>
      </w:r>
    </w:p>
    <w:p w:rsidR="00000000" w:rsidDel="00000000" w:rsidP="00000000" w:rsidRDefault="00000000" w:rsidRPr="00000000" w14:paraId="0000000C">
      <w:pPr>
        <w:pStyle w:val="Heading2"/>
        <w:pageBreakBefore w:val="0"/>
        <w:rPr>
          <w:b w:val="1"/>
        </w:rPr>
      </w:pPr>
      <w:bookmarkStart w:colFirst="0" w:colLast="0" w:name="_lcjylpfcez5v" w:id="2"/>
      <w:bookmarkEnd w:id="2"/>
      <w:r w:rsidDel="00000000" w:rsidR="00000000" w:rsidRPr="00000000">
        <w:rPr>
          <w:b w:val="1"/>
          <w:rtl w:val="0"/>
        </w:rPr>
        <w:t xml:space="preserve">The assignment</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Using the analysis results we’ve obtained we need to assign feature labels to each sample. Namely, you need to fill the table with the following structure:</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jc w:val="center"/>
              <w:rPr>
                <w:sz w:val="24"/>
                <w:szCs w:val="24"/>
              </w:rPr>
            </w:pPr>
            <w:r w:rsidDel="00000000" w:rsidR="00000000" w:rsidRPr="00000000">
              <w:rPr>
                <w:sz w:val="24"/>
                <w:szCs w:val="24"/>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sz w:val="24"/>
                <w:szCs w:val="24"/>
              </w:rPr>
            </w:pPr>
            <w:r w:rsidDel="00000000" w:rsidR="00000000" w:rsidRPr="00000000">
              <w:rPr>
                <w:sz w:val="24"/>
                <w:szCs w:val="24"/>
                <w:rtl w:val="0"/>
              </w:rPr>
              <w:t xml:space="preserve">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jc w:val="center"/>
              <w:rPr>
                <w:sz w:val="24"/>
                <w:szCs w:val="24"/>
              </w:rPr>
            </w:pPr>
            <w:r w:rsidDel="00000000" w:rsidR="00000000" w:rsidRPr="00000000">
              <w:rPr>
                <w:sz w:val="24"/>
                <w:szCs w:val="24"/>
                <w:rtl w:val="0"/>
              </w:rPr>
              <w:t xml:space="preserve">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sz w:val="24"/>
                <w:szCs w:val="24"/>
              </w:rPr>
            </w:pPr>
            <w:r w:rsidDel="00000000" w:rsidR="00000000" w:rsidRPr="00000000">
              <w:rPr>
                <w:sz w:val="24"/>
                <w:szCs w:val="24"/>
                <w:rtl w:val="0"/>
              </w:rPr>
              <w:t xml:space="preserve">Phenotype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jc w:val="center"/>
              <w:rPr>
                <w:sz w:val="24"/>
                <w:szCs w:val="24"/>
              </w:rPr>
            </w:pPr>
            <w:r w:rsidDel="00000000" w:rsidR="00000000" w:rsidRPr="00000000">
              <w:rPr>
                <w:sz w:val="24"/>
                <w:szCs w:val="24"/>
                <w:rtl w:val="0"/>
              </w:rPr>
              <w:t xml:space="preserve">CMVstatus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CMV-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sz w:val="24"/>
                <w:szCs w:val="24"/>
              </w:rPr>
            </w:pPr>
            <w:r w:rsidDel="00000000" w:rsidR="00000000" w:rsidRPr="00000000">
              <w:rPr>
                <w:sz w:val="24"/>
                <w:szCs w:val="24"/>
                <w:rtl w:val="0"/>
              </w:rPr>
              <w:t xml:space="preserve">CD4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CMV+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CMV-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29">
      <w:pPr>
        <w:pageBreakBefore w:val="0"/>
        <w:rPr>
          <w:b w:val="1"/>
          <w:sz w:val="24"/>
          <w:szCs w:val="24"/>
        </w:rPr>
      </w:pPr>
      <w:r w:rsidDel="00000000" w:rsidR="00000000" w:rsidRPr="00000000">
        <w:rPr>
          <w:b w:val="1"/>
          <w:sz w:val="24"/>
          <w:szCs w:val="24"/>
          <w:rtl w:val="0"/>
        </w:rPr>
        <w:t xml:space="preserve">Table filling rules:</w:t>
      </w:r>
    </w:p>
    <w:p w:rsidR="00000000" w:rsidDel="00000000" w:rsidP="00000000" w:rsidRDefault="00000000" w:rsidRPr="00000000" w14:paraId="0000002A">
      <w:pPr>
        <w:pageBreakBefore w:val="0"/>
        <w:numPr>
          <w:ilvl w:val="0"/>
          <w:numId w:val="3"/>
        </w:numPr>
        <w:ind w:left="720" w:hanging="360"/>
        <w:rPr>
          <w:sz w:val="24"/>
          <w:szCs w:val="24"/>
          <w:u w:val="none"/>
        </w:rPr>
      </w:pPr>
      <w:r w:rsidDel="00000000" w:rsidR="00000000" w:rsidRPr="00000000">
        <w:rPr>
          <w:sz w:val="24"/>
          <w:szCs w:val="24"/>
          <w:rtl w:val="0"/>
        </w:rPr>
        <w:t xml:space="preserve">Column names should match those on previous slide</w:t>
      </w:r>
    </w:p>
    <w:p w:rsidR="00000000" w:rsidDel="00000000" w:rsidP="00000000" w:rsidRDefault="00000000" w:rsidRPr="00000000" w14:paraId="0000002B">
      <w:pPr>
        <w:pageBreakBefore w:val="0"/>
        <w:numPr>
          <w:ilvl w:val="0"/>
          <w:numId w:val="3"/>
        </w:numPr>
        <w:ind w:left="720" w:hanging="360"/>
        <w:rPr>
          <w:sz w:val="24"/>
          <w:szCs w:val="24"/>
          <w:u w:val="none"/>
        </w:rPr>
      </w:pPr>
      <w:r w:rsidDel="00000000" w:rsidR="00000000" w:rsidRPr="00000000">
        <w:rPr>
          <w:sz w:val="24"/>
          <w:szCs w:val="24"/>
          <w:rtl w:val="0"/>
        </w:rPr>
        <w:t xml:space="preserve">Sample id should be one of s1::s16</w:t>
      </w:r>
    </w:p>
    <w:p w:rsidR="00000000" w:rsidDel="00000000" w:rsidP="00000000" w:rsidRDefault="00000000" w:rsidRPr="00000000" w14:paraId="0000002C">
      <w:pPr>
        <w:pageBreakBefore w:val="0"/>
        <w:numPr>
          <w:ilvl w:val="0"/>
          <w:numId w:val="3"/>
        </w:numPr>
        <w:ind w:left="720" w:hanging="360"/>
        <w:rPr>
          <w:sz w:val="24"/>
          <w:szCs w:val="24"/>
          <w:u w:val="none"/>
        </w:rPr>
      </w:pPr>
      <w:r w:rsidDel="00000000" w:rsidR="00000000" w:rsidRPr="00000000">
        <w:rPr>
          <w:sz w:val="24"/>
          <w:szCs w:val="24"/>
          <w:rtl w:val="0"/>
        </w:rPr>
        <w:t xml:space="preserve">Two distinct donor IDs should be used, naming doesn’t matter</w:t>
      </w:r>
    </w:p>
    <w:p w:rsidR="00000000" w:rsidDel="00000000" w:rsidP="00000000" w:rsidRDefault="00000000" w:rsidRPr="00000000" w14:paraId="0000002D">
      <w:pPr>
        <w:pageBreakBefore w:val="0"/>
        <w:numPr>
          <w:ilvl w:val="0"/>
          <w:numId w:val="3"/>
        </w:numPr>
        <w:ind w:left="720" w:hanging="360"/>
        <w:rPr>
          <w:sz w:val="24"/>
          <w:szCs w:val="24"/>
          <w:u w:val="none"/>
        </w:rPr>
      </w:pPr>
      <w:r w:rsidDel="00000000" w:rsidR="00000000" w:rsidRPr="00000000">
        <w:rPr>
          <w:sz w:val="24"/>
          <w:szCs w:val="24"/>
          <w:rtl w:val="0"/>
        </w:rPr>
        <w:t xml:space="preserve">Subset should be either CD4 or CD8</w:t>
      </w:r>
    </w:p>
    <w:p w:rsidR="00000000" w:rsidDel="00000000" w:rsidP="00000000" w:rsidRDefault="00000000" w:rsidRPr="00000000" w14:paraId="0000002E">
      <w:pPr>
        <w:pageBreakBefore w:val="0"/>
        <w:numPr>
          <w:ilvl w:val="0"/>
          <w:numId w:val="3"/>
        </w:numPr>
        <w:ind w:left="720" w:hanging="360"/>
        <w:rPr>
          <w:sz w:val="24"/>
          <w:szCs w:val="24"/>
          <w:u w:val="none"/>
        </w:rPr>
      </w:pPr>
      <w:r w:rsidDel="00000000" w:rsidR="00000000" w:rsidRPr="00000000">
        <w:rPr>
          <w:sz w:val="24"/>
          <w:szCs w:val="24"/>
          <w:rtl w:val="0"/>
        </w:rPr>
        <w:t xml:space="preserve">Phenotype should be either memory or naive</w:t>
      </w:r>
    </w:p>
    <w:p w:rsidR="00000000" w:rsidDel="00000000" w:rsidP="00000000" w:rsidRDefault="00000000" w:rsidRPr="00000000" w14:paraId="0000002F">
      <w:pPr>
        <w:pageBreakBefore w:val="0"/>
        <w:numPr>
          <w:ilvl w:val="0"/>
          <w:numId w:val="3"/>
        </w:numPr>
        <w:ind w:left="720" w:hanging="360"/>
        <w:rPr>
          <w:sz w:val="24"/>
          <w:szCs w:val="24"/>
          <w:u w:val="none"/>
        </w:rPr>
      </w:pPr>
      <w:r w:rsidDel="00000000" w:rsidR="00000000" w:rsidRPr="00000000">
        <w:rPr>
          <w:sz w:val="24"/>
          <w:szCs w:val="24"/>
          <w:rtl w:val="0"/>
        </w:rPr>
        <w:t xml:space="preserve">CMV status should be either CMV+ or CMVI Unknown/ambiguous fields should be left blank</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b w:val="1"/>
          <w:sz w:val="24"/>
          <w:szCs w:val="24"/>
        </w:rPr>
      </w:pPr>
      <w:r w:rsidDel="00000000" w:rsidR="00000000" w:rsidRPr="00000000">
        <w:rPr>
          <w:b w:val="1"/>
          <w:sz w:val="24"/>
          <w:szCs w:val="24"/>
          <w:rtl w:val="0"/>
        </w:rPr>
        <w:t xml:space="preserve">A hint</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While you can unambiguously assign CD4/8 and memory/naive labels, as well as point out biological replicates of the same sample, assigning donor labels is tricky. First, it is impossible to link CD4-CD8 cells of the same donor. Same for CMV status, that is unambiguous only for CD8+ memory T-cells. Therefore I expect that you mark donors in the way they will distinguish samples/replicas coming from the same and different donors. I.e. there is no problem if donor labels are swapped between CD4 and CD8 T-cells as far as they point to distinct donors for CD4 or CD8 T-cells coming from different donor and the same donor for replicas.</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Style w:val="Heading2"/>
        <w:pageBreakBefore w:val="0"/>
        <w:rPr>
          <w:b w:val="1"/>
        </w:rPr>
      </w:pPr>
      <w:bookmarkStart w:colFirst="0" w:colLast="0" w:name="_fyi5izo2wksv" w:id="3"/>
      <w:bookmarkEnd w:id="3"/>
      <w:r w:rsidDel="00000000" w:rsidR="00000000" w:rsidRPr="00000000">
        <w:rPr>
          <w:b w:val="1"/>
          <w:rtl w:val="0"/>
        </w:rPr>
        <w:t xml:space="preserve">Additional materials</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b w:val="1"/>
          <w:sz w:val="24"/>
          <w:szCs w:val="24"/>
        </w:rPr>
      </w:pPr>
      <w:r w:rsidDel="00000000" w:rsidR="00000000" w:rsidRPr="00000000">
        <w:rPr>
          <w:b w:val="1"/>
          <w:sz w:val="24"/>
          <w:szCs w:val="24"/>
          <w:rtl w:val="0"/>
        </w:rPr>
        <w:t xml:space="preserve">To read:</w:t>
      </w:r>
    </w:p>
    <w:p w:rsidR="00000000" w:rsidDel="00000000" w:rsidP="00000000" w:rsidRDefault="00000000" w:rsidRPr="00000000" w14:paraId="00000038">
      <w:pPr>
        <w:pageBreakBefore w:val="0"/>
        <w:numPr>
          <w:ilvl w:val="0"/>
          <w:numId w:val="1"/>
        </w:numPr>
        <w:ind w:left="720" w:hanging="360"/>
        <w:rPr>
          <w:sz w:val="24"/>
          <w:szCs w:val="24"/>
        </w:rPr>
      </w:pPr>
      <w:r w:rsidDel="00000000" w:rsidR="00000000" w:rsidRPr="00000000">
        <w:rPr>
          <w:sz w:val="24"/>
          <w:szCs w:val="24"/>
          <w:rtl w:val="0"/>
        </w:rPr>
        <w:t xml:space="preserve">“Анализ индивидуальных репертуаров Т-клеточных рецепторов”</w:t>
      </w:r>
    </w:p>
    <w:p w:rsidR="00000000" w:rsidDel="00000000" w:rsidP="00000000" w:rsidRDefault="00000000" w:rsidRPr="00000000" w14:paraId="00000039">
      <w:pPr>
        <w:pageBreakBefore w:val="0"/>
        <w:ind w:left="720" w:firstLine="0"/>
        <w:rPr>
          <w:sz w:val="24"/>
          <w:szCs w:val="24"/>
        </w:rPr>
      </w:pPr>
      <w:hyperlink r:id="rId9">
        <w:r w:rsidDel="00000000" w:rsidR="00000000" w:rsidRPr="00000000">
          <w:rPr>
            <w:color w:val="1155cc"/>
            <w:sz w:val="24"/>
            <w:szCs w:val="24"/>
            <w:u w:val="single"/>
            <w:rtl w:val="0"/>
          </w:rPr>
          <w:t xml:space="preserve">https://biomolecula.ru/articles/analiz-individualnykh-repertuarov-t-kletochnykh-retseptorov</w:t>
        </w:r>
      </w:hyperlink>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sz w:val="24"/>
          <w:szCs w:val="24"/>
        </w:rPr>
      </w:pPr>
      <w:r w:rsidDel="00000000" w:rsidR="00000000" w:rsidRPr="00000000">
        <w:rPr>
          <w:sz w:val="24"/>
          <w:szCs w:val="24"/>
          <w:rtl w:val="0"/>
        </w:rPr>
        <w:t xml:space="preserve">“12 методов в картинках: иммунологические технологии”</w:t>
      </w:r>
    </w:p>
    <w:p w:rsidR="00000000" w:rsidDel="00000000" w:rsidP="00000000" w:rsidRDefault="00000000" w:rsidRPr="00000000" w14:paraId="0000003B">
      <w:pPr>
        <w:pageBreakBefore w:val="0"/>
        <w:ind w:left="720" w:firstLine="0"/>
        <w:rPr>
          <w:sz w:val="24"/>
          <w:szCs w:val="24"/>
        </w:rPr>
      </w:pPr>
      <w:hyperlink r:id="rId10">
        <w:r w:rsidDel="00000000" w:rsidR="00000000" w:rsidRPr="00000000">
          <w:rPr>
            <w:color w:val="1155cc"/>
            <w:sz w:val="24"/>
            <w:szCs w:val="24"/>
            <w:u w:val="single"/>
            <w:rtl w:val="0"/>
          </w:rPr>
          <w:t xml:space="preserve">https://biomolecula.ru/articles/12-metodov-v-kartinkakh-immunologicheskie-tekhnologii</w:t>
        </w:r>
      </w:hyperlink>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sz w:val="24"/>
          <w:szCs w:val="24"/>
        </w:rPr>
      </w:pPr>
      <w:r w:rsidDel="00000000" w:rsidR="00000000" w:rsidRPr="00000000">
        <w:rPr>
          <w:sz w:val="24"/>
          <w:szCs w:val="24"/>
          <w:rtl w:val="0"/>
        </w:rPr>
        <w:t xml:space="preserve">Short review: “Single Cell T Cell Receptor Sequencing: Techniques and Future Challenges”</w:t>
      </w:r>
    </w:p>
    <w:p w:rsidR="00000000" w:rsidDel="00000000" w:rsidP="00000000" w:rsidRDefault="00000000" w:rsidRPr="00000000" w14:paraId="0000003D">
      <w:pPr>
        <w:pageBreakBefore w:val="0"/>
        <w:ind w:left="720" w:firstLine="0"/>
        <w:rPr>
          <w:sz w:val="24"/>
          <w:szCs w:val="24"/>
        </w:rPr>
      </w:pPr>
      <w:hyperlink r:id="rId11">
        <w:r w:rsidDel="00000000" w:rsidR="00000000" w:rsidRPr="00000000">
          <w:rPr>
            <w:color w:val="1155cc"/>
            <w:sz w:val="24"/>
            <w:szCs w:val="24"/>
            <w:u w:val="single"/>
            <w:rtl w:val="0"/>
          </w:rPr>
          <w:t xml:space="preserve">https://www.ncbi.nlm.nih.gov/pmc/articles/PMC6058020/</w:t>
        </w:r>
      </w:hyperlink>
      <w:r w:rsidDel="00000000" w:rsidR="00000000" w:rsidRPr="00000000">
        <w:rPr>
          <w:rtl w:val="0"/>
        </w:rPr>
      </w:r>
    </w:p>
    <w:p w:rsidR="00000000" w:rsidDel="00000000" w:rsidP="00000000" w:rsidRDefault="00000000" w:rsidRPr="00000000" w14:paraId="0000003E">
      <w:pPr>
        <w:pageBreakBefore w:val="0"/>
        <w:ind w:left="720" w:firstLine="0"/>
        <w:rPr>
          <w:sz w:val="24"/>
          <w:szCs w:val="24"/>
        </w:rPr>
      </w:pPr>
      <w:r w:rsidDel="00000000" w:rsidR="00000000" w:rsidRPr="00000000">
        <w:rPr>
          <w:rtl w:val="0"/>
        </w:rPr>
      </w:r>
    </w:p>
    <w:p w:rsidR="00000000" w:rsidDel="00000000" w:rsidP="00000000" w:rsidRDefault="00000000" w:rsidRPr="00000000" w14:paraId="0000003F">
      <w:pPr>
        <w:pageBreakBefore w:val="0"/>
        <w:ind w:left="720" w:firstLine="0"/>
        <w:rPr>
          <w:sz w:val="24"/>
          <w:szCs w:val="24"/>
        </w:rPr>
      </w:pPr>
      <w:r w:rsidDel="00000000" w:rsidR="00000000" w:rsidRPr="00000000">
        <w:rPr>
          <w:rtl w:val="0"/>
        </w:rPr>
      </w:r>
    </w:p>
    <w:p w:rsidR="00000000" w:rsidDel="00000000" w:rsidP="00000000" w:rsidRDefault="00000000" w:rsidRPr="00000000" w14:paraId="00000040">
      <w:pPr>
        <w:pageBreakBefore w:val="0"/>
        <w:ind w:left="0" w:firstLine="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b w:val="1"/>
          <w:sz w:val="24"/>
          <w:szCs w:val="24"/>
        </w:rPr>
      </w:pPr>
      <w:r w:rsidDel="00000000" w:rsidR="00000000" w:rsidRPr="00000000">
        <w:rPr>
          <w:b w:val="1"/>
          <w:sz w:val="24"/>
          <w:szCs w:val="24"/>
          <w:rtl w:val="0"/>
        </w:rPr>
        <w:t xml:space="preserve">To watch:</w:t>
      </w:r>
    </w:p>
    <w:p w:rsidR="00000000" w:rsidDel="00000000" w:rsidP="00000000" w:rsidRDefault="00000000" w:rsidRPr="00000000" w14:paraId="00000044">
      <w:pPr>
        <w:pageBreakBefore w:val="0"/>
        <w:numPr>
          <w:ilvl w:val="0"/>
          <w:numId w:val="4"/>
        </w:numPr>
        <w:ind w:left="720" w:hanging="360"/>
        <w:rPr>
          <w:sz w:val="24"/>
          <w:szCs w:val="24"/>
        </w:rPr>
      </w:pPr>
      <w:r w:rsidDel="00000000" w:rsidR="00000000" w:rsidRPr="00000000">
        <w:rPr>
          <w:sz w:val="24"/>
          <w:szCs w:val="24"/>
          <w:rtl w:val="0"/>
        </w:rPr>
        <w:t xml:space="preserve">“Иммуноинформатика: алгоритмический подход к решению прикладных задач иммунологии | Яна Сафонова”</w:t>
      </w:r>
    </w:p>
    <w:p w:rsidR="00000000" w:rsidDel="00000000" w:rsidP="00000000" w:rsidRDefault="00000000" w:rsidRPr="00000000" w14:paraId="00000045">
      <w:pPr>
        <w:pageBreakBefore w:val="0"/>
        <w:ind w:left="720" w:firstLine="0"/>
        <w:rPr>
          <w:sz w:val="24"/>
          <w:szCs w:val="24"/>
        </w:rPr>
      </w:pPr>
      <w:hyperlink r:id="rId12">
        <w:r w:rsidDel="00000000" w:rsidR="00000000" w:rsidRPr="00000000">
          <w:rPr>
            <w:color w:val="1155cc"/>
            <w:sz w:val="24"/>
            <w:szCs w:val="24"/>
            <w:u w:val="single"/>
            <w:rtl w:val="0"/>
          </w:rPr>
          <w:t xml:space="preserve">https://www.youtube.com/watch?v=6UEHdyxRZtw</w:t>
        </w:r>
      </w:hyperlink>
      <w:r w:rsidDel="00000000" w:rsidR="00000000" w:rsidRPr="00000000">
        <w:rPr>
          <w:rtl w:val="0"/>
        </w:rPr>
      </w:r>
    </w:p>
    <w:p w:rsidR="00000000" w:rsidDel="00000000" w:rsidP="00000000" w:rsidRDefault="00000000" w:rsidRPr="00000000" w14:paraId="00000046">
      <w:pPr>
        <w:pageBreakBefore w:val="0"/>
        <w:numPr>
          <w:ilvl w:val="0"/>
          <w:numId w:val="4"/>
        </w:numPr>
        <w:ind w:left="720" w:hanging="360"/>
        <w:rPr>
          <w:sz w:val="24"/>
          <w:szCs w:val="24"/>
        </w:rPr>
      </w:pPr>
      <w:r w:rsidDel="00000000" w:rsidR="00000000" w:rsidRPr="00000000">
        <w:rPr>
          <w:sz w:val="24"/>
          <w:szCs w:val="24"/>
          <w:rtl w:val="0"/>
        </w:rPr>
        <w:t xml:space="preserve">“Молекулярное баркодирование, анализ репертуаров Т-клеточных рецепторов и антител | Дмитрий Чудаков”</w:t>
      </w:r>
    </w:p>
    <w:p w:rsidR="00000000" w:rsidDel="00000000" w:rsidP="00000000" w:rsidRDefault="00000000" w:rsidRPr="00000000" w14:paraId="00000047">
      <w:pPr>
        <w:pageBreakBefore w:val="0"/>
        <w:ind w:left="720" w:firstLine="0"/>
        <w:rPr>
          <w:sz w:val="24"/>
          <w:szCs w:val="24"/>
        </w:rPr>
      </w:pPr>
      <w:hyperlink r:id="rId13">
        <w:r w:rsidDel="00000000" w:rsidR="00000000" w:rsidRPr="00000000">
          <w:rPr>
            <w:color w:val="1155cc"/>
            <w:sz w:val="24"/>
            <w:szCs w:val="24"/>
            <w:u w:val="single"/>
            <w:rtl w:val="0"/>
          </w:rPr>
          <w:t xml:space="preserve">https://www.youtube.com/watch?v=88LH7Ge0lRo</w:t>
        </w:r>
      </w:hyperlink>
      <w:r w:rsidDel="00000000" w:rsidR="00000000" w:rsidRPr="00000000">
        <w:rPr>
          <w:rtl w:val="0"/>
        </w:rPr>
      </w:r>
    </w:p>
    <w:p w:rsidR="00000000" w:rsidDel="00000000" w:rsidP="00000000" w:rsidRDefault="00000000" w:rsidRPr="00000000" w14:paraId="00000048">
      <w:pPr>
        <w:pageBreakBefore w:val="0"/>
        <w:ind w:left="720" w:firstLine="0"/>
        <w:rPr>
          <w:sz w:val="24"/>
          <w:szCs w:val="24"/>
        </w:rPr>
      </w:pPr>
      <w:r w:rsidDel="00000000" w:rsidR="00000000" w:rsidRPr="00000000">
        <w:rPr>
          <w:rtl w:val="0"/>
        </w:rPr>
      </w:r>
    </w:p>
    <w:p w:rsidR="00000000" w:rsidDel="00000000" w:rsidP="00000000" w:rsidRDefault="00000000" w:rsidRPr="00000000" w14:paraId="00000049">
      <w:pPr>
        <w:pageBreakBefore w:val="0"/>
        <w:ind w:left="0" w:firstLine="0"/>
        <w:rPr>
          <w:b w:val="1"/>
          <w:sz w:val="24"/>
          <w:szCs w:val="24"/>
        </w:rPr>
      </w:pPr>
      <w:r w:rsidDel="00000000" w:rsidR="00000000" w:rsidRPr="00000000">
        <w:rPr>
          <w:b w:val="1"/>
          <w:sz w:val="24"/>
          <w:szCs w:val="24"/>
          <w:rtl w:val="0"/>
        </w:rPr>
        <w:t xml:space="preserve">To do:</w:t>
      </w:r>
    </w:p>
    <w:p w:rsidR="00000000" w:rsidDel="00000000" w:rsidP="00000000" w:rsidRDefault="00000000" w:rsidRPr="00000000" w14:paraId="0000004A">
      <w:pPr>
        <w:pageBreakBefore w:val="0"/>
        <w:ind w:left="0" w:firstLine="0"/>
        <w:rPr>
          <w:sz w:val="24"/>
          <w:szCs w:val="24"/>
        </w:rPr>
      </w:pPr>
      <w:r w:rsidDel="00000000" w:rsidR="00000000" w:rsidRPr="00000000">
        <w:rPr>
          <w:sz w:val="24"/>
          <w:szCs w:val="24"/>
          <w:rtl w:val="0"/>
        </w:rPr>
        <w:t xml:space="preserve">Another (extended and advanced) RepSeq tutorial, including all analysis steps and tools:</w:t>
      </w:r>
    </w:p>
    <w:p w:rsidR="00000000" w:rsidDel="00000000" w:rsidP="00000000" w:rsidRDefault="00000000" w:rsidRPr="00000000" w14:paraId="0000004B">
      <w:pPr>
        <w:pageBreakBefore w:val="0"/>
        <w:ind w:left="0" w:firstLine="0"/>
        <w:rPr>
          <w:sz w:val="24"/>
          <w:szCs w:val="24"/>
        </w:rPr>
      </w:pPr>
      <w:hyperlink r:id="rId14">
        <w:r w:rsidDel="00000000" w:rsidR="00000000" w:rsidRPr="00000000">
          <w:rPr>
            <w:color w:val="1155cc"/>
            <w:sz w:val="24"/>
            <w:szCs w:val="24"/>
            <w:u w:val="single"/>
            <w:rtl w:val="0"/>
          </w:rPr>
          <w:t xml:space="preserve">https://github.com/mikessh/repseq-tutorial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6058020/" TargetMode="External"/><Relationship Id="rId10" Type="http://schemas.openxmlformats.org/officeDocument/2006/relationships/hyperlink" Target="https://biomolecula.ru/articles/12-metodov-v-kartinkakh-immunologicheskie-tekhnologii" TargetMode="External"/><Relationship Id="rId13" Type="http://schemas.openxmlformats.org/officeDocument/2006/relationships/hyperlink" Target="https://www.youtube.com/watch?v=88LH7Ge0lRo" TargetMode="External"/><Relationship Id="rId12" Type="http://schemas.openxmlformats.org/officeDocument/2006/relationships/hyperlink" Target="https://www.youtube.com/watch?v=6UEHdyxRZt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omolecula.ru/articles/analiz-individualnykh-repertuarov-t-kletochnykh-retseptorov" TargetMode="External"/><Relationship Id="rId14" Type="http://schemas.openxmlformats.org/officeDocument/2006/relationships/hyperlink" Target="https://github.com/mikessh/repseq-tutorial" TargetMode="External"/><Relationship Id="rId5" Type="http://schemas.openxmlformats.org/officeDocument/2006/relationships/styles" Target="styles.xml"/><Relationship Id="rId6" Type="http://schemas.openxmlformats.org/officeDocument/2006/relationships/hyperlink" Target="https://github.com/antigenomics/repseq-annotation-tutorial" TargetMode="External"/><Relationship Id="rId7" Type="http://schemas.openxmlformats.org/officeDocument/2006/relationships/image" Target="media/image1.png"/><Relationship Id="rId8" Type="http://schemas.openxmlformats.org/officeDocument/2006/relationships/hyperlink" Target="http://www.pnas.org/content/111/36/13139.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