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AD65" w14:textId="77777777" w:rsidR="00D316BD" w:rsidRPr="00836C73" w:rsidRDefault="00D316BD" w:rsidP="00D316B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36C73">
        <w:rPr>
          <w:rFonts w:ascii="Times New Roman" w:hAnsi="Times New Roman" w:cs="Times New Roman"/>
          <w:b/>
          <w:bCs/>
          <w:sz w:val="24"/>
          <w:szCs w:val="24"/>
          <w:lang w:val="bg-BG"/>
        </w:rPr>
        <w:t>РУ „Ангел Кънчев“</w:t>
      </w:r>
    </w:p>
    <w:p w14:paraId="460A9A30" w14:textId="77777777" w:rsidR="00D316BD" w:rsidRPr="00836C73" w:rsidRDefault="00D316BD" w:rsidP="00D316B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36C73">
        <w:rPr>
          <w:rFonts w:ascii="Times New Roman" w:hAnsi="Times New Roman" w:cs="Times New Roman"/>
          <w:b/>
          <w:bCs/>
          <w:sz w:val="24"/>
          <w:szCs w:val="24"/>
          <w:lang w:val="bg-BG"/>
        </w:rPr>
        <w:t>Факултет: Електротехника, електроника и автоматика</w:t>
      </w:r>
    </w:p>
    <w:p w14:paraId="1FC9FA82" w14:textId="77777777" w:rsidR="00D316BD" w:rsidRPr="00836C73" w:rsidRDefault="00D316BD" w:rsidP="00D316B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36C73">
        <w:rPr>
          <w:rFonts w:ascii="Times New Roman" w:hAnsi="Times New Roman" w:cs="Times New Roman"/>
          <w:b/>
          <w:bCs/>
          <w:sz w:val="24"/>
          <w:szCs w:val="24"/>
          <w:lang w:val="bg-BG"/>
        </w:rPr>
        <w:t>Катедра: Компютърни системи и технологии</w:t>
      </w:r>
    </w:p>
    <w:p w14:paraId="50E07508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4DF69FA7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0957AB27" w14:textId="77777777" w:rsidR="00D316BD" w:rsidRPr="00D316BD" w:rsidRDefault="00D316BD" w:rsidP="00D316BD">
      <w:pPr>
        <w:jc w:val="center"/>
        <w:rPr>
          <w:rFonts w:ascii="Times New Roman" w:hAnsi="Times New Roman" w:cs="Times New Roman"/>
          <w:sz w:val="20"/>
          <w:szCs w:val="20"/>
          <w:lang w:val="bg-BG"/>
        </w:rPr>
      </w:pPr>
    </w:p>
    <w:p w14:paraId="576718CA" w14:textId="1B662CFA" w:rsidR="00D316BD" w:rsidRPr="00836C73" w:rsidRDefault="00D316BD" w:rsidP="00D316B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  <w:r w:rsidRPr="00836C73">
        <w:rPr>
          <w:rFonts w:ascii="Times New Roman" w:hAnsi="Times New Roman" w:cs="Times New Roman"/>
          <w:b/>
          <w:bCs/>
          <w:sz w:val="40"/>
          <w:szCs w:val="40"/>
          <w:lang w:val="bg-BG"/>
        </w:rPr>
        <w:t>Реферат</w:t>
      </w:r>
    </w:p>
    <w:p w14:paraId="0900007A" w14:textId="28C8CD40" w:rsidR="00D316BD" w:rsidRPr="00836C73" w:rsidRDefault="00D316BD" w:rsidP="00D316B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  <w:r w:rsidRPr="00836C73">
        <w:rPr>
          <w:rFonts w:ascii="Times New Roman" w:hAnsi="Times New Roman" w:cs="Times New Roman"/>
          <w:b/>
          <w:bCs/>
          <w:sz w:val="40"/>
          <w:szCs w:val="40"/>
          <w:lang w:val="bg-BG"/>
        </w:rPr>
        <w:t>по</w:t>
      </w:r>
    </w:p>
    <w:p w14:paraId="601EED1C" w14:textId="77777777" w:rsidR="00D316BD" w:rsidRPr="00836C73" w:rsidRDefault="00D316BD" w:rsidP="00D316B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  <w:r w:rsidRPr="00836C73">
        <w:rPr>
          <w:rFonts w:ascii="Times New Roman" w:hAnsi="Times New Roman" w:cs="Times New Roman"/>
          <w:b/>
          <w:bCs/>
          <w:sz w:val="40"/>
          <w:szCs w:val="40"/>
          <w:lang w:val="bg-BG"/>
        </w:rPr>
        <w:t>Системно програмиране</w:t>
      </w:r>
    </w:p>
    <w:p w14:paraId="1D7B2C22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1958C97A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7E361ED7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7D4A0FEB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1D51A747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608B20D6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5477ADF9" w14:textId="77777777" w:rsidR="00D316BD" w:rsidRPr="00836C73" w:rsidRDefault="00D316BD" w:rsidP="00D316BD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0E5A0972" w14:textId="77777777" w:rsidR="00D316BD" w:rsidRPr="00836C73" w:rsidRDefault="00D316BD" w:rsidP="00D316BD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36C73">
        <w:rPr>
          <w:rFonts w:ascii="Times New Roman" w:hAnsi="Times New Roman" w:cs="Times New Roman"/>
          <w:sz w:val="24"/>
          <w:szCs w:val="24"/>
          <w:lang w:val="bg-BG"/>
        </w:rPr>
        <w:t>Име: Алекс Георгиев Иванов</w:t>
      </w:r>
    </w:p>
    <w:p w14:paraId="2F2901AE" w14:textId="77777777" w:rsidR="00D316BD" w:rsidRPr="00836C73" w:rsidRDefault="00D316BD" w:rsidP="00D316BD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36C73">
        <w:rPr>
          <w:rFonts w:ascii="Times New Roman" w:hAnsi="Times New Roman" w:cs="Times New Roman"/>
          <w:sz w:val="24"/>
          <w:szCs w:val="24"/>
          <w:lang w:val="bg-BG"/>
        </w:rPr>
        <w:t>Група: 25р</w:t>
      </w:r>
    </w:p>
    <w:p w14:paraId="53322A94" w14:textId="77777777" w:rsidR="00D316BD" w:rsidRPr="00836C73" w:rsidRDefault="00D316BD" w:rsidP="00D316BD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36C73">
        <w:rPr>
          <w:rFonts w:ascii="Times New Roman" w:hAnsi="Times New Roman" w:cs="Times New Roman"/>
          <w:sz w:val="24"/>
          <w:szCs w:val="24"/>
          <w:lang w:val="bg-BG"/>
        </w:rPr>
        <w:t>Курс: 3</w:t>
      </w:r>
    </w:p>
    <w:p w14:paraId="46985CB6" w14:textId="77777777" w:rsidR="00D316BD" w:rsidRPr="00836C73" w:rsidRDefault="00D316BD" w:rsidP="00D316BD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36C73">
        <w:rPr>
          <w:rFonts w:ascii="Times New Roman" w:hAnsi="Times New Roman" w:cs="Times New Roman"/>
          <w:sz w:val="24"/>
          <w:szCs w:val="24"/>
          <w:lang w:val="bg-BG"/>
        </w:rPr>
        <w:t>Факултетен номер: 233107</w:t>
      </w:r>
    </w:p>
    <w:p w14:paraId="5E299000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7B8640B0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686CA755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2B5C4A69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0E9F7284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15F8F9AA" w14:textId="77777777" w:rsid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5A65C5FB" w14:textId="77777777" w:rsid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12B8D098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0B8E9BB8" w14:textId="77777777" w:rsidR="00D316BD" w:rsidRPr="00836C73" w:rsidRDefault="00D316BD" w:rsidP="00D316BD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78F894B8" w14:textId="77777777" w:rsidR="00D316BD" w:rsidRPr="00836C73" w:rsidRDefault="00D316BD" w:rsidP="00D316B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36C73">
        <w:rPr>
          <w:rFonts w:ascii="Times New Roman" w:hAnsi="Times New Roman" w:cs="Times New Roman"/>
          <w:b/>
          <w:bCs/>
          <w:sz w:val="24"/>
          <w:szCs w:val="24"/>
          <w:lang w:val="bg-BG"/>
        </w:rPr>
        <w:t>СРАВНИТЕЛЕН АНАЛИЗ НА ПРОЦЕСОРИТЕ</w:t>
      </w:r>
    </w:p>
    <w:p w14:paraId="736E3D7E" w14:textId="77777777" w:rsidR="00D316BD" w:rsidRPr="00836C73" w:rsidRDefault="00D316BD" w:rsidP="00D316B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36C73">
        <w:rPr>
          <w:rFonts w:ascii="Times New Roman" w:hAnsi="Times New Roman" w:cs="Times New Roman"/>
          <w:b/>
          <w:bCs/>
          <w:sz w:val="24"/>
          <w:szCs w:val="24"/>
          <w:lang w:val="bg-BG"/>
        </w:rPr>
        <w:t>INTEL CORE i5-11500HE И AMD A4-4400M</w:t>
      </w:r>
    </w:p>
    <w:p w14:paraId="673A0521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37E3B4A8" w14:textId="77777777" w:rsidR="00D316BD" w:rsidRPr="00D316BD" w:rsidRDefault="00D316BD" w:rsidP="00D316BD">
      <w:pPr>
        <w:rPr>
          <w:rFonts w:ascii="Times New Roman" w:hAnsi="Times New Roman" w:cs="Times New Roman"/>
          <w:sz w:val="20"/>
          <w:szCs w:val="20"/>
          <w:lang w:val="bg-BG"/>
        </w:rPr>
      </w:pPr>
    </w:p>
    <w:p w14:paraId="63F6BC8E" w14:textId="3A5E941A" w:rsidR="00D316BD" w:rsidRPr="00836C73" w:rsidRDefault="00D316BD" w:rsidP="00D316BD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b/>
          <w:bCs/>
          <w:sz w:val="21"/>
          <w:szCs w:val="21"/>
          <w:lang w:val="bg-BG"/>
        </w:rPr>
        <w:t>Въведение</w:t>
      </w:r>
    </w:p>
    <w:p w14:paraId="758C2B1D" w14:textId="59646DEE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Настоящият реферат има за цел да представи сравнителен анализ между два процесора от различни поколения и пазарни сегменти – 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и AMD A4-4400M. 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е модерен мобилен процесор от 2021 г., базиран на архитектурата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Tiger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Lake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-H, предназначен за бизнес и индустриални системи. AMD A4-4400M е бюджетен двуядрен процесор за лаптопи, излязъл около 2012 г. и базиран на архитектурата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Trinity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>.</w:t>
      </w:r>
    </w:p>
    <w:p w14:paraId="487A4458" w14:textId="56BFA35A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Чрез сравнение на архитектурата, технологичния процес, броя ядра и нишки, работните честоти, графичните възможности, енергийната ефективност и актуалната им приложимост през 2025 г. ще се проследи развитието на мобилните процесори за период от почти десет години. Анализът показва защо по-новите архитектури и по-фините технологични процеси водят до съществен ръст в производителността и ефективността.</w:t>
      </w:r>
      <w:r w:rsidRPr="00836C73">
        <w:rPr>
          <w:rFonts w:ascii="Times New Roman" w:hAnsi="Times New Roman" w:cs="Times New Roman"/>
          <w:sz w:val="21"/>
          <w:szCs w:val="21"/>
          <w:lang w:val="bg-BG"/>
        </w:rPr>
        <w:br/>
      </w:r>
    </w:p>
    <w:p w14:paraId="3883C75F" w14:textId="10EA8A3E" w:rsidR="00D316BD" w:rsidRPr="00836C73" w:rsidRDefault="00D316BD" w:rsidP="00D316BD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b/>
          <w:bCs/>
          <w:sz w:val="21"/>
          <w:szCs w:val="21"/>
          <w:lang w:val="bg-BG"/>
        </w:rPr>
        <w:t>Основни понятия и термини</w:t>
      </w:r>
    </w:p>
    <w:p w14:paraId="1CD97CE3" w14:textId="10C61823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• Технологичен процес (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nm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>) – определя размера на транзисторите в процесора. По-малкият размер (по-ниски нанометри) позволява по-висока плътност на транзисторите, по-ниска консумация на енергия и по-малко отделяна топлина.</w:t>
      </w:r>
    </w:p>
    <w:p w14:paraId="25628912" w14:textId="1A989F41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• Архитектура на процесора – вътрешната организация на изчислителните блокове, кеш паметта, контролерите и шините. Съвременните архитектури оптимизират изпълнението на инструкции, паралелизма и работата с паметта.</w:t>
      </w:r>
    </w:p>
    <w:p w14:paraId="0B5172DA" w14:textId="6C223E5A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• Ядра и нишки (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Threads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) – физическите ядра са реалните изчислителни единици, а нишките представляват логически потоци на изпълнение. Технологии като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Hyper-Threading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>/SMT позволяват на едно ядро да обработва по две нишки.</w:t>
      </w:r>
    </w:p>
    <w:p w14:paraId="46B2972D" w14:textId="78BEF64E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• TDP (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Thermal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Design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Power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>) – топлинна мощност, която охлаждането трябва да може да разсейва при типично натоварване. Не е задължително максималната консумация, но служи като ориентир за охлаждане и енергопотребление.</w:t>
      </w:r>
    </w:p>
    <w:p w14:paraId="5F16C2DE" w14:textId="50FC190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Turbo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честота – максималната динамична честота, до която процесорът може да се „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овърклокне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>“ автоматично при натоварване и в рамките на температурните и енергийни ограничения.</w:t>
      </w:r>
    </w:p>
    <w:p w14:paraId="074486E5" w14:textId="725903C5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• Интегрирана графика (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iGPU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>) – графично ядро, вградено в процесора. То се използва за работа с операционната система, мултимедия и по-леки игри, когато няма дискретна видеокарта.</w:t>
      </w:r>
    </w:p>
    <w:p w14:paraId="63135179" w14:textId="77777777" w:rsid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• Кеш памет (L1, L2, L3) – много бърза памет, разположена в самия процесор. Тя намалява времето за достъп до често използвани данни и инструкции и има ключова роля за реалната производителност.</w:t>
      </w:r>
    </w:p>
    <w:p w14:paraId="76A94409" w14:textId="3E0864E4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b/>
          <w:bCs/>
          <w:sz w:val="21"/>
          <w:szCs w:val="21"/>
          <w:lang w:val="bg-BG"/>
        </w:rPr>
        <w:lastRenderedPageBreak/>
        <w:t>Архитектура и технологичен процес</w:t>
      </w:r>
    </w:p>
    <w:p w14:paraId="1E7571BE" w14:textId="5BF2A1CA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е базиран на архитектурата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Tiger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Lake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-H и се произвежда по 10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nm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SuperFin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технологичен процес. Този процес позволява висока енергийна ефективност, по-високи работни честоти и поддръжка на съвременни инструкции и модерни интерфейси (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PCIe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4.0,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Thunderbolt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и др.).</w:t>
      </w:r>
    </w:p>
    <w:p w14:paraId="03C3EF3A" w14:textId="06359A94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От своя страна AMD A4-4400M използва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Trinity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архитектура и е произведен по значително по-стар 32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nm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технологичен процес. Това води до по-големи транзистори, по-висока консумация на енергия и по-ниска плътност на транзисторите спрямо съвременните 10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nm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решения.</w:t>
      </w:r>
    </w:p>
    <w:p w14:paraId="7BBC3108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0C4DC46E" w14:textId="7DB1EC40" w:rsidR="00D316BD" w:rsidRPr="00836C73" w:rsidRDefault="00D316BD" w:rsidP="00D316BD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b/>
          <w:bCs/>
          <w:sz w:val="21"/>
          <w:szCs w:val="21"/>
          <w:lang w:val="bg-BG"/>
        </w:rPr>
        <w:t>В резюме:</w:t>
      </w:r>
    </w:p>
    <w:p w14:paraId="1E75732D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–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Tiger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Lake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-H, 10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nm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SuperFin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, модерен дизайн (2021 г.).  </w:t>
      </w:r>
    </w:p>
    <w:p w14:paraId="40BC2CDA" w14:textId="2DC1461E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AMD A4-4400M –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Trinity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, 32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nm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>, по-стар дизайн (около 2012 г.).</w:t>
      </w:r>
    </w:p>
    <w:p w14:paraId="57D4F649" w14:textId="1FF922AB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Разликата в технологичния процес е ключова предпоставка за по-доброто съотношение производителност/консумация на енергия при Intel процесора.</w:t>
      </w:r>
    </w:p>
    <w:p w14:paraId="2F12260C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4E1CBF72" w14:textId="33B3ACEC" w:rsidR="00D316BD" w:rsidRPr="00836C73" w:rsidRDefault="00D316BD" w:rsidP="00D316BD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b/>
          <w:bCs/>
          <w:sz w:val="21"/>
          <w:szCs w:val="21"/>
          <w:lang w:val="bg-BG"/>
        </w:rPr>
        <w:t>Сравнение по ядра, нишки, кеш и честоти</w:t>
      </w:r>
    </w:p>
    <w:p w14:paraId="74981E32" w14:textId="0EFDB96C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разполага с 6 физически ядра и 12 нишки благодарение на поддръжката на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Hyper-Threading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. Базовата работна честота е около 2.7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GHz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, като при натоварване процесорът може да достигне до около 4.6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GHz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в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Turbo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режим, в зависимост от охлаждането и конфигурацията.</w:t>
      </w:r>
    </w:p>
    <w:p w14:paraId="383DB73E" w14:textId="36BF15FD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AMD A4-4400M има 2 физически ядра и 2 нишки, без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многопоточност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. Базовата честота е около 3.2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GHz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, а максималният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Turbo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режим достига приблизително 3.6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GHz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>. Въпреки че на пръв поглед базовата честота е висока, остарялата архитектура и липсата на повече ядра и нишки водят до значително по-ниска реална производителност.</w:t>
      </w:r>
    </w:p>
    <w:p w14:paraId="790B52A0" w14:textId="5BBB55C3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разполага и с повече и по-оптимизирана кеш памет (L3 кеш), което допълнително подобрява работата при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многозадачност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>, компилация на код, виртуализация и други натоварващи приложения. AMD A4-4400M има по-малък и по-бавен кеш, което се отразява негативно на производителността.</w:t>
      </w:r>
    </w:p>
    <w:p w14:paraId="7995AD7D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04432808" w14:textId="7E2D8ACB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Обобщено:</w:t>
      </w:r>
    </w:p>
    <w:p w14:paraId="1F637DE5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– 6 ядра / 12 нишки, високи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Turbo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честоти, по-голям и модерен кеш.  </w:t>
      </w:r>
    </w:p>
    <w:p w14:paraId="46E17C81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AMD A4-4400M – 2 ядра / 2 нишки, по-ограничен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Turbo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>, по-малък кеш.</w:t>
      </w:r>
    </w:p>
    <w:p w14:paraId="53723130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1270F58B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1E6E026E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5ED5CD7C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25AE3B25" w14:textId="2C40EF0D" w:rsidR="00D94C96" w:rsidRDefault="00D94C96" w:rsidP="00D94C96">
      <w:pPr>
        <w:jc w:val="center"/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  <w:r w:rsidRPr="00D94C96">
        <w:rPr>
          <w:rFonts w:ascii="Times New Roman" w:hAnsi="Times New Roman" w:cs="Times New Roman"/>
          <w:b/>
          <w:bCs/>
          <w:sz w:val="21"/>
          <w:szCs w:val="21"/>
          <w:lang w:val="bg-BG"/>
        </w:rPr>
        <w:lastRenderedPageBreak/>
        <w:t>ОСНОВНИ ПОНЯТИЯ ПО СИСТЕМНО ПРОГРАМИРАНЕ</w:t>
      </w:r>
    </w:p>
    <w:p w14:paraId="48C8EF4B" w14:textId="77777777" w:rsidR="00D94C96" w:rsidRPr="00D94C96" w:rsidRDefault="00D94C96" w:rsidP="00D94C96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</w:p>
    <w:p w14:paraId="647C49BA" w14:textId="521FA1BC" w:rsidR="00D94C96" w:rsidRPr="00D94C96" w:rsidRDefault="00D94C96" w:rsidP="00D94C96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  <w:r w:rsidRPr="00D94C96">
        <w:rPr>
          <w:rFonts w:ascii="Times New Roman" w:hAnsi="Times New Roman" w:cs="Times New Roman"/>
          <w:b/>
          <w:bCs/>
          <w:sz w:val="21"/>
          <w:szCs w:val="21"/>
          <w:lang w:val="bg-BG"/>
        </w:rPr>
        <w:t>ПРЕКЪСВАНИЯ И ИЗКЛЮЧЕНИЯ</w:t>
      </w:r>
    </w:p>
    <w:p w14:paraId="27671F50" w14:textId="228C853C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Прекъсване (</w:t>
      </w:r>
      <w:proofErr w:type="spellStart"/>
      <w:r w:rsidRPr="00D94C96">
        <w:rPr>
          <w:rFonts w:ascii="Times New Roman" w:hAnsi="Times New Roman" w:cs="Times New Roman"/>
          <w:lang w:val="bg-BG"/>
        </w:rPr>
        <w:t>Interrupt</w:t>
      </w:r>
      <w:proofErr w:type="spellEnd"/>
      <w:r w:rsidRPr="00D94C96">
        <w:rPr>
          <w:rFonts w:ascii="Times New Roman" w:hAnsi="Times New Roman" w:cs="Times New Roman"/>
          <w:lang w:val="bg-BG"/>
        </w:rPr>
        <w:t>) – събитие, което прекъсва изпълнението на текущата програма и предава управлението на специална процедура за обслужване (ISR), генерирано от хардуер или по софтуерен път (INT n).</w:t>
      </w:r>
    </w:p>
    <w:p w14:paraId="523BADF9" w14:textId="17E9F8FA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Изключение (</w:t>
      </w:r>
      <w:proofErr w:type="spellStart"/>
      <w:r w:rsidRPr="00D94C96">
        <w:rPr>
          <w:rFonts w:ascii="Times New Roman" w:hAnsi="Times New Roman" w:cs="Times New Roman"/>
          <w:lang w:val="bg-BG"/>
        </w:rPr>
        <w:t>Exception</w:t>
      </w:r>
      <w:proofErr w:type="spellEnd"/>
      <w:r w:rsidRPr="00D94C96">
        <w:rPr>
          <w:rFonts w:ascii="Times New Roman" w:hAnsi="Times New Roman" w:cs="Times New Roman"/>
          <w:lang w:val="bg-BG"/>
        </w:rPr>
        <w:t>) – вътрешно събитие в процесора при грешка (деление на нула, нарушение на защита и др.), което предизвиква извикване на обслужваща рутина за грешки.</w:t>
      </w:r>
    </w:p>
    <w:p w14:paraId="2337F43B" w14:textId="06014466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Немаскируемо прекъсване (NMI) – прекъсване с много висок приоритет, което не може да бъде забранено от софтуера; използва се при критични ситуации (напр. сериозни хардуерни грешки).</w:t>
      </w:r>
    </w:p>
    <w:p w14:paraId="269CF1CD" w14:textId="3EDB9040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Маскируемо прекъсване (IRQ) – прекъсване, което може да бъде разрешавано или забранявано програмно; генерира се от периферни устройства чрез контролера за прекъсвания.</w:t>
      </w:r>
    </w:p>
    <w:p w14:paraId="6D356EF6" w14:textId="26379F00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PIC (</w:t>
      </w:r>
      <w:proofErr w:type="spellStart"/>
      <w:r w:rsidRPr="00D94C96">
        <w:rPr>
          <w:rFonts w:ascii="Times New Roman" w:hAnsi="Times New Roman" w:cs="Times New Roman"/>
          <w:lang w:val="bg-BG"/>
        </w:rPr>
        <w:t>Programmable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Interrupt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Controller</w:t>
      </w:r>
      <w:proofErr w:type="spellEnd"/>
      <w:r w:rsidRPr="00D94C96">
        <w:rPr>
          <w:rFonts w:ascii="Times New Roman" w:hAnsi="Times New Roman" w:cs="Times New Roman"/>
          <w:lang w:val="bg-BG"/>
        </w:rPr>
        <w:t>, 8259A) – контролер за прекъсвания, който събира IRQ заявки от устройствата и ги превръща във вектори към процесора.</w:t>
      </w:r>
    </w:p>
    <w:p w14:paraId="21FE8A6A" w14:textId="72579D3A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APIC / LAPIC / I/O APIC – система за прекъсвания в многопроцесорни системи: LAPIC е локален контролер към всеки процесор, а I/O APIC разпределя външните прекъсвания към отделните процесори.</w:t>
      </w:r>
    </w:p>
    <w:p w14:paraId="48A80B1A" w14:textId="355754A9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PIR / PIRQ линии – логически линии, по които много PCI устройства споделят ограничен брой IRQ входове; след прекъсването процесорът проверява кое устройство е източникът.</w:t>
      </w:r>
    </w:p>
    <w:p w14:paraId="3E7F9DB7" w14:textId="49FE217B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Таблица на векторите на прекъсване (</w:t>
      </w:r>
      <w:proofErr w:type="spellStart"/>
      <w:r w:rsidRPr="00D94C96">
        <w:rPr>
          <w:rFonts w:ascii="Times New Roman" w:hAnsi="Times New Roman" w:cs="Times New Roman"/>
          <w:lang w:val="bg-BG"/>
        </w:rPr>
        <w:t>Real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mode</w:t>
      </w:r>
      <w:proofErr w:type="spellEnd"/>
      <w:r w:rsidRPr="00D94C96">
        <w:rPr>
          <w:rFonts w:ascii="Times New Roman" w:hAnsi="Times New Roman" w:cs="Times New Roman"/>
          <w:lang w:val="bg-BG"/>
        </w:rPr>
        <w:t>) – първите 1 KB от паметта (0000h–03FFh), съдържащи 256 адреса (</w:t>
      </w:r>
      <w:proofErr w:type="spellStart"/>
      <w:r w:rsidRPr="00D94C96">
        <w:rPr>
          <w:rFonts w:ascii="Times New Roman" w:hAnsi="Times New Roman" w:cs="Times New Roman"/>
          <w:lang w:val="bg-BG"/>
        </w:rPr>
        <w:t>сегмент:отместване</w:t>
      </w:r>
      <w:proofErr w:type="spellEnd"/>
      <w:r w:rsidRPr="00D94C96">
        <w:rPr>
          <w:rFonts w:ascii="Times New Roman" w:hAnsi="Times New Roman" w:cs="Times New Roman"/>
          <w:lang w:val="bg-BG"/>
        </w:rPr>
        <w:t>) към обслужващите процедури на прекъсванията.</w:t>
      </w:r>
    </w:p>
    <w:p w14:paraId="40D25A69" w14:textId="77777777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IDT (</w:t>
      </w:r>
      <w:proofErr w:type="spellStart"/>
      <w:r w:rsidRPr="00D94C96">
        <w:rPr>
          <w:rFonts w:ascii="Times New Roman" w:hAnsi="Times New Roman" w:cs="Times New Roman"/>
          <w:lang w:val="bg-BG"/>
        </w:rPr>
        <w:t>Interrupt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Descriptor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Table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) – таблица на дескриптори на прекъсвания в защитен режим; всеки запис описва как да се премине към конкретен </w:t>
      </w:r>
      <w:proofErr w:type="spellStart"/>
      <w:r w:rsidRPr="00D94C96">
        <w:rPr>
          <w:rFonts w:ascii="Times New Roman" w:hAnsi="Times New Roman" w:cs="Times New Roman"/>
          <w:lang w:val="bg-BG"/>
        </w:rPr>
        <w:t>обработчик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(</w:t>
      </w:r>
      <w:proofErr w:type="spellStart"/>
      <w:r w:rsidRPr="00D94C96">
        <w:rPr>
          <w:rFonts w:ascii="Times New Roman" w:hAnsi="Times New Roman" w:cs="Times New Roman"/>
          <w:lang w:val="bg-BG"/>
        </w:rPr>
        <w:t>interrupt</w:t>
      </w:r>
      <w:proofErr w:type="spellEnd"/>
      <w:r w:rsidRPr="00D94C96">
        <w:rPr>
          <w:rFonts w:ascii="Times New Roman" w:hAnsi="Times New Roman" w:cs="Times New Roman"/>
          <w:lang w:val="bg-BG"/>
        </w:rPr>
        <w:t>/</w:t>
      </w:r>
      <w:proofErr w:type="spellStart"/>
      <w:r w:rsidRPr="00D94C96">
        <w:rPr>
          <w:rFonts w:ascii="Times New Roman" w:hAnsi="Times New Roman" w:cs="Times New Roman"/>
          <w:lang w:val="bg-BG"/>
        </w:rPr>
        <w:t>trap</w:t>
      </w:r>
      <w:proofErr w:type="spellEnd"/>
      <w:r w:rsidRPr="00D94C96">
        <w:rPr>
          <w:rFonts w:ascii="Times New Roman" w:hAnsi="Times New Roman" w:cs="Times New Roman"/>
          <w:lang w:val="bg-BG"/>
        </w:rPr>
        <w:t>/</w:t>
      </w:r>
      <w:proofErr w:type="spellStart"/>
      <w:r w:rsidRPr="00D94C96">
        <w:rPr>
          <w:rFonts w:ascii="Times New Roman" w:hAnsi="Times New Roman" w:cs="Times New Roman"/>
          <w:lang w:val="bg-BG"/>
        </w:rPr>
        <w:t>task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gate</w:t>
      </w:r>
      <w:proofErr w:type="spellEnd"/>
      <w:r w:rsidRPr="00D94C96">
        <w:rPr>
          <w:rFonts w:ascii="Times New Roman" w:hAnsi="Times New Roman" w:cs="Times New Roman"/>
          <w:lang w:val="bg-BG"/>
        </w:rPr>
        <w:t>).</w:t>
      </w:r>
    </w:p>
    <w:p w14:paraId="60E33B52" w14:textId="77777777" w:rsidR="00D94C96" w:rsidRPr="00D94C96" w:rsidRDefault="00D94C96" w:rsidP="00D94C96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</w:p>
    <w:p w14:paraId="08F53637" w14:textId="6FAFE557" w:rsidR="00D94C96" w:rsidRPr="00D94C96" w:rsidRDefault="00D94C96" w:rsidP="00D94C96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  <w:r w:rsidRPr="00D94C96">
        <w:rPr>
          <w:rFonts w:ascii="Times New Roman" w:hAnsi="Times New Roman" w:cs="Times New Roman"/>
          <w:b/>
          <w:bCs/>
          <w:sz w:val="21"/>
          <w:szCs w:val="21"/>
          <w:lang w:val="bg-BG"/>
        </w:rPr>
        <w:t>РЕЖИМИ НА РАБОТА НА x86</w:t>
      </w:r>
    </w:p>
    <w:p w14:paraId="692A4A12" w14:textId="3BD4D9AF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Реален режим (</w:t>
      </w:r>
      <w:proofErr w:type="spellStart"/>
      <w:r w:rsidRPr="00D94C96">
        <w:rPr>
          <w:rFonts w:ascii="Times New Roman" w:hAnsi="Times New Roman" w:cs="Times New Roman"/>
          <w:lang w:val="bg-BG"/>
        </w:rPr>
        <w:t>Real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Mode) – 16-битов режим, съвместим с 8086, с адресно пространство до 1 MB, без хардуерна защита и </w:t>
      </w:r>
      <w:proofErr w:type="spellStart"/>
      <w:r w:rsidRPr="00D94C96">
        <w:rPr>
          <w:rFonts w:ascii="Times New Roman" w:hAnsi="Times New Roman" w:cs="Times New Roman"/>
          <w:lang w:val="bg-BG"/>
        </w:rPr>
        <w:t>странициране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, адресиране чрез </w:t>
      </w:r>
      <w:proofErr w:type="spellStart"/>
      <w:r w:rsidRPr="00D94C96">
        <w:rPr>
          <w:rFonts w:ascii="Times New Roman" w:hAnsi="Times New Roman" w:cs="Times New Roman"/>
          <w:lang w:val="bg-BG"/>
        </w:rPr>
        <w:t>segment</w:t>
      </w:r>
      <w:proofErr w:type="spellEnd"/>
      <w:r w:rsidRPr="00D94C96">
        <w:rPr>
          <w:rFonts w:ascii="Times New Roman" w:hAnsi="Times New Roman" w:cs="Times New Roman"/>
          <w:lang w:val="bg-BG"/>
        </w:rPr>
        <w:t>*16+offset.</w:t>
      </w:r>
    </w:p>
    <w:p w14:paraId="41BAF5C0" w14:textId="43415133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Защитен режим (</w:t>
      </w:r>
      <w:proofErr w:type="spellStart"/>
      <w:r w:rsidRPr="00D94C96">
        <w:rPr>
          <w:rFonts w:ascii="Times New Roman" w:hAnsi="Times New Roman" w:cs="Times New Roman"/>
          <w:lang w:val="bg-BG"/>
        </w:rPr>
        <w:t>Protected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Mode) – 32-битов режим с до 4 GB линейно адресно пространство, поддръжка на сегментация, </w:t>
      </w:r>
      <w:proofErr w:type="spellStart"/>
      <w:r w:rsidRPr="00D94C96">
        <w:rPr>
          <w:rFonts w:ascii="Times New Roman" w:hAnsi="Times New Roman" w:cs="Times New Roman"/>
          <w:lang w:val="bg-BG"/>
        </w:rPr>
        <w:t>странициране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, защита на паметта и </w:t>
      </w:r>
      <w:proofErr w:type="spellStart"/>
      <w:r w:rsidRPr="00D94C96">
        <w:rPr>
          <w:rFonts w:ascii="Times New Roman" w:hAnsi="Times New Roman" w:cs="Times New Roman"/>
          <w:lang w:val="bg-BG"/>
        </w:rPr>
        <w:t>многозадачност</w:t>
      </w:r>
      <w:proofErr w:type="spellEnd"/>
      <w:r w:rsidRPr="00D94C96">
        <w:rPr>
          <w:rFonts w:ascii="Times New Roman" w:hAnsi="Times New Roman" w:cs="Times New Roman"/>
          <w:lang w:val="bg-BG"/>
        </w:rPr>
        <w:t>.</w:t>
      </w:r>
    </w:p>
    <w:p w14:paraId="16FFF614" w14:textId="0F4E207F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Режим V86 (</w:t>
      </w:r>
      <w:proofErr w:type="spellStart"/>
      <w:r w:rsidRPr="00D94C96">
        <w:rPr>
          <w:rFonts w:ascii="Times New Roman" w:hAnsi="Times New Roman" w:cs="Times New Roman"/>
          <w:lang w:val="bg-BG"/>
        </w:rPr>
        <w:t>Virtual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8086 Mode) – </w:t>
      </w:r>
      <w:proofErr w:type="spellStart"/>
      <w:r w:rsidRPr="00D94C96">
        <w:rPr>
          <w:rFonts w:ascii="Times New Roman" w:hAnsi="Times New Roman" w:cs="Times New Roman"/>
          <w:lang w:val="bg-BG"/>
        </w:rPr>
        <w:t>подрежим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на защитения режим, в който се изпълняват стари 16-битови програми (8086) в защитена среда с виртуално 1 MB адресно пространство.</w:t>
      </w:r>
    </w:p>
    <w:p w14:paraId="57EA4328" w14:textId="3B538CD2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SMM (</w:t>
      </w:r>
      <w:proofErr w:type="spellStart"/>
      <w:r w:rsidRPr="00D94C96">
        <w:rPr>
          <w:rFonts w:ascii="Times New Roman" w:hAnsi="Times New Roman" w:cs="Times New Roman"/>
          <w:lang w:val="bg-BG"/>
        </w:rPr>
        <w:t>System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Management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Mode) – специален режим на системно управление, в който процесорът изпълнява „скрит“ код (в SMRAM), използван за енергоспестяване и специални системни функции.</w:t>
      </w:r>
    </w:p>
    <w:p w14:paraId="36ED0437" w14:textId="71A75422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proofErr w:type="spellStart"/>
      <w:r w:rsidRPr="00D94C96">
        <w:rPr>
          <w:rFonts w:ascii="Times New Roman" w:hAnsi="Times New Roman" w:cs="Times New Roman"/>
          <w:lang w:val="bg-BG"/>
        </w:rPr>
        <w:lastRenderedPageBreak/>
        <w:t>Legacy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режим – 32-битова среда (класически защитен режим) без 64-битови разширения; използва се от 32-битови ОС и приложения.</w:t>
      </w:r>
    </w:p>
    <w:p w14:paraId="2ADE8DE0" w14:textId="7EAA9872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proofErr w:type="spellStart"/>
      <w:r w:rsidRPr="00D94C96">
        <w:rPr>
          <w:rFonts w:ascii="Times New Roman" w:hAnsi="Times New Roman" w:cs="Times New Roman"/>
          <w:lang w:val="bg-BG"/>
        </w:rPr>
        <w:t>Long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Mode – 64-битов режим (x86-64), който включва 64-битов </w:t>
      </w:r>
      <w:proofErr w:type="spellStart"/>
      <w:r w:rsidRPr="00D94C96">
        <w:rPr>
          <w:rFonts w:ascii="Times New Roman" w:hAnsi="Times New Roman" w:cs="Times New Roman"/>
          <w:lang w:val="bg-BG"/>
        </w:rPr>
        <w:t>подрежим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и </w:t>
      </w:r>
      <w:proofErr w:type="spellStart"/>
      <w:r w:rsidRPr="00D94C96">
        <w:rPr>
          <w:rFonts w:ascii="Times New Roman" w:hAnsi="Times New Roman" w:cs="Times New Roman"/>
          <w:lang w:val="bg-BG"/>
        </w:rPr>
        <w:t>Compatibility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Mode; позволява работа на 64-битови и 32-битови програми едновременно.</w:t>
      </w:r>
    </w:p>
    <w:p w14:paraId="36F5A6EA" w14:textId="77777777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proofErr w:type="spellStart"/>
      <w:r w:rsidRPr="00D94C96">
        <w:rPr>
          <w:rFonts w:ascii="Times New Roman" w:hAnsi="Times New Roman" w:cs="Times New Roman"/>
          <w:lang w:val="bg-BG"/>
        </w:rPr>
        <w:t>Compatibility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Mode – </w:t>
      </w:r>
      <w:proofErr w:type="spellStart"/>
      <w:r w:rsidRPr="00D94C96">
        <w:rPr>
          <w:rFonts w:ascii="Times New Roman" w:hAnsi="Times New Roman" w:cs="Times New Roman"/>
          <w:lang w:val="bg-BG"/>
        </w:rPr>
        <w:t>подрежим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в </w:t>
      </w:r>
      <w:proofErr w:type="spellStart"/>
      <w:r w:rsidRPr="00D94C96">
        <w:rPr>
          <w:rFonts w:ascii="Times New Roman" w:hAnsi="Times New Roman" w:cs="Times New Roman"/>
          <w:lang w:val="bg-BG"/>
        </w:rPr>
        <w:t>Long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Mode, в който 32-битови приложения работят под 64-битова ОС без да използват 64-битовите разширени регистри.</w:t>
      </w:r>
    </w:p>
    <w:p w14:paraId="09111F00" w14:textId="77777777" w:rsidR="00D94C96" w:rsidRPr="00D94C96" w:rsidRDefault="00D94C96" w:rsidP="00D94C96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</w:p>
    <w:p w14:paraId="3554AFFA" w14:textId="0ABC8E45" w:rsidR="00D94C96" w:rsidRPr="00D94C96" w:rsidRDefault="00D94C96" w:rsidP="00D94C96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  <w:r w:rsidRPr="00D94C96">
        <w:rPr>
          <w:rFonts w:ascii="Times New Roman" w:hAnsi="Times New Roman" w:cs="Times New Roman"/>
          <w:b/>
          <w:bCs/>
          <w:sz w:val="21"/>
          <w:szCs w:val="21"/>
          <w:lang w:val="bg-BG"/>
        </w:rPr>
        <w:t>СЕГМЕНТАЦИЯ И СТРАНИЦИРАНЕ</w:t>
      </w:r>
    </w:p>
    <w:p w14:paraId="6620C88D" w14:textId="49C3C6CC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Сегмент – логическа област от паметта (код, данни, стек), описана чрез дескриптор; физическият адрес в защитен режим е базов адрес на сегмента + отместване.</w:t>
      </w:r>
    </w:p>
    <w:p w14:paraId="2277F027" w14:textId="1FE0B641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Селектор – 16-битова стойност, записана в сегментен регистър, която посочва индекс в GDT или LDT и определя кой дескриптор (сегмент) се използва.</w:t>
      </w:r>
    </w:p>
    <w:p w14:paraId="5F15ECA5" w14:textId="387709E7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Дескриптор – 8-байтов запис в GDT/LDT, описващ базов адрес, лимит, тип и права за достъп до даден сегмент.</w:t>
      </w:r>
    </w:p>
    <w:p w14:paraId="794EA3B8" w14:textId="20FD8228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GDT (</w:t>
      </w:r>
      <w:proofErr w:type="spellStart"/>
      <w:r w:rsidRPr="00D94C96">
        <w:rPr>
          <w:rFonts w:ascii="Times New Roman" w:hAnsi="Times New Roman" w:cs="Times New Roman"/>
          <w:lang w:val="bg-BG"/>
        </w:rPr>
        <w:t>Global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Descriptor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Table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) – глобална </w:t>
      </w:r>
      <w:proofErr w:type="spellStart"/>
      <w:r w:rsidRPr="00D94C96">
        <w:rPr>
          <w:rFonts w:ascii="Times New Roman" w:hAnsi="Times New Roman" w:cs="Times New Roman"/>
          <w:lang w:val="bg-BG"/>
        </w:rPr>
        <w:t>дескрипторна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таблица, обща за системата, съдържаща дескриптори на основни сегменти и системни структури.</w:t>
      </w:r>
    </w:p>
    <w:p w14:paraId="671512BA" w14:textId="16283ECA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LDT (</w:t>
      </w:r>
      <w:proofErr w:type="spellStart"/>
      <w:r w:rsidRPr="00D94C96">
        <w:rPr>
          <w:rFonts w:ascii="Times New Roman" w:hAnsi="Times New Roman" w:cs="Times New Roman"/>
          <w:lang w:val="bg-BG"/>
        </w:rPr>
        <w:t>Local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Descriptor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Table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) – локална </w:t>
      </w:r>
      <w:proofErr w:type="spellStart"/>
      <w:r w:rsidRPr="00D94C96">
        <w:rPr>
          <w:rFonts w:ascii="Times New Roman" w:hAnsi="Times New Roman" w:cs="Times New Roman"/>
          <w:lang w:val="bg-BG"/>
        </w:rPr>
        <w:t>дескрипторна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таблица за конкретен процес/задача, която съдържа сегментите, използвани от него.</w:t>
      </w:r>
    </w:p>
    <w:p w14:paraId="73DEDA86" w14:textId="2A1F846E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 xml:space="preserve">IDT (описателно) – специална </w:t>
      </w:r>
      <w:proofErr w:type="spellStart"/>
      <w:r w:rsidRPr="00D94C96">
        <w:rPr>
          <w:rFonts w:ascii="Times New Roman" w:hAnsi="Times New Roman" w:cs="Times New Roman"/>
          <w:lang w:val="bg-BG"/>
        </w:rPr>
        <w:t>дескрипторна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таблица, съдържаща входове за 256 прекъсвания и изключения; всеки вход определя адреса и правата на </w:t>
      </w:r>
      <w:proofErr w:type="spellStart"/>
      <w:r w:rsidRPr="00D94C96">
        <w:rPr>
          <w:rFonts w:ascii="Times New Roman" w:hAnsi="Times New Roman" w:cs="Times New Roman"/>
          <w:lang w:val="bg-BG"/>
        </w:rPr>
        <w:t>обработчика</w:t>
      </w:r>
      <w:proofErr w:type="spellEnd"/>
      <w:r w:rsidRPr="00D94C96">
        <w:rPr>
          <w:rFonts w:ascii="Times New Roman" w:hAnsi="Times New Roman" w:cs="Times New Roman"/>
          <w:lang w:val="bg-BG"/>
        </w:rPr>
        <w:t>.</w:t>
      </w:r>
    </w:p>
    <w:p w14:paraId="47724190" w14:textId="77777777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proofErr w:type="spellStart"/>
      <w:r w:rsidRPr="00D94C96">
        <w:rPr>
          <w:rFonts w:ascii="Times New Roman" w:hAnsi="Times New Roman" w:cs="Times New Roman"/>
          <w:lang w:val="bg-BG"/>
        </w:rPr>
        <w:t>Странициране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(</w:t>
      </w:r>
      <w:proofErr w:type="spellStart"/>
      <w:r w:rsidRPr="00D94C96">
        <w:rPr>
          <w:rFonts w:ascii="Times New Roman" w:hAnsi="Times New Roman" w:cs="Times New Roman"/>
          <w:lang w:val="bg-BG"/>
        </w:rPr>
        <w:t>Paging</w:t>
      </w:r>
      <w:proofErr w:type="spellEnd"/>
      <w:r w:rsidRPr="00D94C96">
        <w:rPr>
          <w:rFonts w:ascii="Times New Roman" w:hAnsi="Times New Roman" w:cs="Times New Roman"/>
          <w:lang w:val="bg-BG"/>
        </w:rPr>
        <w:t>) – механизъм, който разделя линейното адресно пространство на страници (обикновено 4 KB) и ги отразява към физически рамки, позволявайки виртуална памет и защита.</w:t>
      </w:r>
    </w:p>
    <w:p w14:paraId="054A06F6" w14:textId="77777777" w:rsidR="00D94C96" w:rsidRPr="00D94C96" w:rsidRDefault="00D94C96" w:rsidP="00D94C96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</w:p>
    <w:p w14:paraId="1CE4EF9F" w14:textId="77C320E8" w:rsidR="00D94C96" w:rsidRPr="00D94C96" w:rsidRDefault="00D94C96" w:rsidP="00D94C96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  <w:r w:rsidRPr="00D94C96">
        <w:rPr>
          <w:rFonts w:ascii="Times New Roman" w:hAnsi="Times New Roman" w:cs="Times New Roman"/>
          <w:b/>
          <w:bCs/>
          <w:sz w:val="21"/>
          <w:szCs w:val="21"/>
          <w:lang w:val="bg-BG"/>
        </w:rPr>
        <w:t>ДИСКОВЕ, МBR, FAT, GPT</w:t>
      </w:r>
    </w:p>
    <w:p w14:paraId="6974FDDF" w14:textId="13D26636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 xml:space="preserve">Логическо форматиране – създаване на файловата структура върху дяла: </w:t>
      </w:r>
      <w:proofErr w:type="spellStart"/>
      <w:r w:rsidRPr="00D94C96">
        <w:rPr>
          <w:rFonts w:ascii="Times New Roman" w:hAnsi="Times New Roman" w:cs="Times New Roman"/>
          <w:lang w:val="bg-BG"/>
        </w:rPr>
        <w:t>Volume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Boot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Sector</w:t>
      </w:r>
      <w:proofErr w:type="spellEnd"/>
      <w:r w:rsidRPr="00D94C96">
        <w:rPr>
          <w:rFonts w:ascii="Times New Roman" w:hAnsi="Times New Roman" w:cs="Times New Roman"/>
          <w:lang w:val="bg-BG"/>
        </w:rPr>
        <w:t>, FAT (или друга таблица на разпределение), главен каталог и област за данни.</w:t>
      </w:r>
    </w:p>
    <w:p w14:paraId="4BD6C667" w14:textId="09A7D7BF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MBR (</w:t>
      </w:r>
      <w:proofErr w:type="spellStart"/>
      <w:r w:rsidRPr="00D94C96">
        <w:rPr>
          <w:rFonts w:ascii="Times New Roman" w:hAnsi="Times New Roman" w:cs="Times New Roman"/>
          <w:lang w:val="bg-BG"/>
        </w:rPr>
        <w:t>Master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Boot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Record</w:t>
      </w:r>
      <w:proofErr w:type="spellEnd"/>
      <w:r w:rsidRPr="00D94C96">
        <w:rPr>
          <w:rFonts w:ascii="Times New Roman" w:hAnsi="Times New Roman" w:cs="Times New Roman"/>
          <w:lang w:val="bg-BG"/>
        </w:rPr>
        <w:t>) – първият сектор на диска, съдържащ начален зареждащ код и таблица на дяловете (до 4 първични дяла).</w:t>
      </w:r>
    </w:p>
    <w:p w14:paraId="00416B47" w14:textId="070C81B9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proofErr w:type="spellStart"/>
      <w:r w:rsidRPr="00D94C96">
        <w:rPr>
          <w:rFonts w:ascii="Times New Roman" w:hAnsi="Times New Roman" w:cs="Times New Roman"/>
          <w:lang w:val="bg-BG"/>
        </w:rPr>
        <w:t>Master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Partition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Table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– част от MBR, състояща се от 4 записа по 16 байта, всеки описващ един дял (статус, тип, начало и размер).</w:t>
      </w:r>
    </w:p>
    <w:p w14:paraId="3D846A7E" w14:textId="05D946B1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Първичен дял (</w:t>
      </w:r>
      <w:proofErr w:type="spellStart"/>
      <w:r w:rsidRPr="00D94C96">
        <w:rPr>
          <w:rFonts w:ascii="Times New Roman" w:hAnsi="Times New Roman" w:cs="Times New Roman"/>
          <w:lang w:val="bg-BG"/>
        </w:rPr>
        <w:t>Primary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partition</w:t>
      </w:r>
      <w:proofErr w:type="spellEnd"/>
      <w:r w:rsidRPr="00D94C96">
        <w:rPr>
          <w:rFonts w:ascii="Times New Roman" w:hAnsi="Times New Roman" w:cs="Times New Roman"/>
          <w:lang w:val="bg-BG"/>
        </w:rPr>
        <w:t>) – „истински“ физически дял, от който може директно да се зареди операционна система (</w:t>
      </w:r>
      <w:proofErr w:type="spellStart"/>
      <w:r w:rsidRPr="00D94C96">
        <w:rPr>
          <w:rFonts w:ascii="Times New Roman" w:hAnsi="Times New Roman" w:cs="Times New Roman"/>
          <w:lang w:val="bg-BG"/>
        </w:rPr>
        <w:t>bootable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partition</w:t>
      </w:r>
      <w:proofErr w:type="spellEnd"/>
      <w:r w:rsidRPr="00D94C96">
        <w:rPr>
          <w:rFonts w:ascii="Times New Roman" w:hAnsi="Times New Roman" w:cs="Times New Roman"/>
          <w:lang w:val="bg-BG"/>
        </w:rPr>
        <w:t>).</w:t>
      </w:r>
    </w:p>
    <w:p w14:paraId="4DA7043D" w14:textId="7B79956A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Разширен дял (</w:t>
      </w:r>
      <w:proofErr w:type="spellStart"/>
      <w:r w:rsidRPr="00D94C96">
        <w:rPr>
          <w:rFonts w:ascii="Times New Roman" w:hAnsi="Times New Roman" w:cs="Times New Roman"/>
          <w:lang w:val="bg-BG"/>
        </w:rPr>
        <w:t>Extended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partition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) – специален дял, който съдържа логически дялове, използва се за преодоляване на ограничението от максимум 4 </w:t>
      </w:r>
      <w:proofErr w:type="spellStart"/>
      <w:r w:rsidRPr="00D94C96">
        <w:rPr>
          <w:rFonts w:ascii="Times New Roman" w:hAnsi="Times New Roman" w:cs="Times New Roman"/>
          <w:lang w:val="bg-BG"/>
        </w:rPr>
        <w:t>primary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дяла в MBR.</w:t>
      </w:r>
    </w:p>
    <w:p w14:paraId="75EE7186" w14:textId="02660EA7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lastRenderedPageBreak/>
        <w:t>Логически дял (</w:t>
      </w:r>
      <w:proofErr w:type="spellStart"/>
      <w:r w:rsidRPr="00D94C96">
        <w:rPr>
          <w:rFonts w:ascii="Times New Roman" w:hAnsi="Times New Roman" w:cs="Times New Roman"/>
          <w:lang w:val="bg-BG"/>
        </w:rPr>
        <w:t>Logical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drive</w:t>
      </w:r>
      <w:proofErr w:type="spellEnd"/>
      <w:r w:rsidRPr="00D94C96">
        <w:rPr>
          <w:rFonts w:ascii="Times New Roman" w:hAnsi="Times New Roman" w:cs="Times New Roman"/>
          <w:lang w:val="bg-BG"/>
        </w:rPr>
        <w:t>) – дял, разположен вътре в разширения дял; получава буква на устройство и се използва за съхранение на данни и приложения.</w:t>
      </w:r>
    </w:p>
    <w:p w14:paraId="50A08355" w14:textId="204CDBFC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VBS (</w:t>
      </w:r>
      <w:proofErr w:type="spellStart"/>
      <w:r w:rsidRPr="00D94C96">
        <w:rPr>
          <w:rFonts w:ascii="Times New Roman" w:hAnsi="Times New Roman" w:cs="Times New Roman"/>
          <w:lang w:val="bg-BG"/>
        </w:rPr>
        <w:t>Volume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Boot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Sector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) – първият сектор на всеки дял, съдържащ начален зареждащ код за този дял и BIOS </w:t>
      </w:r>
      <w:proofErr w:type="spellStart"/>
      <w:r w:rsidRPr="00D94C96">
        <w:rPr>
          <w:rFonts w:ascii="Times New Roman" w:hAnsi="Times New Roman" w:cs="Times New Roman"/>
          <w:lang w:val="bg-BG"/>
        </w:rPr>
        <w:t>Parameter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Block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(BPB) с параметрите му.</w:t>
      </w:r>
    </w:p>
    <w:p w14:paraId="4C4D53D1" w14:textId="3FA018AF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 xml:space="preserve">BPB (BIOS </w:t>
      </w:r>
      <w:proofErr w:type="spellStart"/>
      <w:r w:rsidRPr="00D94C96">
        <w:rPr>
          <w:rFonts w:ascii="Times New Roman" w:hAnsi="Times New Roman" w:cs="Times New Roman"/>
          <w:lang w:val="bg-BG"/>
        </w:rPr>
        <w:t>Parameter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Block</w:t>
      </w:r>
      <w:proofErr w:type="spellEnd"/>
      <w:r w:rsidRPr="00D94C96">
        <w:rPr>
          <w:rFonts w:ascii="Times New Roman" w:hAnsi="Times New Roman" w:cs="Times New Roman"/>
          <w:lang w:val="bg-BG"/>
        </w:rPr>
        <w:t>) – структура във VBS, описваща параметрите на дяла и файловата система (размер на сектор, клъстер, брой FAT и др.).</w:t>
      </w:r>
    </w:p>
    <w:p w14:paraId="74305F66" w14:textId="7BDFBCA6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Клъстер – минимална единица за разпределение на дисково пространство върху дяла; състои се от определен брой последователни сектори.</w:t>
      </w:r>
    </w:p>
    <w:p w14:paraId="76DE0254" w14:textId="51552CA8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FAT (</w:t>
      </w:r>
      <w:proofErr w:type="spellStart"/>
      <w:r w:rsidRPr="00D94C96">
        <w:rPr>
          <w:rFonts w:ascii="Times New Roman" w:hAnsi="Times New Roman" w:cs="Times New Roman"/>
          <w:lang w:val="bg-BG"/>
        </w:rPr>
        <w:t>File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Allocation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Table</w:t>
      </w:r>
      <w:proofErr w:type="spellEnd"/>
      <w:r w:rsidRPr="00D94C96">
        <w:rPr>
          <w:rFonts w:ascii="Times New Roman" w:hAnsi="Times New Roman" w:cs="Times New Roman"/>
          <w:lang w:val="bg-BG"/>
        </w:rPr>
        <w:t>) – таблица, която описва кои клъстери са заети, свободни, повредени и как са свързани клъстерите, принадлежащи на един файл.</w:t>
      </w:r>
    </w:p>
    <w:p w14:paraId="78A13EAD" w14:textId="4B9F08B7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 xml:space="preserve">FAT12 / FAT16 / FAT32 / </w:t>
      </w:r>
      <w:proofErr w:type="spellStart"/>
      <w:r w:rsidRPr="00D94C96">
        <w:rPr>
          <w:rFonts w:ascii="Times New Roman" w:hAnsi="Times New Roman" w:cs="Times New Roman"/>
          <w:lang w:val="bg-BG"/>
        </w:rPr>
        <w:t>exFAT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– варианти на FAT, различаващи се по големината на номера на клъстера (12, 16, 32 бита) и максималния размер/брой клъстери.</w:t>
      </w:r>
    </w:p>
    <w:p w14:paraId="40288945" w14:textId="2F1E2C99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 xml:space="preserve">GPT (GUID </w:t>
      </w:r>
      <w:proofErr w:type="spellStart"/>
      <w:r w:rsidRPr="00D94C96">
        <w:rPr>
          <w:rFonts w:ascii="Times New Roman" w:hAnsi="Times New Roman" w:cs="Times New Roman"/>
          <w:lang w:val="bg-BG"/>
        </w:rPr>
        <w:t>Partition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Table</w:t>
      </w:r>
      <w:proofErr w:type="spellEnd"/>
      <w:r w:rsidRPr="00D94C96">
        <w:rPr>
          <w:rFonts w:ascii="Times New Roman" w:hAnsi="Times New Roman" w:cs="Times New Roman"/>
          <w:lang w:val="bg-BG"/>
        </w:rPr>
        <w:t>) – модерен формат на таблица на дялове, използващ GUID за идентифициране, позволява голям брой дялове и работи с LBA вместо класическите CHS адреси.</w:t>
      </w:r>
    </w:p>
    <w:p w14:paraId="66924403" w14:textId="33A1B470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proofErr w:type="spellStart"/>
      <w:r w:rsidRPr="00D94C96">
        <w:rPr>
          <w:rFonts w:ascii="Times New Roman" w:hAnsi="Times New Roman" w:cs="Times New Roman"/>
          <w:lang w:val="bg-BG"/>
        </w:rPr>
        <w:t>Protective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MBR – MBR сектор на GPT дискове, който описва един „защитен“ дял с тип 0xEE, за да предпази GPT от стари инструменти, които познават само MBR.</w:t>
      </w:r>
    </w:p>
    <w:p w14:paraId="2E2C8486" w14:textId="5D93F1C5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proofErr w:type="spellStart"/>
      <w:r w:rsidRPr="00D94C96">
        <w:rPr>
          <w:rFonts w:ascii="Times New Roman" w:hAnsi="Times New Roman" w:cs="Times New Roman"/>
          <w:lang w:val="bg-BG"/>
        </w:rPr>
        <w:t>Primary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GPT </w:t>
      </w:r>
      <w:proofErr w:type="spellStart"/>
      <w:r w:rsidRPr="00D94C96">
        <w:rPr>
          <w:rFonts w:ascii="Times New Roman" w:hAnsi="Times New Roman" w:cs="Times New Roman"/>
          <w:lang w:val="bg-BG"/>
        </w:rPr>
        <w:t>Header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– главен GPT </w:t>
      </w:r>
      <w:proofErr w:type="spellStart"/>
      <w:r w:rsidRPr="00D94C96">
        <w:rPr>
          <w:rFonts w:ascii="Times New Roman" w:hAnsi="Times New Roman" w:cs="Times New Roman"/>
          <w:lang w:val="bg-BG"/>
        </w:rPr>
        <w:t>хедър</w:t>
      </w:r>
      <w:proofErr w:type="spellEnd"/>
      <w:r w:rsidRPr="00D94C96">
        <w:rPr>
          <w:rFonts w:ascii="Times New Roman" w:hAnsi="Times New Roman" w:cs="Times New Roman"/>
          <w:lang w:val="bg-BG"/>
        </w:rPr>
        <w:t>, съдържащ GUID на диска, диапазона от използваеми блокове, броя и размера на записите за дяловете и контролни суми (CRC).</w:t>
      </w:r>
    </w:p>
    <w:p w14:paraId="4767C428" w14:textId="77777777" w:rsidR="00D94C96" w:rsidRDefault="00D94C96" w:rsidP="00D94C96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</w:p>
    <w:p w14:paraId="72A7E76F" w14:textId="72DD0C11" w:rsidR="00D94C96" w:rsidRPr="00D94C96" w:rsidRDefault="00D94C96" w:rsidP="00D94C96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  <w:r w:rsidRPr="00D94C96">
        <w:rPr>
          <w:rFonts w:ascii="Times New Roman" w:hAnsi="Times New Roman" w:cs="Times New Roman"/>
          <w:b/>
          <w:bCs/>
          <w:sz w:val="21"/>
          <w:szCs w:val="21"/>
          <w:lang w:val="bg-BG"/>
        </w:rPr>
        <w:t>BIOS, POST, CMOS, UEFI</w:t>
      </w:r>
    </w:p>
    <w:p w14:paraId="303BFB30" w14:textId="2524EAB4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 xml:space="preserve">Входно-изходен порт (I/O </w:t>
      </w:r>
      <w:proofErr w:type="spellStart"/>
      <w:r w:rsidRPr="00D94C96">
        <w:rPr>
          <w:rFonts w:ascii="Times New Roman" w:hAnsi="Times New Roman" w:cs="Times New Roman"/>
          <w:lang w:val="bg-BG"/>
        </w:rPr>
        <w:t>port</w:t>
      </w:r>
      <w:proofErr w:type="spellEnd"/>
      <w:r w:rsidRPr="00D94C96">
        <w:rPr>
          <w:rFonts w:ascii="Times New Roman" w:hAnsi="Times New Roman" w:cs="Times New Roman"/>
          <w:lang w:val="bg-BG"/>
        </w:rPr>
        <w:t>) – адресируем регистър (порт), чрез който процесорът обменя данни и команди с хардуерни устройства чрез инструкции IN/OUT.</w:t>
      </w:r>
    </w:p>
    <w:p w14:paraId="53BC91C1" w14:textId="144CBEE7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BIOS (</w:t>
      </w:r>
      <w:proofErr w:type="spellStart"/>
      <w:r w:rsidRPr="00D94C96">
        <w:rPr>
          <w:rFonts w:ascii="Times New Roman" w:hAnsi="Times New Roman" w:cs="Times New Roman"/>
          <w:lang w:val="bg-BG"/>
        </w:rPr>
        <w:t>Basic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Input</w:t>
      </w:r>
      <w:proofErr w:type="spellEnd"/>
      <w:r w:rsidRPr="00D94C96">
        <w:rPr>
          <w:rFonts w:ascii="Times New Roman" w:hAnsi="Times New Roman" w:cs="Times New Roman"/>
          <w:lang w:val="bg-BG"/>
        </w:rPr>
        <w:t>/</w:t>
      </w:r>
      <w:proofErr w:type="spellStart"/>
      <w:r w:rsidRPr="00D94C96">
        <w:rPr>
          <w:rFonts w:ascii="Times New Roman" w:hAnsi="Times New Roman" w:cs="Times New Roman"/>
          <w:lang w:val="bg-BG"/>
        </w:rPr>
        <w:t>Output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System</w:t>
      </w:r>
      <w:proofErr w:type="spellEnd"/>
      <w:r w:rsidRPr="00D94C96">
        <w:rPr>
          <w:rFonts w:ascii="Times New Roman" w:hAnsi="Times New Roman" w:cs="Times New Roman"/>
          <w:lang w:val="bg-BG"/>
        </w:rPr>
        <w:t>) – фърмуер в ROM/Flash, който инициализира хардуера при стартиране, изпълнява POST, зарежда операционната система и предоставя базови услуги и драйвери.</w:t>
      </w:r>
    </w:p>
    <w:p w14:paraId="526064AE" w14:textId="5F4470A5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proofErr w:type="spellStart"/>
      <w:r w:rsidRPr="00D94C96">
        <w:rPr>
          <w:rFonts w:ascii="Times New Roman" w:hAnsi="Times New Roman" w:cs="Times New Roman"/>
          <w:lang w:val="bg-BG"/>
        </w:rPr>
        <w:t>Shadow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BIOS (</w:t>
      </w:r>
      <w:proofErr w:type="spellStart"/>
      <w:r w:rsidRPr="00D94C96">
        <w:rPr>
          <w:rFonts w:ascii="Times New Roman" w:hAnsi="Times New Roman" w:cs="Times New Roman"/>
          <w:lang w:val="bg-BG"/>
        </w:rPr>
        <w:t>Shadow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Memory</w:t>
      </w:r>
      <w:proofErr w:type="spellEnd"/>
      <w:r w:rsidRPr="00D94C96">
        <w:rPr>
          <w:rFonts w:ascii="Times New Roman" w:hAnsi="Times New Roman" w:cs="Times New Roman"/>
          <w:lang w:val="bg-BG"/>
        </w:rPr>
        <w:t>) – техника, при която BIOS кодът се копира от ROM в RAM, за да се изпълнява по-бързо.</w:t>
      </w:r>
    </w:p>
    <w:p w14:paraId="36A09654" w14:textId="5FA243C7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POST (</w:t>
      </w:r>
      <w:proofErr w:type="spellStart"/>
      <w:r w:rsidRPr="00D94C96">
        <w:rPr>
          <w:rFonts w:ascii="Times New Roman" w:hAnsi="Times New Roman" w:cs="Times New Roman"/>
          <w:lang w:val="bg-BG"/>
        </w:rPr>
        <w:t>Power-On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Self-Test</w:t>
      </w:r>
      <w:proofErr w:type="spellEnd"/>
      <w:r w:rsidRPr="00D94C96">
        <w:rPr>
          <w:rFonts w:ascii="Times New Roman" w:hAnsi="Times New Roman" w:cs="Times New Roman"/>
          <w:lang w:val="bg-BG"/>
        </w:rPr>
        <w:t>) – серия от тестове, които се изпълняват при включване на компютъра за проверка на основните компоненти (CPU, RAM, видео, клавиатура и др.).</w:t>
      </w:r>
    </w:p>
    <w:p w14:paraId="180AFC61" w14:textId="6F0F2153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 xml:space="preserve">BIOS </w:t>
      </w:r>
      <w:proofErr w:type="spellStart"/>
      <w:r w:rsidRPr="00D94C96">
        <w:rPr>
          <w:rFonts w:ascii="Times New Roman" w:hAnsi="Times New Roman" w:cs="Times New Roman"/>
          <w:lang w:val="bg-BG"/>
        </w:rPr>
        <w:t>Setup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– конфигурационна програма за задаване на хардуерни настройки (час, дата, </w:t>
      </w:r>
      <w:proofErr w:type="spellStart"/>
      <w:r w:rsidRPr="00D94C96">
        <w:rPr>
          <w:rFonts w:ascii="Times New Roman" w:hAnsi="Times New Roman" w:cs="Times New Roman"/>
          <w:lang w:val="bg-BG"/>
        </w:rPr>
        <w:t>boot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ред, параметри на дискове, захранване, пароли и др.), достъпна при стартиране на системата.</w:t>
      </w:r>
    </w:p>
    <w:p w14:paraId="7FFFC1E2" w14:textId="327E6CE8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 xml:space="preserve">CMOS RAM – малка енергонезависима памет, захранвана от батерия, в която се съхраняват настройките от BIOS </w:t>
      </w:r>
      <w:proofErr w:type="spellStart"/>
      <w:r w:rsidRPr="00D94C96">
        <w:rPr>
          <w:rFonts w:ascii="Times New Roman" w:hAnsi="Times New Roman" w:cs="Times New Roman"/>
          <w:lang w:val="bg-BG"/>
        </w:rPr>
        <w:t>Setup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и някои хардуерни параметри.</w:t>
      </w:r>
    </w:p>
    <w:p w14:paraId="3D2E55D0" w14:textId="3724CE95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t>RTC (</w:t>
      </w:r>
      <w:proofErr w:type="spellStart"/>
      <w:r w:rsidRPr="00D94C96">
        <w:rPr>
          <w:rFonts w:ascii="Times New Roman" w:hAnsi="Times New Roman" w:cs="Times New Roman"/>
          <w:lang w:val="bg-BG"/>
        </w:rPr>
        <w:t>Real-Time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Clock</w:t>
      </w:r>
      <w:proofErr w:type="spellEnd"/>
      <w:r w:rsidRPr="00D94C96">
        <w:rPr>
          <w:rFonts w:ascii="Times New Roman" w:hAnsi="Times New Roman" w:cs="Times New Roman"/>
          <w:lang w:val="bg-BG"/>
        </w:rPr>
        <w:t>) – часовник за реално време, който поддържа дата и час дори при изключен компютър, използвайки отделна батерия.</w:t>
      </w:r>
    </w:p>
    <w:p w14:paraId="36AFA73E" w14:textId="359EDA0A" w:rsidR="00D94C96" w:rsidRPr="00D94C96" w:rsidRDefault="00D94C96" w:rsidP="00D94C96">
      <w:pPr>
        <w:rPr>
          <w:rFonts w:ascii="Times New Roman" w:hAnsi="Times New Roman" w:cs="Times New Roman"/>
          <w:lang w:val="bg-BG"/>
        </w:rPr>
      </w:pPr>
      <w:r w:rsidRPr="00D94C96">
        <w:rPr>
          <w:rFonts w:ascii="Times New Roman" w:hAnsi="Times New Roman" w:cs="Times New Roman"/>
          <w:lang w:val="bg-BG"/>
        </w:rPr>
        <w:lastRenderedPageBreak/>
        <w:t>UEFI (</w:t>
      </w:r>
      <w:proofErr w:type="spellStart"/>
      <w:r w:rsidRPr="00D94C96">
        <w:rPr>
          <w:rFonts w:ascii="Times New Roman" w:hAnsi="Times New Roman" w:cs="Times New Roman"/>
          <w:lang w:val="bg-BG"/>
        </w:rPr>
        <w:t>Unified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Extensible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Firmware</w:t>
      </w:r>
      <w:proofErr w:type="spellEnd"/>
      <w:r w:rsidRPr="00D94C96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D94C96">
        <w:rPr>
          <w:rFonts w:ascii="Times New Roman" w:hAnsi="Times New Roman" w:cs="Times New Roman"/>
          <w:lang w:val="bg-BG"/>
        </w:rPr>
        <w:t>Interface</w:t>
      </w:r>
      <w:proofErr w:type="spellEnd"/>
      <w:r w:rsidRPr="00D94C96">
        <w:rPr>
          <w:rFonts w:ascii="Times New Roman" w:hAnsi="Times New Roman" w:cs="Times New Roman"/>
          <w:lang w:val="bg-BG"/>
        </w:rPr>
        <w:t>) – съвременен наследник на BIOS с по-богат интерфейс, поддръжка на GPT, 32/64-битова среда, драйвери и по-сигурно и бързо зареждане на ОС.</w:t>
      </w:r>
    </w:p>
    <w:p w14:paraId="64C5375D" w14:textId="081F5FEC" w:rsidR="00D316BD" w:rsidRPr="00836C73" w:rsidRDefault="00D316BD" w:rsidP="00D316BD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b/>
          <w:bCs/>
          <w:sz w:val="21"/>
          <w:szCs w:val="21"/>
          <w:lang w:val="bg-BG"/>
        </w:rPr>
        <w:t>Интегрирана графика</w:t>
      </w:r>
    </w:p>
    <w:p w14:paraId="30D54C87" w14:textId="63999EB6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използва интегрирана графика 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Xe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Graphics. Тя поддържа съвременни графични API като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DirectX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12,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OpenGL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и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Vulkan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>, както и хардуерно ускорение за модерни видео кодеци (HEVC, VP9, AV1 в някои реализации). Това позволява гладко възпроизвеждане на високо-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резолюционно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видео съдържание и игра на по-леки игри при по-ниски или средни настройки.</w:t>
      </w:r>
    </w:p>
    <w:p w14:paraId="63A8A0CE" w14:textId="176A9758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AMD A4-4400M разчита на интегрирана графика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Radeon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HD 7520G. Към момента на излизането си тя е била подходяща за базова мултимедия и леки игри, но към 2025 г. вече е силно ограничена –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драйверната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поддръжка е остаряла, много нови игри и приложения не са оптимизирани за нея и липсва ефективна работа с по-нови видео кодеци.</w:t>
      </w:r>
    </w:p>
    <w:p w14:paraId="19BDD566" w14:textId="6F3CBBAB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Следователно, по отношение на графичните възможности:</w:t>
      </w:r>
    </w:p>
    <w:p w14:paraId="22B0628E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– модерна 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Xe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графика, стабилни драйвери, поддръжка на нови стандарти.  </w:t>
      </w:r>
    </w:p>
    <w:p w14:paraId="14411B55" w14:textId="07F891E0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AMD A4-4400M – остаряла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Radeon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HD 7520G, ограничени възможности в актуалните приложения.</w:t>
      </w:r>
    </w:p>
    <w:p w14:paraId="20C24CD8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0C85EEA5" w14:textId="6600F080" w:rsidR="00D316BD" w:rsidRPr="00836C73" w:rsidRDefault="00D316BD" w:rsidP="00D316BD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b/>
          <w:bCs/>
          <w:sz w:val="21"/>
          <w:szCs w:val="21"/>
          <w:lang w:val="bg-BG"/>
        </w:rPr>
        <w:t>Производителност в реални задачи (2025 г.)</w:t>
      </w:r>
    </w:p>
    <w:p w14:paraId="505F1369" w14:textId="4D174C32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През 2025 г. 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осигурява напълно достатъчна производителност за:</w:t>
      </w:r>
    </w:p>
    <w:p w14:paraId="6A787B68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ежедневна работа (браузване, офис приложения, видеоконференции);  </w:t>
      </w:r>
    </w:p>
    <w:p w14:paraId="2B2343F0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разработка на софтуер и програмиране;  </w:t>
      </w:r>
    </w:p>
    <w:p w14:paraId="02F20B09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мултимедия и обработка на изображения;  </w:t>
      </w:r>
    </w:p>
    <w:p w14:paraId="1A9DF844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виртуализация на по-леки среди;  </w:t>
      </w:r>
    </w:p>
    <w:p w14:paraId="69955444" w14:textId="11D2F102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• леки игри или по-стари заглавия при по-ниски настройки.</w:t>
      </w:r>
    </w:p>
    <w:p w14:paraId="348BFF21" w14:textId="6474A135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Благодарение на 6-те ядра и 12-те нишки, както и на по-високите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Turbo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честоти, процесорът се справя добре с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многозадачност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>, работа с няколко приложения едновременно и съвременни операционни системи.</w:t>
      </w:r>
    </w:p>
    <w:p w14:paraId="1D3843C2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6ED77C05" w14:textId="69595308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AMD A4-4400M през 2025 г. е силно ограничен:</w:t>
      </w:r>
    </w:p>
    <w:p w14:paraId="5BBDB158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при браузване с много отворени табове системата се усеща бавна;  </w:t>
      </w:r>
    </w:p>
    <w:p w14:paraId="17495B9B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офис приложенията работят, но при по-големи документи и таблици има забавяне;  </w:t>
      </w:r>
    </w:p>
    <w:p w14:paraId="744C0C97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модерни приложения за обработка на видео, снимки или програмиране работят трудно;  </w:t>
      </w:r>
    </w:p>
    <w:p w14:paraId="2A1EB2B2" w14:textId="128C21AD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• новите версии на операционни системи често изискват повече ресурси, отколкото този процесор може да осигури комфортно.</w:t>
      </w:r>
    </w:p>
    <w:p w14:paraId="3F267B8D" w14:textId="77777777" w:rsid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lastRenderedPageBreak/>
        <w:t>В резултат AMD A4-4400M е подходящ предимно за базови задачи – писане на текст, електронна поща и по-стар софтуер.</w:t>
      </w:r>
    </w:p>
    <w:p w14:paraId="01462478" w14:textId="0CA8B4A3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b/>
          <w:bCs/>
          <w:sz w:val="21"/>
          <w:szCs w:val="21"/>
          <w:lang w:val="bg-BG"/>
        </w:rPr>
        <w:t>Енергийна ефективност</w:t>
      </w:r>
    </w:p>
    <w:p w14:paraId="298D276D" w14:textId="58977B90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има TDP в диапазона приблизително 35–45 W (в зависимост от конфигурацията на производителите на лаптопи), но въпреки това предлага многократно по-висока производителност спрямо AMD A4-4400M със сходен или дори по-нисък TDP.</w:t>
      </w:r>
    </w:p>
    <w:p w14:paraId="3775D630" w14:textId="466C2924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Благодарение на 10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nm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SuperFin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технологичния процес, Intel процесорът постига по-добро съотношение производителност на ват, което:</w:t>
      </w:r>
    </w:p>
    <w:p w14:paraId="3EA6CF1F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намалява загряването;  </w:t>
      </w:r>
    </w:p>
    <w:p w14:paraId="2064B061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увеличава живота на батерията;  </w:t>
      </w:r>
    </w:p>
    <w:p w14:paraId="51CF4417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• позволява по-тиха работа на системата.</w:t>
      </w:r>
    </w:p>
    <w:p w14:paraId="177411CE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5ADBD171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AMD A4-4400M има TDP около 35 W, но при значително по-ниска производителност. Това означава, че на практика той е по-неефективен – харчи подобно количество енергия, но дава много по-малко изчислителна мощ.</w:t>
      </w:r>
    </w:p>
    <w:p w14:paraId="73DBEC39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0DC04650" w14:textId="425E9BC0" w:rsidR="00D316BD" w:rsidRPr="00836C73" w:rsidRDefault="00D316BD" w:rsidP="00D316BD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b/>
          <w:bCs/>
          <w:sz w:val="21"/>
          <w:szCs w:val="21"/>
          <w:lang w:val="bg-BG"/>
        </w:rPr>
        <w:t>Цена и пазарно позициониране</w:t>
      </w:r>
    </w:p>
    <w:p w14:paraId="14E75C71" w14:textId="3E731E26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При излизането си 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е насочен към бизнес лаптопи, индустриални системи и по-висок клас мобилни устройства, където се изисква комбинация от добра производителност и надеждност.</w:t>
      </w:r>
    </w:p>
    <w:p w14:paraId="364AD0D0" w14:textId="61586A00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AMD A4-4400M е позициониран като бюджетен процесор за евтини лаптопи и начално ниво устройства. Той е бил подходящ за потребители с ограничен бюджет и базови нужди.</w:t>
      </w:r>
    </w:p>
    <w:p w14:paraId="6C476723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0D67D624" w14:textId="17E765CF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Към 2025 г.:</w:t>
      </w:r>
    </w:p>
    <w:p w14:paraId="638EC8C4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• 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продължава да има реална стойност на пазара – използва се в корпоративни среди, образователни институции и за домашни лаптопи с добро съотношение цена/производителност.  </w:t>
      </w:r>
    </w:p>
    <w:p w14:paraId="77B8EF0D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• AMD A4-4400M практически е остарял и се среща основно в стари устройства, използвани за леки задачи.</w:t>
      </w:r>
    </w:p>
    <w:p w14:paraId="7FC6B723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3A19AE61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66CAEEAC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51AC291E" w14:textId="77777777" w:rsidR="00D316BD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411CE252" w14:textId="77777777" w:rsidR="00836C73" w:rsidRDefault="00836C73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3E08E648" w14:textId="77777777" w:rsidR="00836C73" w:rsidRPr="00836C73" w:rsidRDefault="00836C73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581F08FE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35733192" w14:textId="1B6F2145" w:rsidR="00D316BD" w:rsidRPr="00836C73" w:rsidRDefault="00D316BD" w:rsidP="00D316BD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b/>
          <w:bCs/>
          <w:sz w:val="21"/>
          <w:szCs w:val="21"/>
          <w:lang w:val="bg-BG"/>
        </w:rPr>
        <w:t>Заключение</w:t>
      </w:r>
    </w:p>
    <w:p w14:paraId="313A2693" w14:textId="39A8CA8C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Сравнителният анализ на процесорите 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и AMD A4-4400M ясно показва значителния технологичен напредък в областта на мобилните процесори за период от близо десет години. 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превъзхожда AMD A4-4400M във всички основни аспекти – архитектура, производителност, брой ядра и нишки, интегрирана графика, енергийна ефективност и актуалност към 2025 г.</w:t>
      </w:r>
    </w:p>
    <w:p w14:paraId="1EE69BD6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Докато AMD A4-4400M вече е подходящ единствено за най-базови задачи и остарели приложения, Intel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Core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i5-11500HE остава надеждно и модерно решение за широк кръг от потребители. Това сравнение подчертава ролята на новите архитектури и на по-фините технологични процеси като ключови фактори за развитието на съвременните компютърни системи.</w:t>
      </w:r>
    </w:p>
    <w:p w14:paraId="0FF530B2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4C59C8DF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</w:p>
    <w:p w14:paraId="4D316DBF" w14:textId="115C27B1" w:rsidR="00D316BD" w:rsidRPr="00836C73" w:rsidRDefault="00D316BD" w:rsidP="00D316BD">
      <w:pPr>
        <w:rPr>
          <w:rFonts w:ascii="Times New Roman" w:hAnsi="Times New Roman" w:cs="Times New Roman"/>
          <w:b/>
          <w:bCs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b/>
          <w:bCs/>
          <w:sz w:val="21"/>
          <w:szCs w:val="21"/>
          <w:lang w:val="bg-BG"/>
        </w:rPr>
        <w:t>Източници</w:t>
      </w:r>
    </w:p>
    <w:p w14:paraId="7C4C08A2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TechPowerUp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 CPU 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Database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: https://www.techpowerup.com/cpu-specs  </w:t>
      </w:r>
    </w:p>
    <w:p w14:paraId="0BF41D4D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Intel ARK: https://ark.intel.com  </w:t>
      </w:r>
    </w:p>
    <w:p w14:paraId="2F14BC69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Notebookcheck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: https://www.notebookcheck.net  </w:t>
      </w:r>
    </w:p>
    <w:p w14:paraId="498CCCC7" w14:textId="77777777" w:rsidR="00D316BD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CPU-</w:t>
      </w:r>
      <w:proofErr w:type="spellStart"/>
      <w:r w:rsidRPr="00836C73">
        <w:rPr>
          <w:rFonts w:ascii="Times New Roman" w:hAnsi="Times New Roman" w:cs="Times New Roman"/>
          <w:sz w:val="21"/>
          <w:szCs w:val="21"/>
          <w:lang w:val="bg-BG"/>
        </w:rPr>
        <w:t>Monkey</w:t>
      </w:r>
      <w:proofErr w:type="spellEnd"/>
      <w:r w:rsidRPr="00836C73">
        <w:rPr>
          <w:rFonts w:ascii="Times New Roman" w:hAnsi="Times New Roman" w:cs="Times New Roman"/>
          <w:sz w:val="21"/>
          <w:szCs w:val="21"/>
          <w:lang w:val="bg-BG"/>
        </w:rPr>
        <w:t xml:space="preserve">: https://cpu-monkey.com  </w:t>
      </w:r>
    </w:p>
    <w:p w14:paraId="21FD63B5" w14:textId="3998D6D2" w:rsidR="008B4F79" w:rsidRPr="00836C73" w:rsidRDefault="00D316BD" w:rsidP="00D316BD">
      <w:pPr>
        <w:rPr>
          <w:rFonts w:ascii="Times New Roman" w:hAnsi="Times New Roman" w:cs="Times New Roman"/>
          <w:sz w:val="21"/>
          <w:szCs w:val="21"/>
          <w:lang w:val="bg-BG"/>
        </w:rPr>
      </w:pPr>
      <w:r w:rsidRPr="00836C73">
        <w:rPr>
          <w:rFonts w:ascii="Times New Roman" w:hAnsi="Times New Roman" w:cs="Times New Roman"/>
          <w:sz w:val="21"/>
          <w:szCs w:val="21"/>
          <w:lang w:val="bg-BG"/>
        </w:rPr>
        <w:t>CPU-World: https://www.cpu-world.com</w:t>
      </w:r>
    </w:p>
    <w:sectPr w:rsidR="008B4F79" w:rsidRPr="00836C73" w:rsidSect="003461DC">
      <w:footerReference w:type="even" r:id="rId7"/>
      <w:footerReference w:type="default" r:id="rId8"/>
      <w:pgSz w:w="11900" w:h="16840"/>
      <w:pgMar w:top="1440" w:right="1440" w:bottom="1440" w:left="144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D16F6" w14:textId="77777777" w:rsidR="00563EBA" w:rsidRDefault="00563EBA" w:rsidP="009125E3">
      <w:pPr>
        <w:spacing w:after="0" w:line="240" w:lineRule="auto"/>
      </w:pPr>
      <w:r>
        <w:separator/>
      </w:r>
    </w:p>
  </w:endnote>
  <w:endnote w:type="continuationSeparator" w:id="0">
    <w:p w14:paraId="7E813E8C" w14:textId="77777777" w:rsidR="00563EBA" w:rsidRDefault="00563EBA" w:rsidP="00912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5746731"/>
      <w:docPartObj>
        <w:docPartGallery w:val="Page Numbers (Bottom of Page)"/>
        <w:docPartUnique/>
      </w:docPartObj>
    </w:sdtPr>
    <w:sdtContent>
      <w:p w14:paraId="3EAD3D1F" w14:textId="28901C67" w:rsidR="009125E3" w:rsidRDefault="009125E3" w:rsidP="00895FD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3C88544" w14:textId="77777777" w:rsidR="009125E3" w:rsidRDefault="009125E3" w:rsidP="009125E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44D4" w14:textId="77777777" w:rsidR="003461DC" w:rsidRDefault="003461DC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62E962EB" w14:textId="77777777" w:rsidR="009125E3" w:rsidRDefault="009125E3" w:rsidP="009125E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499FE" w14:textId="77777777" w:rsidR="00563EBA" w:rsidRDefault="00563EBA" w:rsidP="009125E3">
      <w:pPr>
        <w:spacing w:after="0" w:line="240" w:lineRule="auto"/>
      </w:pPr>
      <w:r>
        <w:separator/>
      </w:r>
    </w:p>
  </w:footnote>
  <w:footnote w:type="continuationSeparator" w:id="0">
    <w:p w14:paraId="065AE578" w14:textId="77777777" w:rsidR="00563EBA" w:rsidRDefault="00563EBA" w:rsidP="009125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34BC7"/>
    <w:multiLevelType w:val="singleLevel"/>
    <w:tmpl w:val="AB68616E"/>
    <w:name w:val="Numbered list 2"/>
    <w:lvl w:ilvl="0">
      <w:start w:val="1"/>
      <w:numFmt w:val="decimal"/>
      <w:lvlText w:val="%1."/>
      <w:lvlJc w:val="left"/>
      <w:pPr>
        <w:ind w:left="1080" w:firstLine="0"/>
      </w:pPr>
    </w:lvl>
  </w:abstractNum>
  <w:abstractNum w:abstractNumId="1" w15:restartNumberingAfterBreak="0">
    <w:nsid w:val="1FE01A99"/>
    <w:multiLevelType w:val="singleLevel"/>
    <w:tmpl w:val="3484FE08"/>
    <w:name w:val="Numbered list 6"/>
    <w:lvl w:ilvl="0">
      <w:numFmt w:val="bullet"/>
      <w:pStyle w:val="ListBullet3"/>
      <w:lvlText w:val=""/>
      <w:lvlJc w:val="left"/>
      <w:pPr>
        <w:ind w:left="720" w:firstLine="0"/>
      </w:pPr>
      <w:rPr>
        <w:rFonts w:ascii="Symbol" w:hAnsi="Symbol"/>
      </w:rPr>
    </w:lvl>
  </w:abstractNum>
  <w:abstractNum w:abstractNumId="2" w15:restartNumberingAfterBreak="0">
    <w:nsid w:val="3AC604BD"/>
    <w:multiLevelType w:val="singleLevel"/>
    <w:tmpl w:val="CA5236E6"/>
    <w:name w:val="Numbered list 8"/>
    <w:lvl w:ilvl="0">
      <w:start w:val="1"/>
      <w:numFmt w:val="decimal"/>
      <w:pStyle w:val="ListNumber"/>
      <w:lvlText w:val="%1."/>
      <w:lvlJc w:val="left"/>
      <w:pPr>
        <w:ind w:left="0" w:firstLine="0"/>
      </w:pPr>
    </w:lvl>
  </w:abstractNum>
  <w:abstractNum w:abstractNumId="3" w15:restartNumberingAfterBreak="0">
    <w:nsid w:val="3CCB766C"/>
    <w:multiLevelType w:val="singleLevel"/>
    <w:tmpl w:val="A21EC4C8"/>
    <w:name w:val="Numbered list 4"/>
    <w:lvl w:ilvl="0">
      <w:start w:val="1"/>
      <w:numFmt w:val="decimal"/>
      <w:pStyle w:val="ListNumber2"/>
      <w:lvlText w:val="%1."/>
      <w:lvlJc w:val="left"/>
      <w:pPr>
        <w:ind w:left="360" w:firstLine="0"/>
      </w:pPr>
    </w:lvl>
  </w:abstractNum>
  <w:abstractNum w:abstractNumId="4" w15:restartNumberingAfterBreak="0">
    <w:nsid w:val="3E8A7B40"/>
    <w:multiLevelType w:val="singleLevel"/>
    <w:tmpl w:val="1366A6C0"/>
    <w:name w:val="Bullet 11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3F6B3FE8"/>
    <w:multiLevelType w:val="singleLevel"/>
    <w:tmpl w:val="DBFCEE96"/>
    <w:name w:val="Numbered list 3"/>
    <w:lvl w:ilvl="0">
      <w:start w:val="1"/>
      <w:numFmt w:val="decimal"/>
      <w:pStyle w:val="ListNumber3"/>
      <w:lvlText w:val="%1."/>
      <w:lvlJc w:val="left"/>
      <w:pPr>
        <w:ind w:left="720" w:firstLine="0"/>
      </w:pPr>
    </w:lvl>
  </w:abstractNum>
  <w:abstractNum w:abstractNumId="6" w15:restartNumberingAfterBreak="0">
    <w:nsid w:val="44BD48D2"/>
    <w:multiLevelType w:val="singleLevel"/>
    <w:tmpl w:val="CC241902"/>
    <w:name w:val="Bullet 12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7" w15:restartNumberingAfterBreak="0">
    <w:nsid w:val="47762D8C"/>
    <w:multiLevelType w:val="hybridMultilevel"/>
    <w:tmpl w:val="F628FDBE"/>
    <w:lvl w:ilvl="0" w:tplc="257C734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DE52AC70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B35C665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0F6E6AE6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87CC131C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75580AC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A65A334E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81BEC37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F5F8F76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9C376CB"/>
    <w:multiLevelType w:val="singleLevel"/>
    <w:tmpl w:val="5204C3BA"/>
    <w:name w:val="Numbered list 9"/>
    <w:lvl w:ilvl="0">
      <w:numFmt w:val="bullet"/>
      <w:pStyle w:val="ListBullet"/>
      <w:lvlText w:val=""/>
      <w:lvlJc w:val="left"/>
      <w:pPr>
        <w:ind w:left="0" w:firstLine="0"/>
      </w:pPr>
      <w:rPr>
        <w:rFonts w:ascii="Symbol" w:hAnsi="Symbol"/>
      </w:rPr>
    </w:lvl>
  </w:abstractNum>
  <w:abstractNum w:abstractNumId="9" w15:restartNumberingAfterBreak="0">
    <w:nsid w:val="56594BB0"/>
    <w:multiLevelType w:val="singleLevel"/>
    <w:tmpl w:val="B9F46D04"/>
    <w:name w:val="Numbered list 1"/>
    <w:lvl w:ilvl="0">
      <w:start w:val="1"/>
      <w:numFmt w:val="decimal"/>
      <w:lvlText w:val="%1."/>
      <w:lvlJc w:val="left"/>
      <w:pPr>
        <w:ind w:left="1440" w:firstLine="0"/>
      </w:pPr>
    </w:lvl>
  </w:abstractNum>
  <w:abstractNum w:abstractNumId="10" w15:restartNumberingAfterBreak="0">
    <w:nsid w:val="5D1C4DA7"/>
    <w:multiLevelType w:val="singleLevel"/>
    <w:tmpl w:val="6EA62F1A"/>
    <w:name w:val="Numbered list 7"/>
    <w:lvl w:ilvl="0">
      <w:numFmt w:val="bullet"/>
      <w:pStyle w:val="ListBullet2"/>
      <w:lvlText w:val=""/>
      <w:lvlJc w:val="left"/>
      <w:pPr>
        <w:ind w:left="360" w:firstLine="0"/>
      </w:pPr>
      <w:rPr>
        <w:rFonts w:ascii="Symbol" w:hAnsi="Symbol"/>
      </w:rPr>
    </w:lvl>
  </w:abstractNum>
  <w:abstractNum w:abstractNumId="11" w15:restartNumberingAfterBreak="0">
    <w:nsid w:val="7316518B"/>
    <w:multiLevelType w:val="singleLevel"/>
    <w:tmpl w:val="03EE378E"/>
    <w:name w:val="Bullet 10"/>
    <w:lvl w:ilvl="0">
      <w:numFmt w:val="bullet"/>
      <w:lvlText w:val="•"/>
      <w:lvlJc w:val="left"/>
      <w:pPr>
        <w:ind w:left="0" w:firstLine="0"/>
      </w:pPr>
      <w:rPr>
        <w:kern w:val="1"/>
        <w:u w:val="single"/>
      </w:rPr>
    </w:lvl>
  </w:abstractNum>
  <w:abstractNum w:abstractNumId="12" w15:restartNumberingAfterBreak="0">
    <w:nsid w:val="77C45B8A"/>
    <w:multiLevelType w:val="singleLevel"/>
    <w:tmpl w:val="1FAC8308"/>
    <w:name w:val="Numbered list 5"/>
    <w:lvl w:ilvl="0">
      <w:numFmt w:val="bullet"/>
      <w:lvlText w:val=""/>
      <w:lvlJc w:val="left"/>
      <w:pPr>
        <w:ind w:left="1080" w:firstLine="0"/>
      </w:pPr>
      <w:rPr>
        <w:rFonts w:ascii="Symbol" w:hAnsi="Symbol"/>
      </w:rPr>
    </w:lvl>
  </w:abstractNum>
  <w:num w:numId="1" w16cid:durableId="1150170776">
    <w:abstractNumId w:val="9"/>
  </w:num>
  <w:num w:numId="2" w16cid:durableId="1780252657">
    <w:abstractNumId w:val="0"/>
  </w:num>
  <w:num w:numId="3" w16cid:durableId="111242172">
    <w:abstractNumId w:val="5"/>
  </w:num>
  <w:num w:numId="4" w16cid:durableId="1627735684">
    <w:abstractNumId w:val="3"/>
  </w:num>
  <w:num w:numId="5" w16cid:durableId="361175798">
    <w:abstractNumId w:val="12"/>
  </w:num>
  <w:num w:numId="6" w16cid:durableId="1498886907">
    <w:abstractNumId w:val="1"/>
  </w:num>
  <w:num w:numId="7" w16cid:durableId="2070809413">
    <w:abstractNumId w:val="10"/>
  </w:num>
  <w:num w:numId="8" w16cid:durableId="145052945">
    <w:abstractNumId w:val="2"/>
  </w:num>
  <w:num w:numId="9" w16cid:durableId="54671560">
    <w:abstractNumId w:val="8"/>
  </w:num>
  <w:num w:numId="10" w16cid:durableId="1037393964">
    <w:abstractNumId w:val="11"/>
  </w:num>
  <w:num w:numId="11" w16cid:durableId="2114203969">
    <w:abstractNumId w:val="4"/>
  </w:num>
  <w:num w:numId="12" w16cid:durableId="1427534390">
    <w:abstractNumId w:val="6"/>
  </w:num>
  <w:num w:numId="13" w16cid:durableId="13397744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4F79"/>
    <w:rsid w:val="003461DC"/>
    <w:rsid w:val="00563EBA"/>
    <w:rsid w:val="00836C73"/>
    <w:rsid w:val="008B4F79"/>
    <w:rsid w:val="009125E3"/>
    <w:rsid w:val="00A535BA"/>
    <w:rsid w:val="00C36C03"/>
    <w:rsid w:val="00D316BD"/>
    <w:rsid w:val="00D94C96"/>
    <w:rsid w:val="00DE3051"/>
    <w:rsid w:val="00E2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5CB9F"/>
  <w15:docId w15:val="{A76C04A1-39EA-0C4B-8EE3-8EE7214C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0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/>
      <w:keepLines/>
      <w:spacing w:before="200" w:after="0"/>
      <w:outlineLvl w:val="6"/>
    </w:pPr>
    <w:rPr>
      <w:rFonts w:ascii="Calibri" w:eastAsia="Calibri" w:hAnsi="Calibri" w:cs="Calibri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/>
      <w:keepLines/>
      <w:spacing w:before="200" w:after="0"/>
      <w:outlineLvl w:val="7"/>
    </w:pPr>
    <w:rPr>
      <w:rFonts w:ascii="Calibri" w:eastAsia="Calibri" w:hAnsi="Calibri" w:cs="Calibri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keepLines/>
      <w:spacing w:before="200" w:after="0"/>
      <w:outlineLvl w:val="8"/>
    </w:pPr>
    <w:rPr>
      <w:rFonts w:ascii="Calibri" w:eastAsia="Calibri" w:hAnsi="Calibri" w:cs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  <w:pPr>
      <w:spacing w:after="0" w:line="240" w:lineRule="auto"/>
    </w:pPr>
  </w:style>
  <w:style w:type="paragraph" w:styleId="Title">
    <w:name w:val="Title"/>
    <w:basedOn w:val="Normal"/>
    <w:next w:val="Normal"/>
    <w:qFormat/>
    <w:pPr>
      <w:pBdr>
        <w:top w:val="nil"/>
        <w:left w:val="nil"/>
        <w:bottom w:val="single" w:sz="8" w:space="4" w:color="4F81BD"/>
        <w:right w:val="nil"/>
        <w:between w:val="nil"/>
      </w:pBdr>
      <w:spacing w:after="300" w:line="240" w:lineRule="auto"/>
      <w:contextualSpacing/>
    </w:pPr>
    <w:rPr>
      <w:rFonts w:ascii="Calibri" w:eastAsia="Calibri" w:hAnsi="Calibri" w:cs="Calibri"/>
      <w:color w:val="17365D"/>
      <w:spacing w:val="5"/>
      <w:kern w:val="1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eastAsia="Calibri" w:hAnsi="Calibri" w:cs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List">
    <w:name w:val="List"/>
    <w:basedOn w:val="Normal"/>
    <w:qFormat/>
    <w:pPr>
      <w:ind w:left="360" w:hanging="360"/>
      <w:contextualSpacing/>
    </w:pPr>
  </w:style>
  <w:style w:type="paragraph" w:styleId="List2">
    <w:name w:val="List 2"/>
    <w:basedOn w:val="Normal"/>
    <w:qFormat/>
    <w:pPr>
      <w:ind w:left="720" w:hanging="360"/>
      <w:contextualSpacing/>
    </w:pPr>
  </w:style>
  <w:style w:type="paragraph" w:styleId="List3">
    <w:name w:val="List 3"/>
    <w:basedOn w:val="Normal"/>
    <w:qFormat/>
    <w:pPr>
      <w:ind w:left="1080" w:hanging="360"/>
      <w:contextualSpacing/>
    </w:pPr>
  </w:style>
  <w:style w:type="paragraph" w:styleId="ListBullet">
    <w:name w:val="List Bullet"/>
    <w:basedOn w:val="Normal"/>
    <w:qFormat/>
    <w:pPr>
      <w:numPr>
        <w:numId w:val="9"/>
      </w:numPr>
      <w:ind w:left="360" w:hanging="360"/>
      <w:contextualSpacing/>
    </w:pPr>
  </w:style>
  <w:style w:type="paragraph" w:styleId="ListBullet2">
    <w:name w:val="List Bullet 2"/>
    <w:basedOn w:val="Normal"/>
    <w:qFormat/>
    <w:pPr>
      <w:numPr>
        <w:numId w:val="7"/>
      </w:numPr>
      <w:ind w:left="720" w:hanging="360"/>
      <w:contextualSpacing/>
    </w:pPr>
  </w:style>
  <w:style w:type="paragraph" w:styleId="ListBullet3">
    <w:name w:val="List Bullet 3"/>
    <w:basedOn w:val="Normal"/>
    <w:qFormat/>
    <w:pPr>
      <w:numPr>
        <w:numId w:val="6"/>
      </w:numPr>
      <w:ind w:left="1080" w:hanging="360"/>
      <w:contextualSpacing/>
    </w:pPr>
  </w:style>
  <w:style w:type="paragraph" w:styleId="ListNumber">
    <w:name w:val="List Number"/>
    <w:basedOn w:val="Normal"/>
    <w:qFormat/>
    <w:pPr>
      <w:numPr>
        <w:numId w:val="8"/>
      </w:numPr>
      <w:ind w:left="360" w:hanging="360"/>
      <w:contextualSpacing/>
    </w:pPr>
  </w:style>
  <w:style w:type="paragraph" w:styleId="ListNumber2">
    <w:name w:val="List Number 2"/>
    <w:basedOn w:val="Normal"/>
    <w:qFormat/>
    <w:pPr>
      <w:numPr>
        <w:numId w:val="4"/>
      </w:numPr>
      <w:ind w:left="720" w:hanging="360"/>
      <w:contextualSpacing/>
    </w:pPr>
  </w:style>
  <w:style w:type="paragraph" w:styleId="ListNumber3">
    <w:name w:val="List Number 3"/>
    <w:basedOn w:val="Normal"/>
    <w:qFormat/>
    <w:pPr>
      <w:numPr>
        <w:numId w:val="3"/>
      </w:numPr>
      <w:ind w:left="1080" w:hanging="360"/>
      <w:contextualSpacing/>
    </w:pPr>
  </w:style>
  <w:style w:type="paragraph" w:styleId="ListContinue">
    <w:name w:val="List Continue"/>
    <w:basedOn w:val="Normal"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qFormat/>
    <w:pPr>
      <w:spacing w:after="120"/>
      <w:ind w:left="1080"/>
      <w:contextualSpacing/>
    </w:pPr>
  </w:style>
  <w:style w:type="paragraph" w:customStyle="1" w:styleId="MacroText1">
    <w:name w:val="Macro Text1"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paragraph" w:styleId="Quote">
    <w:name w:val="Quote"/>
    <w:basedOn w:val="Normal"/>
    <w:next w:val="Normal"/>
    <w:qFormat/>
    <w:rPr>
      <w:i/>
      <w:iCs/>
      <w:color w:val="000000"/>
    </w:r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IntenseQuote">
    <w:name w:val="Intense Quote"/>
    <w:basedOn w:val="Normal"/>
    <w:next w:val="Normal"/>
    <w:qFormat/>
    <w:pPr>
      <w:pBdr>
        <w:top w:val="nil"/>
        <w:left w:val="nil"/>
        <w:bottom w:val="single" w:sz="4" w:space="4" w:color="4F81BD"/>
        <w:right w:val="nil"/>
        <w:between w:val="nil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TOCHeading">
    <w:name w:val="TOC Heading"/>
    <w:basedOn w:val="Heading1"/>
    <w:next w:val="Normal"/>
    <w:qFormat/>
    <w:pPr>
      <w:outlineLvl w:val="9"/>
    </w:pPr>
  </w:style>
  <w:style w:type="paragraph" w:customStyle="1" w:styleId="Standard">
    <w:name w:val="Standard"/>
    <w:basedOn w:val="Normal"/>
    <w:qFormat/>
    <w:pPr>
      <w:suppressAutoHyphens/>
    </w:pPr>
  </w:style>
  <w:style w:type="paragraph" w:styleId="TOC1">
    <w:name w:val="toc 1"/>
    <w:basedOn w:val="Normal"/>
    <w:next w:val="Normal"/>
    <w:qFormat/>
    <w:pPr>
      <w:spacing w:after="0"/>
    </w:pPr>
  </w:style>
  <w:style w:type="paragraph" w:styleId="TOC2">
    <w:name w:val="toc 2"/>
    <w:basedOn w:val="Normal"/>
    <w:next w:val="Normal"/>
    <w:qFormat/>
    <w:pPr>
      <w:spacing w:after="0"/>
      <w:ind w:left="288"/>
    </w:p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  <w:uiPriority w:val="99"/>
  </w:style>
  <w:style w:type="character" w:customStyle="1" w:styleId="Heading1Char">
    <w:name w:val="Heading 1 Char"/>
    <w:basedOn w:val="DefaultParagraphFont"/>
    <w:rPr>
      <w:rFonts w:ascii="Calibri" w:eastAsia="Calibri" w:hAnsi="Calibri" w:cs="Calibr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Calibri" w:hAnsi="Calibri" w:cs="Calibr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Calibri" w:hAnsi="Calibri" w:cs="Calibri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Calibri" w:hAnsi="Calibri" w:cs="Calibri"/>
      <w:color w:val="17365D"/>
      <w:spacing w:val="5"/>
      <w:kern w:val="1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Calibri" w:hAnsi="Calibri" w:cs="Calibri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Calibri" w:hAnsi="Calibri" w:cs="Calibr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Calibri" w:hAnsi="Calibri" w:cs="Calibri"/>
      <w:color w:val="243F60"/>
    </w:rPr>
  </w:style>
  <w:style w:type="character" w:customStyle="1" w:styleId="Heading6Char">
    <w:name w:val="Heading 6 Char"/>
    <w:basedOn w:val="DefaultParagraphFont"/>
    <w:rPr>
      <w:rFonts w:ascii="Calibri" w:eastAsia="Calibri" w:hAnsi="Calibri" w:cs="Calibri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Calibri" w:hAnsi="Calibri" w:cs="Calibri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Calibri" w:hAnsi="Calibri" w:cs="Calibri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Calibri" w:hAnsi="Calibri" w:cs="Calibri"/>
      <w:i/>
      <w:iCs/>
      <w:color w:val="404040"/>
      <w:sz w:val="20"/>
      <w:szCs w:val="20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0"/>
      <w:u w:val="single"/>
    </w:rPr>
  </w:style>
  <w:style w:type="character" w:styleId="BookTitle">
    <w:name w:val="Book Title"/>
    <w:basedOn w:val="DefaultParagraphFont"/>
    <w:rPr>
      <w:b/>
      <w:bCs/>
      <w:smallCaps/>
      <w:spacing w:val="0"/>
    </w:r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000000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4F81B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C0504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9BBB59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8064A2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4BACC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F7964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solid" w:color="C0C0C0" w:fill="auto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solid" w:color="C0C0C0" w:fill="auto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solid" w:color="D3DFEE" w:fill="auto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solid" w:color="D3DFEE" w:fill="auto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solid" w:color="EFD3D2" w:fill="auto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solid" w:color="EFD3D2" w:fill="auto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solid" w:color="E6EED5" w:fill="auto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solid" w:color="E6EED5" w:fill="auto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solid" w:color="DFD8E8" w:fill="auto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solid" w:color="DFD8E8" w:fill="auto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solid" w:color="D2EAF1" w:fill="auto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solid" w:color="D2EAF1" w:fill="auto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solid" w:color="FDE4D0" w:fill="auto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solid" w:color="FDE4D0" w:fill="auto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solid" w:color="000000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solid" w:color="4F81B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  <w:shd w:val="solid" w:color="C0504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  <w:shd w:val="solid" w:color="9BBB59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  <w:shd w:val="solid" w:color="8064A2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  <w:shd w:val="solid" w:color="4BACC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  <w:shd w:val="solid" w:color="F7964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000000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000000" w:fill="auto"/>
      </w:tcPr>
    </w:tblStylePr>
    <w:tblStylePr w:type="lastCol">
      <w:rPr>
        <w:b/>
        <w:bCs/>
        <w:color w:val="FFFFFF"/>
      </w:rPr>
      <w:tblPr/>
      <w:tcPr>
        <w:shd w:val="solid" w:color="000000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4F81BD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4F81BD" w:fill="auto"/>
      </w:tcPr>
    </w:tblStylePr>
    <w:tblStylePr w:type="lastCol">
      <w:rPr>
        <w:b/>
        <w:bCs/>
        <w:color w:val="FFFFFF"/>
      </w:rPr>
      <w:tblPr/>
      <w:tcPr>
        <w:shd w:val="solid" w:color="4F81BD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C0504D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C0504D" w:fill="auto"/>
      </w:tcPr>
    </w:tblStylePr>
    <w:tblStylePr w:type="lastCol">
      <w:rPr>
        <w:b/>
        <w:bCs/>
        <w:color w:val="FFFFFF"/>
      </w:rPr>
      <w:tblPr/>
      <w:tcPr>
        <w:shd w:val="solid" w:color="C0504D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9BBB59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9BBB59" w:fill="auto"/>
      </w:tcPr>
    </w:tblStylePr>
    <w:tblStylePr w:type="lastCol">
      <w:rPr>
        <w:b/>
        <w:bCs/>
        <w:color w:val="FFFFFF"/>
      </w:rPr>
      <w:tblPr/>
      <w:tcPr>
        <w:shd w:val="solid" w:color="9BBB59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8064A2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8064A2" w:fill="auto"/>
      </w:tcPr>
    </w:tblStylePr>
    <w:tblStylePr w:type="lastCol">
      <w:rPr>
        <w:b/>
        <w:bCs/>
        <w:color w:val="FFFFFF"/>
      </w:rPr>
      <w:tblPr/>
      <w:tcPr>
        <w:shd w:val="solid" w:color="8064A2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4BACC6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4BACC6" w:fill="auto"/>
      </w:tcPr>
    </w:tblStylePr>
    <w:tblStylePr w:type="lastCol">
      <w:rPr>
        <w:b/>
        <w:bCs/>
        <w:color w:val="FFFFFF"/>
      </w:rPr>
      <w:tblPr/>
      <w:tcPr>
        <w:shd w:val="solid" w:color="4BACC6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F79646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F79646" w:fill="auto"/>
      </w:tcPr>
    </w:tblStylePr>
    <w:tblStylePr w:type="lastCol">
      <w:rPr>
        <w:b/>
        <w:bCs/>
        <w:color w:val="FFFFFF"/>
      </w:rPr>
      <w:tblPr/>
      <w:tcPr>
        <w:shd w:val="solid" w:color="F79646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000000"/>
        </w:tcBorders>
        <w:shd w:val="solid" w:color="FFFFFF" w:fill="auto"/>
      </w:tcPr>
    </w:tblStylePr>
    <w:tblStylePr w:type="lastRow">
      <w:tblPr/>
      <w:tcPr>
        <w:tcBorders>
          <w:top w:val="single" w:sz="8" w:space="0" w:color="000000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000000"/>
        </w:tcBorders>
        <w:shd w:val="solid" w:color="FFFFFF" w:fill="auto"/>
      </w:tcPr>
    </w:tblStylePr>
    <w:tblStylePr w:type="lastCol">
      <w:tblPr/>
      <w:tcPr>
        <w:tcBorders>
          <w:left w:val="single" w:sz="8" w:space="0" w:color="000000"/>
        </w:tcBorders>
        <w:shd w:val="solid" w:color="FFFFFF" w:fill="auto"/>
      </w:tc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F81BD"/>
        </w:tcBorders>
        <w:shd w:val="solid" w:color="FFFFFF" w:fill="auto"/>
      </w:tcPr>
    </w:tblStylePr>
    <w:tblStylePr w:type="lastRow">
      <w:tblPr/>
      <w:tcPr>
        <w:tcBorders>
          <w:top w:val="single" w:sz="8" w:space="0" w:color="4F81BD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4F81BD"/>
        </w:tcBorders>
        <w:shd w:val="solid" w:color="FFFFFF" w:fill="auto"/>
      </w:tcPr>
    </w:tblStylePr>
    <w:tblStylePr w:type="lastCol">
      <w:tblPr/>
      <w:tcPr>
        <w:tcBorders>
          <w:left w:val="single" w:sz="8" w:space="0" w:color="4F81BD"/>
        </w:tcBorders>
        <w:shd w:val="solid" w:color="FFFFFF" w:fill="auto"/>
      </w:tc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C0504D"/>
        </w:tcBorders>
        <w:shd w:val="solid" w:color="FFFFFF" w:fill="auto"/>
      </w:tcPr>
    </w:tblStylePr>
    <w:tblStylePr w:type="lastRow">
      <w:tblPr/>
      <w:tcPr>
        <w:tcBorders>
          <w:top w:val="single" w:sz="8" w:space="0" w:color="C0504D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C0504D"/>
        </w:tcBorders>
        <w:shd w:val="solid" w:color="FFFFFF" w:fill="auto"/>
      </w:tcPr>
    </w:tblStylePr>
    <w:tblStylePr w:type="lastCol">
      <w:tblPr/>
      <w:tcPr>
        <w:tcBorders>
          <w:left w:val="single" w:sz="8" w:space="0" w:color="C0504D"/>
        </w:tcBorders>
        <w:shd w:val="solid" w:color="FFFFFF" w:fill="auto"/>
      </w:tc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9BBB59"/>
        </w:tcBorders>
        <w:shd w:val="solid" w:color="FFFFFF" w:fill="auto"/>
      </w:tcPr>
    </w:tblStylePr>
    <w:tblStylePr w:type="lastRow">
      <w:tblPr/>
      <w:tcPr>
        <w:tcBorders>
          <w:top w:val="single" w:sz="8" w:space="0" w:color="9BBB59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9BBB59"/>
        </w:tcBorders>
        <w:shd w:val="solid" w:color="FFFFFF" w:fill="auto"/>
      </w:tcPr>
    </w:tblStylePr>
    <w:tblStylePr w:type="lastCol">
      <w:tblPr/>
      <w:tcPr>
        <w:tcBorders>
          <w:left w:val="single" w:sz="8" w:space="0" w:color="9BBB59"/>
        </w:tcBorders>
        <w:shd w:val="solid" w:color="FFFFFF" w:fill="auto"/>
      </w:tc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8064A2"/>
        </w:tcBorders>
        <w:shd w:val="solid" w:color="FFFFFF" w:fill="auto"/>
      </w:tcPr>
    </w:tblStylePr>
    <w:tblStylePr w:type="lastRow">
      <w:tblPr/>
      <w:tcPr>
        <w:tcBorders>
          <w:top w:val="single" w:sz="8" w:space="0" w:color="8064A2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8064A2"/>
        </w:tcBorders>
        <w:shd w:val="solid" w:color="FFFFFF" w:fill="auto"/>
      </w:tcPr>
    </w:tblStylePr>
    <w:tblStylePr w:type="lastCol">
      <w:tblPr/>
      <w:tcPr>
        <w:tcBorders>
          <w:left w:val="single" w:sz="8" w:space="0" w:color="8064A2"/>
        </w:tcBorders>
        <w:shd w:val="solid" w:color="FFFFFF" w:fill="auto"/>
      </w:tc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BACC6"/>
        </w:tcBorders>
        <w:shd w:val="solid" w:color="FFFFFF" w:fill="auto"/>
      </w:tcPr>
    </w:tblStylePr>
    <w:tblStylePr w:type="lastRow">
      <w:tblPr/>
      <w:tcPr>
        <w:tcBorders>
          <w:top w:val="single" w:sz="8" w:space="0" w:color="4BACC6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4BACC6"/>
        </w:tcBorders>
        <w:shd w:val="solid" w:color="FFFFFF" w:fill="auto"/>
      </w:tcPr>
    </w:tblStylePr>
    <w:tblStylePr w:type="lastCol">
      <w:tblPr/>
      <w:tcPr>
        <w:tcBorders>
          <w:left w:val="single" w:sz="8" w:space="0" w:color="4BACC6"/>
        </w:tcBorders>
        <w:shd w:val="solid" w:color="FFFFFF" w:fill="auto"/>
      </w:tc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F79646"/>
        </w:tcBorders>
        <w:shd w:val="solid" w:color="FFFFFF" w:fill="auto"/>
      </w:tcPr>
    </w:tblStylePr>
    <w:tblStylePr w:type="lastRow">
      <w:tblPr/>
      <w:tcPr>
        <w:tcBorders>
          <w:top w:val="single" w:sz="8" w:space="0" w:color="F79646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F79646"/>
        </w:tcBorders>
        <w:shd w:val="solid" w:color="FFFFFF" w:fill="auto"/>
      </w:tcPr>
    </w:tblStylePr>
    <w:tblStylePr w:type="lastCol">
      <w:tblPr/>
      <w:tcPr>
        <w:tcBorders>
          <w:left w:val="single" w:sz="8" w:space="0" w:color="F79646"/>
        </w:tcBorders>
        <w:shd w:val="solid" w:color="FFFFFF" w:fill="auto"/>
      </w:tc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  <w:tblStylePr w:type="nwCell">
      <w:tblPr/>
      <w:tcPr>
        <w:shd w:val="solid" w:color="FFFFFF" w:fill="auto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solid" w:color="C0C0C0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808080" w:fill="auto"/>
      </w:tcPr>
    </w:tblStylePr>
    <w:tblStylePr w:type="band1Horz">
      <w:tblPr/>
      <w:tcPr>
        <w:shd w:val="solid" w:color="808080" w:fill="auto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solid" w:color="D3DFEE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A7BFDE" w:fill="auto"/>
      </w:tcPr>
    </w:tblStylePr>
    <w:tblStylePr w:type="band1Horz">
      <w:tblPr/>
      <w:tcPr>
        <w:shd w:val="solid" w:color="A7BFDE" w:fill="auto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solid" w:color="EFD3D2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A7A6" w:fill="auto"/>
      </w:tcPr>
    </w:tblStylePr>
    <w:tblStylePr w:type="band1Horz">
      <w:tblPr/>
      <w:tcPr>
        <w:shd w:val="solid" w:color="DFA7A6" w:fill="auto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solid" w:color="E6EED5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DDDAC" w:fill="auto"/>
      </w:tcPr>
    </w:tblStylePr>
    <w:tblStylePr w:type="band1Horz">
      <w:tblPr/>
      <w:tcPr>
        <w:shd w:val="solid" w:color="CDDDAC" w:fill="auto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solid" w:color="DFD8E8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BFB1D0" w:fill="auto"/>
      </w:tcPr>
    </w:tblStylePr>
    <w:tblStylePr w:type="band1Horz">
      <w:tblPr/>
      <w:tcPr>
        <w:shd w:val="solid" w:color="BFB1D0" w:fill="auto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solid" w:color="D2EAF1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A5D5E2" w:fill="auto"/>
      </w:tcPr>
    </w:tblStylePr>
    <w:tblStylePr w:type="band1Horz">
      <w:tblPr/>
      <w:tcPr>
        <w:shd w:val="solid" w:color="A5D5E2" w:fill="auto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solid" w:color="FDE4D0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BCAA2" w:fill="auto"/>
      </w:tcPr>
    </w:tblStylePr>
    <w:tblStylePr w:type="band1Horz">
      <w:tblPr/>
      <w:tcPr>
        <w:shd w:val="solid" w:color="FBCAA2" w:fill="auto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solid" w:color="C0C0C0" w:fill="auto"/>
    </w:tcPr>
    <w:tblStylePr w:type="firstRow">
      <w:rPr>
        <w:b/>
        <w:bCs/>
        <w:color w:val="000000"/>
      </w:rPr>
      <w:tblPr/>
      <w:tcPr>
        <w:shd w:val="solid" w:color="E6E6E6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CCCCCC" w:fill="auto"/>
      </w:tcPr>
    </w:tblStylePr>
    <w:tblStylePr w:type="band1Vert">
      <w:tblPr/>
      <w:tcPr>
        <w:shd w:val="solid" w:color="808080" w:fill="auto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solid" w:color="808080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solid" w:color="D3DFEE" w:fill="auto"/>
    </w:tcPr>
    <w:tblStylePr w:type="firstRow">
      <w:rPr>
        <w:b/>
        <w:bCs/>
        <w:color w:val="000000"/>
      </w:rPr>
      <w:tblPr/>
      <w:tcPr>
        <w:shd w:val="solid" w:color="EDF2F8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DBE5F1" w:fill="auto"/>
      </w:tcPr>
    </w:tblStylePr>
    <w:tblStylePr w:type="band1Vert">
      <w:tblPr/>
      <w:tcPr>
        <w:shd w:val="solid" w:color="A7BFDE" w:fill="auto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solid" w:color="A7BFDE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solid" w:color="EFD3D2" w:fill="auto"/>
    </w:tcPr>
    <w:tblStylePr w:type="firstRow">
      <w:rPr>
        <w:b/>
        <w:bCs/>
        <w:color w:val="000000"/>
      </w:rPr>
      <w:tblPr/>
      <w:tcPr>
        <w:shd w:val="solid" w:color="F8EDED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F2DBDB" w:fill="auto"/>
      </w:tcPr>
    </w:tblStylePr>
    <w:tblStylePr w:type="band1Vert">
      <w:tblPr/>
      <w:tcPr>
        <w:shd w:val="solid" w:color="DFA7A6" w:fill="auto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solid" w:color="DFA7A6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solid" w:color="E6EED5" w:fill="auto"/>
    </w:tcPr>
    <w:tblStylePr w:type="firstRow">
      <w:rPr>
        <w:b/>
        <w:bCs/>
        <w:color w:val="000000"/>
      </w:rPr>
      <w:tblPr/>
      <w:tcPr>
        <w:shd w:val="solid" w:color="F5F8EE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EAF1DD" w:fill="auto"/>
      </w:tcPr>
    </w:tblStylePr>
    <w:tblStylePr w:type="band1Vert">
      <w:tblPr/>
      <w:tcPr>
        <w:shd w:val="solid" w:color="CDDDAC" w:fill="auto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solid" w:color="CDDDAC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solid" w:color="DFD8E8" w:fill="auto"/>
    </w:tcPr>
    <w:tblStylePr w:type="firstRow">
      <w:rPr>
        <w:b/>
        <w:bCs/>
        <w:color w:val="000000"/>
      </w:rPr>
      <w:tblPr/>
      <w:tcPr>
        <w:shd w:val="solid" w:color="F2EFF6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E5DFEC" w:fill="auto"/>
      </w:tcPr>
    </w:tblStylePr>
    <w:tblStylePr w:type="band1Vert">
      <w:tblPr/>
      <w:tcPr>
        <w:shd w:val="solid" w:color="BFB1D0" w:fill="auto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solid" w:color="BFB1D0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solid" w:color="D2EAF1" w:fill="auto"/>
    </w:tcPr>
    <w:tblStylePr w:type="firstRow">
      <w:rPr>
        <w:b/>
        <w:bCs/>
        <w:color w:val="000000"/>
      </w:rPr>
      <w:tblPr/>
      <w:tcPr>
        <w:shd w:val="solid" w:color="EDF6F9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DAEEF3" w:fill="auto"/>
      </w:tcPr>
    </w:tblStylePr>
    <w:tblStylePr w:type="band1Vert">
      <w:tblPr/>
      <w:tcPr>
        <w:shd w:val="solid" w:color="A5D5E2" w:fill="auto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solid" w:color="A5D5E2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solid" w:color="FDE4D0" w:fill="auto"/>
    </w:tcPr>
    <w:tblStylePr w:type="firstRow">
      <w:rPr>
        <w:b/>
        <w:bCs/>
        <w:color w:val="000000"/>
      </w:rPr>
      <w:tblPr/>
      <w:tcPr>
        <w:shd w:val="solid" w:color="FEF4EC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FDE9D9" w:fill="auto"/>
      </w:tcPr>
    </w:tblStylePr>
    <w:tblStylePr w:type="band1Vert">
      <w:tblPr/>
      <w:tcPr>
        <w:shd w:val="solid" w:color="FBCAA2" w:fill="auto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solid" w:color="FBCAA2" w:fill="auto"/>
      </w:tcPr>
    </w:tblStylePr>
    <w:tblStylePr w:type="nwCell">
      <w:tblPr/>
      <w:tcPr>
        <w:shd w:val="solid" w:color="FFFFFF" w:fill="auto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C0C0C0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000000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000000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000000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000000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808080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808080" w:fill="auto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D3DFEE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4F81BD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4F81BD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4F81BD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4F81BD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A7BFDE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A7BFDE" w:fill="auto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EFD3D2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C0504D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C0504D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C0504D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C0504D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DFA7A6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DFA7A6" w:fill="auto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E6EED5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9BBB59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9BBB59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9BBB59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9BBB59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CDDDAC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CDDDAC" w:fill="auto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DFD8E8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8064A2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8064A2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8064A2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8064A2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BFB1D0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BFB1D0" w:fill="auto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D2EAF1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4BACC6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4BACC6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4BACC6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4BACC6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A5D5E2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A5D5E2" w:fill="auto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FDE4D0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F79646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F79646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F79646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F79646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FBCAA2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FBCAA2" w:fill="auto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000000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000000" w:fill="auto"/>
      </w:tcPr>
    </w:tblStylePr>
    <w:tblStylePr w:type="lastCol">
      <w:tblPr/>
      <w:tcPr>
        <w:tcBorders>
          <w:left w:val="single" w:sz="18" w:space="0" w:color="FFFFFF"/>
        </w:tcBorders>
        <w:shd w:val="solid" w:color="000000" w:fill="auto"/>
      </w:tcPr>
    </w:tblStylePr>
    <w:tblStylePr w:type="band1Vert">
      <w:tblPr/>
      <w:tcPr>
        <w:shd w:val="solid" w:color="000000" w:fill="auto"/>
      </w:tcPr>
    </w:tblStylePr>
    <w:tblStylePr w:type="band1Horz">
      <w:tblPr/>
      <w:tcPr>
        <w:shd w:val="solid" w:color="000000" w:fill="auto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243F60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365F91" w:fill="auto"/>
      </w:tcPr>
    </w:tblStylePr>
    <w:tblStylePr w:type="lastCol">
      <w:tblPr/>
      <w:tcPr>
        <w:tcBorders>
          <w:left w:val="single" w:sz="18" w:space="0" w:color="FFFFFF"/>
        </w:tcBorders>
        <w:shd w:val="solid" w:color="365F91" w:fill="auto"/>
      </w:tcPr>
    </w:tblStylePr>
    <w:tblStylePr w:type="band1Vert">
      <w:tblPr/>
      <w:tcPr>
        <w:shd w:val="solid" w:color="365F91" w:fill="auto"/>
      </w:tcPr>
    </w:tblStylePr>
    <w:tblStylePr w:type="band1Horz">
      <w:tblPr/>
      <w:tcPr>
        <w:shd w:val="solid" w:color="365F91" w:fill="auto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622423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943634" w:fill="auto"/>
      </w:tcPr>
    </w:tblStylePr>
    <w:tblStylePr w:type="lastCol">
      <w:tblPr/>
      <w:tcPr>
        <w:tcBorders>
          <w:left w:val="single" w:sz="18" w:space="0" w:color="FFFFFF"/>
        </w:tcBorders>
        <w:shd w:val="solid" w:color="943634" w:fill="auto"/>
      </w:tcPr>
    </w:tblStylePr>
    <w:tblStylePr w:type="band1Vert">
      <w:tblPr/>
      <w:tcPr>
        <w:shd w:val="solid" w:color="943634" w:fill="auto"/>
      </w:tcPr>
    </w:tblStylePr>
    <w:tblStylePr w:type="band1Horz">
      <w:tblPr/>
      <w:tcPr>
        <w:shd w:val="solid" w:color="943634" w:fill="auto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4E6128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76923C" w:fill="auto"/>
      </w:tcPr>
    </w:tblStylePr>
    <w:tblStylePr w:type="lastCol">
      <w:tblPr/>
      <w:tcPr>
        <w:tcBorders>
          <w:left w:val="single" w:sz="18" w:space="0" w:color="FFFFFF"/>
        </w:tcBorders>
        <w:shd w:val="solid" w:color="76923C" w:fill="auto"/>
      </w:tcPr>
    </w:tblStylePr>
    <w:tblStylePr w:type="band1Vert">
      <w:tblPr/>
      <w:tcPr>
        <w:shd w:val="solid" w:color="76923C" w:fill="auto"/>
      </w:tcPr>
    </w:tblStylePr>
    <w:tblStylePr w:type="band1Horz">
      <w:tblPr/>
      <w:tcPr>
        <w:shd w:val="solid" w:color="76923C" w:fill="auto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3F3151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5F497A" w:fill="auto"/>
      </w:tcPr>
    </w:tblStylePr>
    <w:tblStylePr w:type="lastCol">
      <w:tblPr/>
      <w:tcPr>
        <w:tcBorders>
          <w:left w:val="single" w:sz="18" w:space="0" w:color="FFFFFF"/>
        </w:tcBorders>
        <w:shd w:val="solid" w:color="5F497A" w:fill="auto"/>
      </w:tcPr>
    </w:tblStylePr>
    <w:tblStylePr w:type="band1Vert">
      <w:tblPr/>
      <w:tcPr>
        <w:shd w:val="solid" w:color="5F497A" w:fill="auto"/>
      </w:tcPr>
    </w:tblStylePr>
    <w:tblStylePr w:type="band1Horz">
      <w:tblPr/>
      <w:tcPr>
        <w:shd w:val="solid" w:color="5F497A" w:fill="auto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205867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31849B" w:fill="auto"/>
      </w:tcPr>
    </w:tblStylePr>
    <w:tblStylePr w:type="lastCol">
      <w:tblPr/>
      <w:tcPr>
        <w:tcBorders>
          <w:left w:val="single" w:sz="18" w:space="0" w:color="FFFFFF"/>
        </w:tcBorders>
        <w:shd w:val="solid" w:color="31849B" w:fill="auto"/>
      </w:tcPr>
    </w:tblStylePr>
    <w:tblStylePr w:type="band1Vert">
      <w:tblPr/>
      <w:tcPr>
        <w:shd w:val="solid" w:color="31849B" w:fill="auto"/>
      </w:tcPr>
    </w:tblStylePr>
    <w:tblStylePr w:type="band1Horz">
      <w:tblPr/>
      <w:tcPr>
        <w:shd w:val="solid" w:color="31849B" w:fill="auto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974706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E36C0A" w:fill="auto"/>
      </w:tcPr>
    </w:tblStylePr>
    <w:tblStylePr w:type="lastCol">
      <w:tblPr/>
      <w:tcPr>
        <w:tcBorders>
          <w:left w:val="single" w:sz="18" w:space="0" w:color="FFFFFF"/>
        </w:tcBorders>
        <w:shd w:val="solid" w:color="E36C0A" w:fill="auto"/>
      </w:tcPr>
    </w:tblStylePr>
    <w:tblStylePr w:type="band1Vert">
      <w:tblPr/>
      <w:tcPr>
        <w:shd w:val="solid" w:color="E36C0A" w:fill="auto"/>
      </w:tcPr>
    </w:tblStylePr>
    <w:tblStylePr w:type="band1Horz">
      <w:tblPr/>
      <w:tcPr>
        <w:shd w:val="solid" w:color="E36C0A" w:fill="auto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solid" w:color="E6E6E6" w:fill="auto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000000" w:fill="auto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solid" w:color="000000" w:fill="auto"/>
      </w:tcPr>
    </w:tblStylePr>
    <w:tblStylePr w:type="lastCol">
      <w:rPr>
        <w:color w:val="FFFFFF"/>
      </w:rPr>
      <w:tblPr/>
      <w:tcPr>
        <w:shd w:val="solid" w:color="000000" w:fill="auto"/>
      </w:tcPr>
    </w:tblStylePr>
    <w:tblStylePr w:type="band1Vert">
      <w:tblPr/>
      <w:tcPr>
        <w:shd w:val="solid" w:color="999999" w:fill="auto"/>
      </w:tcPr>
    </w:tblStylePr>
    <w:tblStylePr w:type="band1Horz">
      <w:tblPr/>
      <w:tcPr>
        <w:shd w:val="solid" w:color="808080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solid" w:color="EDF2F8" w:fill="auto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2C4C74" w:fill="auto"/>
      </w:tcPr>
    </w:tblStylePr>
    <w:tblStylePr w:type="firstCol">
      <w:rPr>
        <w:color w:val="FFFFFF"/>
      </w:rPr>
      <w:tblPr/>
      <w:tcPr>
        <w:tcBorders>
          <w:insideH w:val="single" w:sz="4" w:space="0" w:color="2C4C74"/>
        </w:tcBorders>
        <w:shd w:val="solid" w:color="2C4C74" w:fill="auto"/>
      </w:tcPr>
    </w:tblStylePr>
    <w:tblStylePr w:type="lastCol">
      <w:rPr>
        <w:color w:val="FFFFFF"/>
      </w:rPr>
      <w:tblPr/>
      <w:tcPr>
        <w:shd w:val="solid" w:color="2C4C74" w:fill="auto"/>
      </w:tcPr>
    </w:tblStylePr>
    <w:tblStylePr w:type="band1Vert">
      <w:tblPr/>
      <w:tcPr>
        <w:shd w:val="solid" w:color="B8CCE4" w:fill="auto"/>
      </w:tcPr>
    </w:tblStylePr>
    <w:tblStylePr w:type="band1Horz">
      <w:tblPr/>
      <w:tcPr>
        <w:shd w:val="solid" w:color="A7BFDE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solid" w:color="F8EDED" w:fill="auto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772C2A" w:fill="auto"/>
      </w:tcPr>
    </w:tblStylePr>
    <w:tblStylePr w:type="firstCol">
      <w:rPr>
        <w:color w:val="FFFFFF"/>
      </w:rPr>
      <w:tblPr/>
      <w:tcPr>
        <w:tcBorders>
          <w:insideH w:val="single" w:sz="4" w:space="0" w:color="772C2A"/>
        </w:tcBorders>
        <w:shd w:val="solid" w:color="772C2A" w:fill="auto"/>
      </w:tcPr>
    </w:tblStylePr>
    <w:tblStylePr w:type="lastCol">
      <w:rPr>
        <w:color w:val="FFFFFF"/>
      </w:rPr>
      <w:tblPr/>
      <w:tcPr>
        <w:shd w:val="solid" w:color="772C2A" w:fill="auto"/>
      </w:tcPr>
    </w:tblStylePr>
    <w:tblStylePr w:type="band1Vert">
      <w:tblPr/>
      <w:tcPr>
        <w:shd w:val="solid" w:color="E5B8B7" w:fill="auto"/>
      </w:tcPr>
    </w:tblStylePr>
    <w:tblStylePr w:type="band1Horz">
      <w:tblPr/>
      <w:tcPr>
        <w:shd w:val="solid" w:color="DFA7A6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solid" w:color="F5F8EE" w:fill="auto"/>
    </w:tcPr>
    <w:tblStylePr w:type="firstRow">
      <w:rPr>
        <w:b/>
        <w:bCs/>
      </w:rPr>
      <w:tblPr/>
      <w:tcPr>
        <w:tcBorders>
          <w:bottom w:val="single" w:sz="24" w:space="0" w:color="8064A2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5E7530" w:fill="auto"/>
      </w:tcPr>
    </w:tblStylePr>
    <w:tblStylePr w:type="firstCol">
      <w:rPr>
        <w:color w:val="FFFFFF"/>
      </w:rPr>
      <w:tblPr/>
      <w:tcPr>
        <w:tcBorders>
          <w:insideH w:val="single" w:sz="4" w:space="0" w:color="5E7530"/>
        </w:tcBorders>
        <w:shd w:val="solid" w:color="5E7530" w:fill="auto"/>
      </w:tcPr>
    </w:tblStylePr>
    <w:tblStylePr w:type="lastCol">
      <w:rPr>
        <w:color w:val="FFFFFF"/>
      </w:rPr>
      <w:tblPr/>
      <w:tcPr>
        <w:shd w:val="solid" w:color="5E7530" w:fill="auto"/>
      </w:tcPr>
    </w:tblStylePr>
    <w:tblStylePr w:type="band1Vert">
      <w:tblPr/>
      <w:tcPr>
        <w:shd w:val="solid" w:color="D6E3BC" w:fill="auto"/>
      </w:tcPr>
    </w:tblStylePr>
    <w:tblStylePr w:type="band1Horz">
      <w:tblPr/>
      <w:tcPr>
        <w:shd w:val="solid" w:color="CDDDAC" w:fill="auto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solid" w:color="F2EFF6" w:fill="auto"/>
    </w:tcPr>
    <w:tblStylePr w:type="firstRow">
      <w:rPr>
        <w:b/>
        <w:bCs/>
      </w:rPr>
      <w:tblPr/>
      <w:tcPr>
        <w:tcBorders>
          <w:bottom w:val="single" w:sz="24" w:space="0" w:color="9BBB59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4C3B62" w:fill="auto"/>
      </w:tcPr>
    </w:tblStylePr>
    <w:tblStylePr w:type="firstCol">
      <w:rPr>
        <w:color w:val="FFFFFF"/>
      </w:rPr>
      <w:tblPr/>
      <w:tcPr>
        <w:tcBorders>
          <w:insideH w:val="single" w:sz="4" w:space="0" w:color="4C3B62"/>
        </w:tcBorders>
        <w:shd w:val="solid" w:color="4C3B62" w:fill="auto"/>
      </w:tcPr>
    </w:tblStylePr>
    <w:tblStylePr w:type="lastCol">
      <w:rPr>
        <w:color w:val="FFFFFF"/>
      </w:rPr>
      <w:tblPr/>
      <w:tcPr>
        <w:shd w:val="solid" w:color="4C3B62" w:fill="auto"/>
      </w:tcPr>
    </w:tblStylePr>
    <w:tblStylePr w:type="band1Vert">
      <w:tblPr/>
      <w:tcPr>
        <w:shd w:val="solid" w:color="CCC0D9" w:fill="auto"/>
      </w:tcPr>
    </w:tblStylePr>
    <w:tblStylePr w:type="band1Horz">
      <w:tblPr/>
      <w:tcPr>
        <w:shd w:val="solid" w:color="BFB1D0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solid" w:color="EDF6F9" w:fill="auto"/>
    </w:tcPr>
    <w:tblStylePr w:type="firstRow">
      <w:rPr>
        <w:b/>
        <w:bCs/>
      </w:rPr>
      <w:tblPr/>
      <w:tcPr>
        <w:tcBorders>
          <w:bottom w:val="single" w:sz="24" w:space="0" w:color="F79646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276A7C" w:fill="auto"/>
      </w:tcPr>
    </w:tblStylePr>
    <w:tblStylePr w:type="firstCol">
      <w:rPr>
        <w:color w:val="FFFFFF"/>
      </w:rPr>
      <w:tblPr/>
      <w:tcPr>
        <w:tcBorders>
          <w:insideH w:val="single" w:sz="4" w:space="0" w:color="276A7C"/>
        </w:tcBorders>
        <w:shd w:val="solid" w:color="276A7C" w:fill="auto"/>
      </w:tcPr>
    </w:tblStylePr>
    <w:tblStylePr w:type="lastCol">
      <w:rPr>
        <w:color w:val="FFFFFF"/>
      </w:rPr>
      <w:tblPr/>
      <w:tcPr>
        <w:shd w:val="solid" w:color="276A7C" w:fill="auto"/>
      </w:tcPr>
    </w:tblStylePr>
    <w:tblStylePr w:type="band1Vert">
      <w:tblPr/>
      <w:tcPr>
        <w:shd w:val="solid" w:color="B6DDE8" w:fill="auto"/>
      </w:tcPr>
    </w:tblStylePr>
    <w:tblStylePr w:type="band1Horz">
      <w:tblPr/>
      <w:tcPr>
        <w:shd w:val="solid" w:color="A5D5E2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solid" w:color="FEF4EC" w:fill="auto"/>
    </w:tcPr>
    <w:tblStylePr w:type="firstRow">
      <w:rPr>
        <w:b/>
        <w:bCs/>
      </w:rPr>
      <w:tblPr/>
      <w:tcPr>
        <w:tcBorders>
          <w:bottom w:val="single" w:sz="24" w:space="0" w:color="4BACC6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B65608" w:fill="auto"/>
      </w:tcPr>
    </w:tblStylePr>
    <w:tblStylePr w:type="firstCol">
      <w:rPr>
        <w:color w:val="FFFFFF"/>
      </w:rPr>
      <w:tblPr/>
      <w:tcPr>
        <w:tcBorders>
          <w:insideH w:val="single" w:sz="4" w:space="0" w:color="B65608"/>
        </w:tcBorders>
        <w:shd w:val="solid" w:color="B65608" w:fill="auto"/>
      </w:tcPr>
    </w:tblStylePr>
    <w:tblStylePr w:type="lastCol">
      <w:rPr>
        <w:color w:val="FFFFFF"/>
      </w:rPr>
      <w:tblPr/>
      <w:tcPr>
        <w:shd w:val="solid" w:color="B65608" w:fill="auto"/>
      </w:tcPr>
    </w:tblStylePr>
    <w:tblStylePr w:type="band1Vert">
      <w:tblPr/>
      <w:tcPr>
        <w:shd w:val="solid" w:color="FBD4B4" w:fill="auto"/>
      </w:tcPr>
    </w:tblStylePr>
    <w:tblStylePr w:type="band1Horz">
      <w:tblPr/>
      <w:tcPr>
        <w:shd w:val="solid" w:color="FBCAA2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9E3A38" w:fill="auto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CCCCC" w:fill="auto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9E3A38" w:fill="auto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BE5F1" w:fill="auto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9E3A38" w:fill="auto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F2DBDB" w:fill="auto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664E82" w:fill="auto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AF1DD" w:fill="auto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7E9C40" w:fill="auto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E5DFEC" w:fill="auto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F2730A" w:fill="auto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AEEF3" w:fill="auto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348DA5" w:fill="auto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9D9" w:fill="auto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solid" w:color="CCCCCC" w:fill="auto"/>
    </w:tcPr>
    <w:tblStylePr w:type="firstRow">
      <w:rPr>
        <w:b/>
        <w:bCs/>
      </w:rPr>
      <w:tblPr/>
      <w:tcPr>
        <w:shd w:val="solid" w:color="999999" w:fill="auto"/>
      </w:tcPr>
    </w:tblStylePr>
    <w:tblStylePr w:type="lastRow">
      <w:rPr>
        <w:b/>
        <w:bCs/>
        <w:color w:val="000000"/>
      </w:rPr>
      <w:tblPr/>
      <w:tcPr>
        <w:shd w:val="solid" w:color="999999" w:fill="auto"/>
      </w:tcPr>
    </w:tblStylePr>
    <w:tblStylePr w:type="firstCol">
      <w:rPr>
        <w:color w:val="FFFFFF"/>
      </w:rPr>
      <w:tblPr/>
      <w:tcPr>
        <w:shd w:val="solid" w:color="000000" w:fill="auto"/>
      </w:tcPr>
    </w:tblStylePr>
    <w:tblStylePr w:type="lastCol">
      <w:rPr>
        <w:color w:val="FFFFFF"/>
      </w:rPr>
      <w:tblPr/>
      <w:tcPr>
        <w:shd w:val="solid" w:color="000000" w:fill="auto"/>
      </w:tcPr>
    </w:tblStylePr>
    <w:tblStylePr w:type="band1Vert">
      <w:tblPr/>
      <w:tcPr>
        <w:shd w:val="solid" w:color="808080" w:fill="auto"/>
      </w:tcPr>
    </w:tblStylePr>
    <w:tblStylePr w:type="band1Horz">
      <w:tblPr/>
      <w:tcPr>
        <w:shd w:val="solid" w:color="808080" w:fill="auto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solid" w:color="DBE5F1" w:fill="auto"/>
    </w:tcPr>
    <w:tblStylePr w:type="firstRow">
      <w:rPr>
        <w:b/>
        <w:bCs/>
      </w:rPr>
      <w:tblPr/>
      <w:tcPr>
        <w:shd w:val="solid" w:color="B8CCE4" w:fill="auto"/>
      </w:tcPr>
    </w:tblStylePr>
    <w:tblStylePr w:type="lastRow">
      <w:rPr>
        <w:b/>
        <w:bCs/>
        <w:color w:val="000000"/>
      </w:rPr>
      <w:tblPr/>
      <w:tcPr>
        <w:shd w:val="solid" w:color="B8CCE4" w:fill="auto"/>
      </w:tcPr>
    </w:tblStylePr>
    <w:tblStylePr w:type="firstCol">
      <w:rPr>
        <w:color w:val="FFFFFF"/>
      </w:rPr>
      <w:tblPr/>
      <w:tcPr>
        <w:shd w:val="solid" w:color="365F91" w:fill="auto"/>
      </w:tcPr>
    </w:tblStylePr>
    <w:tblStylePr w:type="lastCol">
      <w:rPr>
        <w:color w:val="FFFFFF"/>
      </w:rPr>
      <w:tblPr/>
      <w:tcPr>
        <w:shd w:val="solid" w:color="365F91" w:fill="auto"/>
      </w:tcPr>
    </w:tblStylePr>
    <w:tblStylePr w:type="band1Vert">
      <w:tblPr/>
      <w:tcPr>
        <w:shd w:val="solid" w:color="A7BFDE" w:fill="auto"/>
      </w:tcPr>
    </w:tblStylePr>
    <w:tblStylePr w:type="band1Horz">
      <w:tblPr/>
      <w:tcPr>
        <w:shd w:val="solid" w:color="A7BFDE" w:fill="auto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solid" w:color="F2DBDB" w:fill="auto"/>
    </w:tcPr>
    <w:tblStylePr w:type="firstRow">
      <w:rPr>
        <w:b/>
        <w:bCs/>
      </w:rPr>
      <w:tblPr/>
      <w:tcPr>
        <w:shd w:val="solid" w:color="E5B8B7" w:fill="auto"/>
      </w:tcPr>
    </w:tblStylePr>
    <w:tblStylePr w:type="lastRow">
      <w:rPr>
        <w:b/>
        <w:bCs/>
        <w:color w:val="000000"/>
      </w:rPr>
      <w:tblPr/>
      <w:tcPr>
        <w:shd w:val="solid" w:color="E5B8B7" w:fill="auto"/>
      </w:tcPr>
    </w:tblStylePr>
    <w:tblStylePr w:type="firstCol">
      <w:rPr>
        <w:color w:val="FFFFFF"/>
      </w:rPr>
      <w:tblPr/>
      <w:tcPr>
        <w:shd w:val="solid" w:color="943634" w:fill="auto"/>
      </w:tcPr>
    </w:tblStylePr>
    <w:tblStylePr w:type="lastCol">
      <w:rPr>
        <w:color w:val="FFFFFF"/>
      </w:rPr>
      <w:tblPr/>
      <w:tcPr>
        <w:shd w:val="solid" w:color="943634" w:fill="auto"/>
      </w:tcPr>
    </w:tblStylePr>
    <w:tblStylePr w:type="band1Vert">
      <w:tblPr/>
      <w:tcPr>
        <w:shd w:val="solid" w:color="DFA7A6" w:fill="auto"/>
      </w:tcPr>
    </w:tblStylePr>
    <w:tblStylePr w:type="band1Horz">
      <w:tblPr/>
      <w:tcPr>
        <w:shd w:val="solid" w:color="DFA7A6" w:fill="auto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solid" w:color="EAF1DD" w:fill="auto"/>
    </w:tcPr>
    <w:tblStylePr w:type="firstRow">
      <w:rPr>
        <w:b/>
        <w:bCs/>
      </w:rPr>
      <w:tblPr/>
      <w:tcPr>
        <w:shd w:val="solid" w:color="D6E3BC" w:fill="auto"/>
      </w:tcPr>
    </w:tblStylePr>
    <w:tblStylePr w:type="lastRow">
      <w:rPr>
        <w:b/>
        <w:bCs/>
        <w:color w:val="000000"/>
      </w:rPr>
      <w:tblPr/>
      <w:tcPr>
        <w:shd w:val="solid" w:color="D6E3BC" w:fill="auto"/>
      </w:tcPr>
    </w:tblStylePr>
    <w:tblStylePr w:type="firstCol">
      <w:rPr>
        <w:color w:val="FFFFFF"/>
      </w:rPr>
      <w:tblPr/>
      <w:tcPr>
        <w:shd w:val="solid" w:color="76923C" w:fill="auto"/>
      </w:tcPr>
    </w:tblStylePr>
    <w:tblStylePr w:type="lastCol">
      <w:rPr>
        <w:color w:val="FFFFFF"/>
      </w:rPr>
      <w:tblPr/>
      <w:tcPr>
        <w:shd w:val="solid" w:color="76923C" w:fill="auto"/>
      </w:tcPr>
    </w:tblStylePr>
    <w:tblStylePr w:type="band1Vert">
      <w:tblPr/>
      <w:tcPr>
        <w:shd w:val="solid" w:color="CDDDAC" w:fill="auto"/>
      </w:tcPr>
    </w:tblStylePr>
    <w:tblStylePr w:type="band1Horz">
      <w:tblPr/>
      <w:tcPr>
        <w:shd w:val="solid" w:color="CDDDAC" w:fill="auto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solid" w:color="E5DFEC" w:fill="auto"/>
    </w:tcPr>
    <w:tblStylePr w:type="firstRow">
      <w:rPr>
        <w:b/>
        <w:bCs/>
      </w:rPr>
      <w:tblPr/>
      <w:tcPr>
        <w:shd w:val="solid" w:color="CCC0D9" w:fill="auto"/>
      </w:tcPr>
    </w:tblStylePr>
    <w:tblStylePr w:type="lastRow">
      <w:rPr>
        <w:b/>
        <w:bCs/>
        <w:color w:val="000000"/>
      </w:rPr>
      <w:tblPr/>
      <w:tcPr>
        <w:shd w:val="solid" w:color="CCC0D9" w:fill="auto"/>
      </w:tcPr>
    </w:tblStylePr>
    <w:tblStylePr w:type="firstCol">
      <w:rPr>
        <w:color w:val="FFFFFF"/>
      </w:rPr>
      <w:tblPr/>
      <w:tcPr>
        <w:shd w:val="solid" w:color="5F497A" w:fill="auto"/>
      </w:tcPr>
    </w:tblStylePr>
    <w:tblStylePr w:type="lastCol">
      <w:rPr>
        <w:color w:val="FFFFFF"/>
      </w:rPr>
      <w:tblPr/>
      <w:tcPr>
        <w:shd w:val="solid" w:color="5F497A" w:fill="auto"/>
      </w:tcPr>
    </w:tblStylePr>
    <w:tblStylePr w:type="band1Vert">
      <w:tblPr/>
      <w:tcPr>
        <w:shd w:val="solid" w:color="BFB1D0" w:fill="auto"/>
      </w:tcPr>
    </w:tblStylePr>
    <w:tblStylePr w:type="band1Horz">
      <w:tblPr/>
      <w:tcPr>
        <w:shd w:val="solid" w:color="BFB1D0" w:fill="auto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solid" w:color="DAEEF3" w:fill="auto"/>
    </w:tcPr>
    <w:tblStylePr w:type="firstRow">
      <w:rPr>
        <w:b/>
        <w:bCs/>
      </w:rPr>
      <w:tblPr/>
      <w:tcPr>
        <w:shd w:val="solid" w:color="B6DDE8" w:fill="auto"/>
      </w:tcPr>
    </w:tblStylePr>
    <w:tblStylePr w:type="lastRow">
      <w:rPr>
        <w:b/>
        <w:bCs/>
        <w:color w:val="000000"/>
      </w:rPr>
      <w:tblPr/>
      <w:tcPr>
        <w:shd w:val="solid" w:color="B6DDE8" w:fill="auto"/>
      </w:tcPr>
    </w:tblStylePr>
    <w:tblStylePr w:type="firstCol">
      <w:rPr>
        <w:color w:val="FFFFFF"/>
      </w:rPr>
      <w:tblPr/>
      <w:tcPr>
        <w:shd w:val="solid" w:color="31849B" w:fill="auto"/>
      </w:tcPr>
    </w:tblStylePr>
    <w:tblStylePr w:type="lastCol">
      <w:rPr>
        <w:color w:val="FFFFFF"/>
      </w:rPr>
      <w:tblPr/>
      <w:tcPr>
        <w:shd w:val="solid" w:color="31849B" w:fill="auto"/>
      </w:tcPr>
    </w:tblStylePr>
    <w:tblStylePr w:type="band1Vert">
      <w:tblPr/>
      <w:tcPr>
        <w:shd w:val="solid" w:color="A5D5E2" w:fill="auto"/>
      </w:tcPr>
    </w:tblStylePr>
    <w:tblStylePr w:type="band1Horz">
      <w:tblPr/>
      <w:tcPr>
        <w:shd w:val="solid" w:color="A5D5E2" w:fill="auto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solid" w:color="FDE9D9" w:fill="auto"/>
    </w:tcPr>
    <w:tblStylePr w:type="firstRow">
      <w:rPr>
        <w:b/>
        <w:bCs/>
      </w:rPr>
      <w:tblPr/>
      <w:tcPr>
        <w:shd w:val="solid" w:color="FBD4B4" w:fill="auto"/>
      </w:tcPr>
    </w:tblStylePr>
    <w:tblStylePr w:type="lastRow">
      <w:rPr>
        <w:b/>
        <w:bCs/>
        <w:color w:val="000000"/>
      </w:rPr>
      <w:tblPr/>
      <w:tcPr>
        <w:shd w:val="solid" w:color="FBD4B4" w:fill="auto"/>
      </w:tcPr>
    </w:tblStylePr>
    <w:tblStylePr w:type="firstCol">
      <w:rPr>
        <w:color w:val="FFFFFF"/>
      </w:rPr>
      <w:tblPr/>
      <w:tcPr>
        <w:shd w:val="solid" w:color="E36C0A" w:fill="auto"/>
      </w:tcPr>
    </w:tblStylePr>
    <w:tblStylePr w:type="lastCol">
      <w:rPr>
        <w:color w:val="FFFFFF"/>
      </w:rPr>
      <w:tblPr/>
      <w:tcPr>
        <w:shd w:val="solid" w:color="E36C0A" w:fill="auto"/>
      </w:tcPr>
    </w:tblStylePr>
    <w:tblStylePr w:type="band1Vert">
      <w:tblPr/>
      <w:tcPr>
        <w:shd w:val="solid" w:color="FBCAA2" w:fill="auto"/>
      </w:tcPr>
    </w:tblStylePr>
    <w:tblStylePr w:type="band1Horz">
      <w:tblPr/>
      <w:tcPr>
        <w:shd w:val="solid" w:color="FBCAA2" w:fill="auto"/>
      </w:tcPr>
    </w:tblStylePr>
  </w:style>
  <w:style w:type="character" w:styleId="PageNumber">
    <w:name w:val="page number"/>
    <w:basedOn w:val="DefaultParagraphFont"/>
    <w:uiPriority w:val="99"/>
    <w:rsid w:val="00912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2428</Words>
  <Characters>13842</Characters>
  <Application>Microsoft Office Word</Application>
  <DocSecurity>0</DocSecurity>
  <Lines>115</Lines>
  <Paragraphs>32</Paragraphs>
  <ScaleCrop>false</ScaleCrop>
  <Company/>
  <LinksUpToDate>false</LinksUpToDate>
  <CharactersWithSpaces>16238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Ivanov</cp:lastModifiedBy>
  <cp:revision>12</cp:revision>
  <cp:lastPrinted>2025-11-15T07:06:00Z</cp:lastPrinted>
  <dcterms:created xsi:type="dcterms:W3CDTF">2013-12-23T23:15:00Z</dcterms:created>
  <dcterms:modified xsi:type="dcterms:W3CDTF">2025-11-15T07:10:00Z</dcterms:modified>
</cp:coreProperties>
</file>