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76A753DB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 xml:space="preserve">муниципальном районе </w:t>
      </w:r>
      <w:r w:rsidR="00961CF1">
        <w:rPr>
          <w:rFonts w:ascii="Times New Roman" w:hAnsi="Times New Roman" w:cs="Times New Roman"/>
          <w:b/>
          <w:sz w:val="36"/>
          <w:szCs w:val="36"/>
        </w:rPr>
        <w:t>Караидельский</w:t>
      </w:r>
      <w:r w:rsidR="00235A7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33941FEA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r w:rsidR="00961CF1">
        <w:rPr>
          <w:rFonts w:ascii="Times New Roman" w:hAnsi="Times New Roman" w:cs="Times New Roman"/>
          <w:sz w:val="28"/>
          <w:szCs w:val="28"/>
        </w:rPr>
        <w:t>Караидельский</w:t>
      </w:r>
      <w:r w:rsidRPr="00CF740F">
        <w:rPr>
          <w:rFonts w:ascii="Times New Roman" w:hAnsi="Times New Roman" w:cs="Times New Roman"/>
          <w:sz w:val="28"/>
          <w:szCs w:val="28"/>
        </w:rPr>
        <w:t xml:space="preserve"> 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2100EA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7D2C0B" w:rsidRPr="006A1C9C" w14:paraId="5967B7A9" w14:textId="77777777" w:rsidTr="007A2F1C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7D2C0B" w:rsidRPr="006A1C9C" w:rsidRDefault="007D2C0B" w:rsidP="007D2C0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417A9231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1373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164735A6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1479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44E1DE99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28255D63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599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3C7C7595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0DB7AE12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-181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5A9DB351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6EF50EE7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4A49A403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-263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0625D6BE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74ABEDB8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02CB9C9D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</w:tr>
      <w:tr w:rsidR="007D2C0B" w:rsidRPr="006A1C9C" w14:paraId="3F309D44" w14:textId="77777777" w:rsidTr="007A2F1C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7D2C0B" w:rsidRPr="006A1C9C" w:rsidRDefault="007D2C0B" w:rsidP="007D2C0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6EE6B004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1189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22FB7B92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1340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24C05C18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-151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0299C636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6055AFA6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52406FB0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0D099180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431F97D1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2E100F3C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-203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39253043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62B94E68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7A01E456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</w:tr>
      <w:tr w:rsidR="009E68A8" w:rsidRPr="006A1C9C" w14:paraId="4F47A395" w14:textId="77777777" w:rsidTr="007A2F1C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9E68A8" w:rsidRPr="006A1C9C" w:rsidRDefault="009E68A8" w:rsidP="009E68A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634FF9F5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1093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0E351236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1325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25084BCE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-232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4A50DB6D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469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1AFECA47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3BA2CBED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-283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6F761D89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2157F3D4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4631C496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-259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7E4F8DA6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4CFA0D5E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2FDFB6ED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7A2F1C" w:rsidRPr="006A1C9C" w14:paraId="46622E13" w14:textId="77777777" w:rsidTr="007A2F1C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7A2F1C" w:rsidRPr="006A1C9C" w:rsidRDefault="007A2F1C" w:rsidP="007A2F1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6B12894A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1070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4129BB7E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1342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790AA1EB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-272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27F2A9B6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23656FFA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0585A0E4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-308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727A00D9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4D7F839C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2FE8DE66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-226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13A8CA05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4D5AE8EC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33A68E09" w:rsidR="007A2F1C" w:rsidRPr="00D33048" w:rsidRDefault="007A2F1C" w:rsidP="007A2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</w:tr>
      <w:tr w:rsidR="00D86CB0" w:rsidRPr="006A1C9C" w14:paraId="72FD605B" w14:textId="77777777" w:rsidTr="00792D96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D86CB0" w:rsidRPr="006A1C9C" w:rsidRDefault="00D86CB0" w:rsidP="00D86CB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097D2F79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807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2292E091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1062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77BDE992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-255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4BB69082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35D2987B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6B306492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-307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3A8F3697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232E1AF2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3ACC7275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-188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504FC35A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1F062D29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4AFF5316" w:rsidR="00D86CB0" w:rsidRPr="00D33048" w:rsidRDefault="00D86CB0" w:rsidP="00D86C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bookmarkStart w:id="0" w:name="_GoBack"/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bookmarkEnd w:id="0"/>
      <w:tr w:rsidR="001921EB" w:rsidRPr="00B64C8C" w14:paraId="3FEC8F0C" w14:textId="77777777" w:rsidTr="007D2C0B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D12991" w:rsidRPr="007A40BB" w14:paraId="624CBD43" w14:textId="77777777" w:rsidTr="007D2C0B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D12991" w:rsidRPr="00B64C8C" w:rsidRDefault="00D12991" w:rsidP="00D12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7961F9D9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3EBB034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27788D3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-160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4EBC8E1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-151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32A2E593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-81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2E4E0DD2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-70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4BA33936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4FD6B4D8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7AE48F58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-146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0999696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-272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5D6C3EDF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-129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1CB4D74B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-143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19CAA205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-255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0DB6520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-108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26751FC6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-147</w:t>
            </w:r>
          </w:p>
        </w:tc>
      </w:tr>
      <w:tr w:rsidR="00D12991" w:rsidRPr="007A40BB" w14:paraId="37F6DC1E" w14:textId="77777777" w:rsidTr="003A4829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D12991" w:rsidRPr="00B64C8C" w:rsidRDefault="00D12991" w:rsidP="00D12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991" w:rsidRPr="007A40BB" w14:paraId="7CFB03CA" w14:textId="77777777" w:rsidTr="007D2C0B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D12991" w:rsidRPr="00B64C8C" w:rsidRDefault="00D12991" w:rsidP="00D12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56CD233B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16CD828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651429D6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03750DD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3CA03E01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6A778AD8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2D5C0ABF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3F150AE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254FADF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60B40966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75D96DE3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31598385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7650AADF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0FB812D8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23B79641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</w:tr>
      <w:tr w:rsidR="00D12991" w:rsidRPr="007A40BB" w14:paraId="555E811A" w14:textId="77777777" w:rsidTr="007D2C0B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D12991" w:rsidRPr="00B64C8C" w:rsidRDefault="00D12991" w:rsidP="00D12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5195DF91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7DAE9BEF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2EA10CFF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0716828C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059AF4ED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24B2E73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7CD0933F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68ADC78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6DCC78C1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5217481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6234FB09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258F64F5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550BEE6A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-152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45C63831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606687EA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</w:tr>
      <w:tr w:rsidR="00D12991" w:rsidRPr="007A40BB" w14:paraId="49FE8343" w14:textId="77777777" w:rsidTr="003A482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D12991" w:rsidRPr="00B64C8C" w:rsidRDefault="00D12991" w:rsidP="00D12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737C5F23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055AAD0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02AC2A21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7E5BF406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28AD9759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2693ECE7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5CC8A" w14:textId="584187D6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4A972" w14:textId="6505032B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52FB0" w14:textId="0C576E1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35265" w14:textId="0920D8EF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CD645" w14:textId="4C2EF8B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4C5EB" w14:textId="4107EDDA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9B2B3" w14:textId="58790D39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926D7" w14:textId="36FD2F28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3C738" w14:textId="2A06D724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834"/>
        <w:gridCol w:w="1560"/>
        <w:gridCol w:w="2269"/>
        <w:gridCol w:w="2690"/>
        <w:gridCol w:w="2837"/>
        <w:gridCol w:w="2514"/>
      </w:tblGrid>
      <w:tr w:rsidR="004E1EC4" w:rsidRPr="004C6373" w14:paraId="6CD09255" w14:textId="77777777" w:rsidTr="002100EA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D33048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7D2C0B" w:rsidRPr="007A40BB" w14:paraId="4DF29413" w14:textId="77777777" w:rsidTr="00D33048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7D2C0B" w:rsidRPr="00150070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63D60789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-93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24EC01D1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0D0E69BF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-107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7CFB8E6A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59936407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06715390" w:rsidR="007D2C0B" w:rsidRPr="00D33048" w:rsidRDefault="007D2C0B" w:rsidP="007D2C0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7D2C0B" w:rsidRPr="007A40BB" w14:paraId="487ABE6D" w14:textId="77777777" w:rsidTr="00D33048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7D2C0B" w:rsidRPr="00150070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4EC272F8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14C17C52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-174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5DCB22AA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54FDBB88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25104034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7B7BBEAA" w:rsidR="007D2C0B" w:rsidRPr="00D33048" w:rsidRDefault="007D2C0B" w:rsidP="007D2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</w:tr>
      <w:tr w:rsidR="009E68A8" w:rsidRPr="007A40BB" w14:paraId="0FCFEAB7" w14:textId="77777777" w:rsidTr="00D33048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9E68A8" w:rsidRPr="00150070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0B7E082C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-169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7D0C40B8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-148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5A1BD0A6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7820493E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09A6C0AB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5D3A1E63" w:rsidR="009E68A8" w:rsidRPr="00D33048" w:rsidRDefault="009E68A8" w:rsidP="009E68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</w:tr>
      <w:tr w:rsidR="003B795B" w:rsidRPr="007A40BB" w14:paraId="6F7B30E3" w14:textId="77777777" w:rsidTr="00D33048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3B795B" w:rsidRPr="00150070" w:rsidRDefault="003B795B" w:rsidP="003B79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65647787" w:rsidR="003B795B" w:rsidRPr="00D33048" w:rsidRDefault="003B795B" w:rsidP="003B795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5A4A6C94" w:rsidR="003B795B" w:rsidRPr="00D33048" w:rsidRDefault="003B795B" w:rsidP="003B795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-152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7434513D" w:rsidR="003B795B" w:rsidRPr="00D33048" w:rsidRDefault="003B795B" w:rsidP="003B795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161D8B72" w:rsidR="003B795B" w:rsidRPr="00D33048" w:rsidRDefault="003B795B" w:rsidP="003B795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067B58AD" w:rsidR="003B795B" w:rsidRPr="00D33048" w:rsidRDefault="003B795B" w:rsidP="003B795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4505AA88" w:rsidR="003B795B" w:rsidRPr="00D33048" w:rsidRDefault="003B795B" w:rsidP="003B795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</w:tr>
      <w:tr w:rsidR="00D12991" w:rsidRPr="007A40BB" w14:paraId="2E832673" w14:textId="77777777" w:rsidTr="00D33048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D12991" w:rsidRPr="00150070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39D42D5D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-202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1BDD137E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-92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0B417FED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-96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6AD54E95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-5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14349FC5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-76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41E202F0" w:rsidR="00D12991" w:rsidRPr="00D33048" w:rsidRDefault="00D12991" w:rsidP="00D1299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048">
              <w:rPr>
                <w:rFonts w:ascii="Times New Roman" w:hAnsi="Times New Roman" w:cs="Times New Roman"/>
                <w:bCs/>
                <w:sz w:val="24"/>
                <w:szCs w:val="24"/>
              </w:rPr>
              <w:t>207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7A2F1C" w:rsidRPr="008941CD" w:rsidRDefault="007A2F1C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7A2F1C" w:rsidRPr="008941CD" w:rsidRDefault="007A2F1C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105CE40" w14:textId="77777777" w:rsidR="00961CF1" w:rsidRDefault="00961CF1" w:rsidP="00961CF1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36C65BFF" w14:textId="77777777" w:rsidR="00961CF1" w:rsidRDefault="00961CF1" w:rsidP="00961CF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72C40AF1" w14:textId="77777777" w:rsidR="00961CF1" w:rsidRDefault="00961CF1" w:rsidP="00961CF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65E4C06D" w14:textId="77777777" w:rsidR="00961CF1" w:rsidRDefault="00961CF1" w:rsidP="00961CF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13B6FFA0" w14:textId="77777777" w:rsidR="00961CF1" w:rsidRDefault="00961CF1" w:rsidP="00961CF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6E79516C" w14:textId="77777777" w:rsidR="00961CF1" w:rsidRDefault="00961CF1" w:rsidP="00961CF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3F359432" w14:textId="77777777" w:rsidR="00961CF1" w:rsidRDefault="00961CF1" w:rsidP="00961CF1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58314AA" w14:textId="77777777" w:rsidR="00961CF1" w:rsidRDefault="00961CF1" w:rsidP="00961CF1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57D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 </w:t>
      </w:r>
    </w:p>
    <w:p w14:paraId="64217D1D" w14:textId="77777777" w:rsidR="00961CF1" w:rsidRDefault="00961CF1" w:rsidP="00961CF1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0DF2">
        <w:rPr>
          <w:rFonts w:ascii="Times New Roman" w:hAnsi="Times New Roman" w:cs="Times New Roman"/>
          <w:sz w:val="28"/>
          <w:szCs w:val="28"/>
        </w:rPr>
        <w:t xml:space="preserve">Караидельский район </w:t>
      </w:r>
      <w:r>
        <w:rPr>
          <w:rFonts w:ascii="Times New Roman" w:hAnsi="Times New Roman" w:cs="Times New Roman"/>
          <w:sz w:val="28"/>
          <w:szCs w:val="28"/>
        </w:rPr>
        <w:t xml:space="preserve">входит в число районов с высокой миграционной убылью населения. </w:t>
      </w:r>
    </w:p>
    <w:p w14:paraId="73C9AB1B" w14:textId="77777777" w:rsidR="00961CF1" w:rsidRDefault="00961CF1" w:rsidP="00961CF1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 и в большинстве районов республики миграционная ситуация в районном центре (с. Караидель) является более благоприятной т.к. он привлекает население с других сельских поселений. Этому способствует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</w:t>
      </w:r>
      <w:r w:rsidRPr="00E0268B">
        <w:rPr>
          <w:rFonts w:ascii="Times New Roman" w:hAnsi="Times New Roman" w:cs="Times New Roman"/>
          <w:sz w:val="28"/>
          <w:szCs w:val="28"/>
        </w:rPr>
        <w:t xml:space="preserve">  факторы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1AB62864" w14:textId="77777777" w:rsidR="00961CF1" w:rsidRPr="00A54854" w:rsidRDefault="00961CF1" w:rsidP="00961CF1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4854">
        <w:rPr>
          <w:rFonts w:ascii="Times New Roman" w:hAnsi="Times New Roman" w:cs="Times New Roman"/>
          <w:sz w:val="28"/>
          <w:szCs w:val="28"/>
        </w:rPr>
        <w:t>крупный населенный пункт с дорогами и всеми коммуникациями (вода, газ, электричество);</w:t>
      </w:r>
    </w:p>
    <w:p w14:paraId="59384849" w14:textId="77777777" w:rsidR="00961CF1" w:rsidRPr="00A54854" w:rsidRDefault="00961CF1" w:rsidP="00961CF1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4854">
        <w:rPr>
          <w:rFonts w:ascii="Times New Roman" w:hAnsi="Times New Roman" w:cs="Times New Roman"/>
          <w:sz w:val="28"/>
          <w:szCs w:val="28"/>
        </w:rPr>
        <w:t>наличие объектов социальной инфраструктуры и культурных учреждений;</w:t>
      </w:r>
    </w:p>
    <w:p w14:paraId="5F3A0F0E" w14:textId="77777777" w:rsidR="00961CF1" w:rsidRPr="00A54854" w:rsidRDefault="00961CF1" w:rsidP="00961CF1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4854">
        <w:rPr>
          <w:rFonts w:ascii="Times New Roman" w:hAnsi="Times New Roman" w:cs="Times New Roman"/>
          <w:sz w:val="28"/>
          <w:szCs w:val="28"/>
        </w:rPr>
        <w:t>возможность покупки жилья в рамках программ льготного ипотечного кредитования (многодетные семьи приезжают и покупают жилье за счет материнского капитала и дешевой ипотеки);</w:t>
      </w:r>
    </w:p>
    <w:p w14:paraId="51607390" w14:textId="77777777" w:rsidR="00961CF1" w:rsidRPr="00A54854" w:rsidRDefault="00961CF1" w:rsidP="00961CF1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4854">
        <w:rPr>
          <w:rFonts w:ascii="Times New Roman" w:hAnsi="Times New Roman" w:cs="Times New Roman"/>
          <w:sz w:val="28"/>
          <w:szCs w:val="28"/>
        </w:rPr>
        <w:t xml:space="preserve">благоприятные природные условия и экологическая ситуация </w:t>
      </w:r>
      <w:proofErr w:type="gramStart"/>
      <w:r w:rsidRPr="00A54854">
        <w:rPr>
          <w:rFonts w:ascii="Times New Roman" w:hAnsi="Times New Roman" w:cs="Times New Roman"/>
          <w:sz w:val="28"/>
          <w:szCs w:val="28"/>
        </w:rPr>
        <w:t>притягивает</w:t>
      </w:r>
      <w:proofErr w:type="gramEnd"/>
      <w:r w:rsidRPr="00A54854">
        <w:rPr>
          <w:rFonts w:ascii="Times New Roman" w:hAnsi="Times New Roman" w:cs="Times New Roman"/>
          <w:sz w:val="28"/>
          <w:szCs w:val="28"/>
        </w:rPr>
        <w:t xml:space="preserve"> людей строить загородные дома и базы отдыха.</w:t>
      </w:r>
    </w:p>
    <w:p w14:paraId="7C3E2F3B" w14:textId="77777777" w:rsidR="00961CF1" w:rsidRDefault="00961CF1" w:rsidP="00961CF1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Однако имеются характерные для многих райцентров проблемы по учету граждан: </w:t>
      </w:r>
    </w:p>
    <w:p w14:paraId="78A6D50E" w14:textId="77777777" w:rsidR="00961CF1" w:rsidRDefault="00961CF1" w:rsidP="00961CF1">
      <w:pPr>
        <w:ind w:left="567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люди зачастую прописаны в мелких сельских поселениях, а проживают в райцентре (фактическая численность населения может превышать списочную на 1,5-2 тысячи человек);</w:t>
      </w:r>
    </w:p>
    <w:p w14:paraId="33486635" w14:textId="77777777" w:rsidR="00961CF1" w:rsidRDefault="00961CF1" w:rsidP="00961CF1">
      <w:pPr>
        <w:spacing w:after="0"/>
        <w:ind w:left="567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иностранные граждане работают по патентной системе. Патенты выдаются работодателями, как правило, на 4 месяца. При этом иностранные </w:t>
      </w:r>
      <w:r>
        <w:rPr>
          <w:rFonts w:ascii="Times New Roman" w:hAnsi="Times New Roman" w:cs="Times New Roman"/>
          <w:sz w:val="28"/>
          <w:szCs w:val="28"/>
        </w:rPr>
        <w:lastRenderedPageBreak/>
        <w:t>граждане постоянно проживают в райцентре, но учесть их в численности сельского поселения невозможно из-за короткого срока действия патента.</w:t>
      </w:r>
    </w:p>
    <w:p w14:paraId="7B85DD49" w14:textId="77777777" w:rsidR="00961CF1" w:rsidRDefault="00961CF1" w:rsidP="00961CF1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Остальные сельские поселения демонстрируют миграционную убыль, но в различной степени (например,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Артакульском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сельсовете работал крупный инвестор, который держал несколько ферм, за счет этого многие молодые семьи оставались и работали, убыль была не столь большая). Население в подавляющем большинстве работает вахтовым или маятниковым методом. Во многих населенных пунктах есть проблемы с дорожно-транспортной доступностью (труднодоступные места, горы, лес).</w:t>
      </w:r>
    </w:p>
    <w:p w14:paraId="59873826" w14:textId="77777777" w:rsidR="00961CF1" w:rsidRDefault="00961CF1" w:rsidP="00961CF1">
      <w:pPr>
        <w:spacing w:after="0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4FF3">
        <w:rPr>
          <w:rFonts w:ascii="Times New Roman" w:hAnsi="Times New Roman" w:cs="Times New Roman"/>
          <w:sz w:val="28"/>
          <w:szCs w:val="28"/>
        </w:rPr>
        <w:t>- Основные направления миграционной убыли населения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Pr="00F66651">
        <w:rPr>
          <w:rFonts w:ascii="Times New Roman" w:hAnsi="Times New Roman" w:cs="Times New Roman"/>
          <w:sz w:val="28"/>
          <w:szCs w:val="28"/>
        </w:rPr>
        <w:t xml:space="preserve">орода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651">
        <w:rPr>
          <w:rFonts w:ascii="Times New Roman" w:hAnsi="Times New Roman" w:cs="Times New Roman"/>
          <w:sz w:val="28"/>
          <w:szCs w:val="28"/>
        </w:rPr>
        <w:t>Бирск</w:t>
      </w:r>
      <w:proofErr w:type="gramEnd"/>
      <w:r w:rsidRPr="00F66651">
        <w:rPr>
          <w:rFonts w:ascii="Times New Roman" w:hAnsi="Times New Roman" w:cs="Times New Roman"/>
          <w:sz w:val="28"/>
          <w:szCs w:val="28"/>
        </w:rPr>
        <w:t>, Уфа,  Казань, Набережные Челны, Москва,</w:t>
      </w:r>
      <w:r>
        <w:rPr>
          <w:rFonts w:ascii="Times New Roman" w:hAnsi="Times New Roman" w:cs="Times New Roman"/>
          <w:sz w:val="28"/>
          <w:szCs w:val="28"/>
        </w:rPr>
        <w:t xml:space="preserve"> Санкт-</w:t>
      </w:r>
      <w:r w:rsidRPr="00F66651">
        <w:rPr>
          <w:rFonts w:ascii="Times New Roman" w:hAnsi="Times New Roman" w:cs="Times New Roman"/>
          <w:sz w:val="28"/>
          <w:szCs w:val="28"/>
        </w:rPr>
        <w:t xml:space="preserve"> Петербург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38B967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lastRenderedPageBreak/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65D0619E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коммуникаций и хороших дорог во многих населенных пунктах.</w:t>
      </w:r>
    </w:p>
    <w:p w14:paraId="063DDE8B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Дешевый импорт сельхозпродукции, отсутствие протекционистских мер по защите своей продукции на государственном уровне, делают развитие сельского хозяйства и животноводства нерентабельным.</w:t>
      </w:r>
    </w:p>
    <w:p w14:paraId="0E8F1C71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Леса и многие другие природные ресурсы находятся в руках арендаторов, что ограничивает возможности сельских поселений развиваться, а их жителей пользоваться этими ресурсами.</w:t>
      </w:r>
    </w:p>
    <w:p w14:paraId="2342D965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Безработица в результате распада колхозов и других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предприятий,  нехватка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крупных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доходогенерирующих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предприятий (промышленных или сельскохозяйственных), которые удовлетворяли бы спрос в высокооплачиваемых рабочих местах.</w:t>
      </w:r>
    </w:p>
    <w:p w14:paraId="569AAFF6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Сверхвысокая безвозвратная образовательная миграция (выпускники, уезжающие из сельских поселений в крупные города и поселения, не возвращаются).</w:t>
      </w:r>
    </w:p>
    <w:p w14:paraId="075D5A05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Близость регионов (Пермская область, Республика Татарстан, Свердловская область), предоставляющих более выгодные условия по стоимости и качеству обучения в ВУЗах, количеству рабочих мест, уровню зарплат, различным социальным программам для специалистов и семей с детьми.</w:t>
      </w:r>
    </w:p>
    <w:p w14:paraId="235329A4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вахтовым методом в регионах севера (в основном ХМАО), впоследствии перетягивает людей туда на постоянное место жительства.</w:t>
      </w:r>
    </w:p>
    <w:p w14:paraId="4871386B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Оптимизация бюджетного сектора в сельских поселениях (отсутствие налоговой службы, сокращение пенсионной и миграционной служб, школ и т.д.), существенно сократившая число рабочих мест в этой сфере.</w:t>
      </w:r>
    </w:p>
    <w:p w14:paraId="29371E78" w14:textId="77777777" w:rsidR="00AA20AE" w:rsidRPr="00F6268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Потом года два назад 2 преподавателя с лицея уехали в Татарстан, Набережные Челны.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31B44053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C4367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остроить дорогу до каждого сельского поселения (центральной усадьбы) района и провести их электрификацию, газификацию в рамках республиканской или федеральной программы.</w:t>
      </w:r>
      <w:r w:rsidRPr="00EE46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1490F5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Стимулировать работодателей, приглашающих иностранных граждан на работу, выдавать патенты на больший срок (9 месяцев), чтобы это население можно было официально учитывать. </w:t>
      </w:r>
    </w:p>
    <w:p w14:paraId="0F09FAEC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Артакульском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с/с построить кирпичный завод (имеются залежи глины и известняка).</w:t>
      </w:r>
    </w:p>
    <w:p w14:paraId="0CEBE337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Построить туристические базы отдыха, санаторий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Верхнесуянском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сельском поселении (д. Верхний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Нижний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Суян</w:t>
      </w:r>
      <w:proofErr w:type="spellEnd"/>
      <w:r>
        <w:rPr>
          <w:rFonts w:ascii="Times New Roman" w:hAnsi="Times New Roman" w:cs="Times New Roman"/>
          <w:sz w:val="28"/>
          <w:szCs w:val="28"/>
        </w:rPr>
        <w:t>), где имеется хороший туристический потенциал (река, красивые места).</w:t>
      </w:r>
    </w:p>
    <w:p w14:paraId="5078604A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Привлечь инвестиции для развития водного туризма (много рек), организации баз отдыха.</w:t>
      </w:r>
    </w:p>
    <w:p w14:paraId="3512D046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Пересмотреть условия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нормативы  участия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сельских советов в  программах развития территорий (ограничение по численности населения в размере тысяча человек), предусмотреть объем финансирования в зависимости от размера населенного пункта (численности населения). </w:t>
      </w:r>
    </w:p>
    <w:p w14:paraId="2DCCDBA8" w14:textId="77777777" w:rsidR="00961CF1" w:rsidRDefault="00961CF1" w:rsidP="00961CF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Облегчить доступ населения к природным ресурсам района (лесу, сырью деревообработки): учредить муниципальную программу, по которой выдавать делянки семьям с детьми для строительства дома с последующим сроком проживания в нем не менее 10 лет. </w:t>
      </w:r>
    </w:p>
    <w:p w14:paraId="651A6248" w14:textId="77777777" w:rsidR="00235A75" w:rsidRPr="00235A75" w:rsidRDefault="00235A75" w:rsidP="00235A75"/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961CF1" w:rsidRPr="00696DAF" w14:paraId="18C72D1C" w14:textId="77777777" w:rsidTr="007A2F1C">
        <w:tc>
          <w:tcPr>
            <w:tcW w:w="704" w:type="dxa"/>
          </w:tcPr>
          <w:p w14:paraId="1840D4C3" w14:textId="77777777" w:rsidR="00961CF1" w:rsidRPr="00696DAF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0A2EF929" w14:textId="77777777" w:rsidR="00961CF1" w:rsidRPr="00696DAF" w:rsidRDefault="00961CF1" w:rsidP="007A2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471955D6" w14:textId="77777777" w:rsidR="00961CF1" w:rsidRPr="00696DAF" w:rsidRDefault="00961CF1" w:rsidP="007A2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31FED892" w14:textId="77777777" w:rsidR="00961CF1" w:rsidRPr="00696DAF" w:rsidRDefault="00961CF1" w:rsidP="007A2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961CF1" w:rsidRPr="00696DAF" w14:paraId="22B959B4" w14:textId="77777777" w:rsidTr="007A2F1C">
        <w:tc>
          <w:tcPr>
            <w:tcW w:w="704" w:type="dxa"/>
          </w:tcPr>
          <w:p w14:paraId="2C1A5D5F" w14:textId="77777777" w:rsidR="00961CF1" w:rsidRPr="00696DAF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A7CC2F5" w14:textId="77777777" w:rsidR="00961CF1" w:rsidRPr="00696DAF" w:rsidRDefault="00961CF1" w:rsidP="007A2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г. Уфа, г. Бирск, г. Москва, г. Санкт-Петербург, г. Казань</w:t>
            </w:r>
          </w:p>
        </w:tc>
        <w:tc>
          <w:tcPr>
            <w:tcW w:w="4865" w:type="dxa"/>
          </w:tcPr>
          <w:p w14:paraId="6F4FE261" w14:textId="77777777" w:rsidR="00961CF1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нет предприятий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AC97F9" w14:textId="77777777" w:rsidR="00961CF1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нет свободных рабочих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4F2BAA" w14:textId="77777777" w:rsidR="00961CF1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низкая оплата труда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4AC411" w14:textId="77777777" w:rsidR="00961CF1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нет филиалов учебных заведений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509991" w14:textId="77777777" w:rsidR="00961CF1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мало кружков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201DE7" w14:textId="77777777" w:rsidR="00961CF1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мало спортивных секций</w:t>
            </w:r>
          </w:p>
          <w:p w14:paraId="4327F2AC" w14:textId="77777777" w:rsidR="00961CF1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нет узких специалистов в сфере медицины, нет роддома, нет клинической лаборатории, нет МРТ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957C76" w14:textId="77777777" w:rsidR="00961CF1" w:rsidRPr="00696DAF" w:rsidRDefault="00961CF1" w:rsidP="007A2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нет бассейна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12" w:type="dxa"/>
          </w:tcPr>
          <w:p w14:paraId="77D49BBF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оздание сельскохозяйственных ферм, птицеферм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67E958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открыть 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молокозавод, мясоперерабатывающий завод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6FB1A7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мебельная фабрика (лес)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FF47F4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построить 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санаторий, туристические базы отдыха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78583F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филиалы учебных заведений,</w:t>
            </w:r>
          </w:p>
          <w:p w14:paraId="11DE456D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гарантийное обеспечение рабочих мест после обучения с карьерным ростом и стабильной зарплатой, создать новых рабочих мест, обеспечить стабильную зарплату, социальное жилье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1A2697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целевое обучение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4726FA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повысить уровень здравоохранения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AF2089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овысить уровень образования населения за счет дополнительного обучения по различным целевым программам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7FE7D6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беспечить </w:t>
            </w:r>
            <w:proofErr w:type="spellStart"/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цифровизацию</w:t>
            </w:r>
            <w:proofErr w:type="spellEnd"/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(интернет) во все деревни и сёла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EDBBD5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беспечить доступ (асфальтирование дорог) во все деревни и села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4BC8F9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азификаци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всего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69D632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овысить уровень предоставления услуг по здравоохранению (привлечение узких специалистов, открытие роддома и </w:t>
            </w:r>
            <w:proofErr w:type="spellStart"/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4AF88F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строительств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социального жилья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2E48DD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обновление оборудования (МРТ, рентген) и так далее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AE01A1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азвитие пчеловодства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8151F0" w14:textId="77777777" w:rsidR="00961CF1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троительство аквапарка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310C81" w14:textId="77777777" w:rsidR="00961CF1" w:rsidRPr="00696DAF" w:rsidRDefault="00961CF1" w:rsidP="007A2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696DAF">
              <w:rPr>
                <w:rFonts w:ascii="Times New Roman" w:hAnsi="Times New Roman" w:cs="Times New Roman"/>
                <w:sz w:val="24"/>
                <w:szCs w:val="24"/>
              </w:rPr>
              <w:t>оздание питомника саженцев.</w:t>
            </w:r>
          </w:p>
        </w:tc>
      </w:tr>
    </w:tbl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7A2F1C" w:rsidRPr="00E82FA2" w:rsidRDefault="007A2F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7A2F1C" w:rsidRPr="00E82FA2" w:rsidRDefault="007A2F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7A2F1C" w:rsidRPr="00E126F7" w:rsidRDefault="007A2F1C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7A2F1C" w:rsidRDefault="007A2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7A2F1C" w:rsidRPr="00E126F7" w:rsidRDefault="007A2F1C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7A2F1C" w:rsidRDefault="007A2F1C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5407962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7A2F1C" w:rsidRPr="00E82FA2" w:rsidRDefault="007A2F1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7A2F1C" w:rsidRPr="00E82FA2" w:rsidRDefault="007A2F1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7A2F1C" w:rsidRPr="00E126F7" w:rsidRDefault="007A2F1C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7A2F1C" w:rsidRDefault="007A2F1C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7A2F1C" w:rsidRPr="00E126F7" w:rsidRDefault="007A2F1C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7A2F1C" w:rsidRDefault="007A2F1C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5407963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7A2F1C" w:rsidRPr="00E82FA2" w:rsidRDefault="007A2F1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7A2F1C" w:rsidRPr="00E82FA2" w:rsidRDefault="007A2F1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7A2F1C" w:rsidRPr="00E126F7" w:rsidRDefault="007A2F1C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7A2F1C" w:rsidRDefault="007A2F1C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7A2F1C" w:rsidRPr="00E126F7" w:rsidRDefault="007A2F1C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7A2F1C" w:rsidRDefault="007A2F1C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5407964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7A2F1C" w:rsidRPr="00E82FA2" w:rsidRDefault="007A2F1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7A2F1C" w:rsidRPr="00E82FA2" w:rsidRDefault="007A2F1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030D8" w14:textId="77777777" w:rsidR="000B06A0" w:rsidRDefault="000B06A0" w:rsidP="00E700E2">
      <w:pPr>
        <w:spacing w:after="0" w:line="240" w:lineRule="auto"/>
      </w:pPr>
      <w:r>
        <w:separator/>
      </w:r>
    </w:p>
  </w:endnote>
  <w:endnote w:type="continuationSeparator" w:id="0">
    <w:p w14:paraId="76BC4374" w14:textId="77777777" w:rsidR="000B06A0" w:rsidRDefault="000B06A0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Content>
      <w:p w14:paraId="3BA22F92" w14:textId="77777777" w:rsidR="007A2F1C" w:rsidRDefault="007A2F1C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048">
          <w:rPr>
            <w:noProof/>
          </w:rPr>
          <w:t>23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7A2F1C" w:rsidRDefault="007A2F1C">
    <w:pPr>
      <w:pStyle w:val="af"/>
      <w:jc w:val="center"/>
    </w:pPr>
  </w:p>
  <w:p w14:paraId="197226D5" w14:textId="77777777" w:rsidR="007A2F1C" w:rsidRDefault="007A2F1C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A80E5" w14:textId="77777777" w:rsidR="000B06A0" w:rsidRDefault="000B06A0" w:rsidP="00E700E2">
      <w:pPr>
        <w:spacing w:after="0" w:line="240" w:lineRule="auto"/>
      </w:pPr>
      <w:r>
        <w:separator/>
      </w:r>
    </w:p>
  </w:footnote>
  <w:footnote w:type="continuationSeparator" w:id="0">
    <w:p w14:paraId="733A906F" w14:textId="77777777" w:rsidR="000B06A0" w:rsidRDefault="000B06A0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 w15:restartNumberingAfterBreak="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0C5840"/>
    <w:multiLevelType w:val="hybridMultilevel"/>
    <w:tmpl w:val="B380ECA2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12"/>
  </w:num>
  <w:num w:numId="13">
    <w:abstractNumId w:val="9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0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6124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B795B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2F1C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2C0B"/>
    <w:rsid w:val="007D61C6"/>
    <w:rsid w:val="007D7E6B"/>
    <w:rsid w:val="007D7F4B"/>
    <w:rsid w:val="007E1649"/>
    <w:rsid w:val="007E2987"/>
    <w:rsid w:val="007E427C"/>
    <w:rsid w:val="007E4845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1CF1"/>
    <w:rsid w:val="009623E6"/>
    <w:rsid w:val="00962935"/>
    <w:rsid w:val="009632C6"/>
    <w:rsid w:val="00963662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E68A8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126B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2991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3048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6CB0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4208"/>
    <w:rsid w:val="00F15AE8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194D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53544"/>
        <c:axId val="576061384"/>
      </c:barChart>
      <c:catAx>
        <c:axId val="576053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61384"/>
        <c:crosses val="autoZero"/>
        <c:auto val="1"/>
        <c:lblAlgn val="ctr"/>
        <c:lblOffset val="100"/>
        <c:noMultiLvlLbl val="0"/>
      </c:catAx>
      <c:valAx>
        <c:axId val="576061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53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55896"/>
        <c:axId val="576049232"/>
      </c:barChart>
      <c:catAx>
        <c:axId val="576055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576049232"/>
        <c:crosses val="autoZero"/>
        <c:auto val="1"/>
        <c:lblAlgn val="ctr"/>
        <c:lblOffset val="100"/>
        <c:tickLblSkip val="1"/>
        <c:noMultiLvlLbl val="0"/>
      </c:catAx>
      <c:valAx>
        <c:axId val="57604923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5760558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050800"/>
        <c:axId val="576056288"/>
      </c:lineChart>
      <c:catAx>
        <c:axId val="57605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56288"/>
        <c:crosses val="autoZero"/>
        <c:auto val="1"/>
        <c:lblAlgn val="ctr"/>
        <c:lblOffset val="100"/>
        <c:tickLblSkip val="1"/>
        <c:noMultiLvlLbl val="0"/>
      </c:catAx>
      <c:valAx>
        <c:axId val="57605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508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51976"/>
        <c:axId val="576050016"/>
      </c:barChart>
      <c:catAx>
        <c:axId val="576051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50016"/>
        <c:crosses val="autoZero"/>
        <c:auto val="1"/>
        <c:lblAlgn val="ctr"/>
        <c:lblOffset val="200"/>
        <c:noMultiLvlLbl val="0"/>
      </c:catAx>
      <c:valAx>
        <c:axId val="576050016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51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57464"/>
        <c:axId val="576059032"/>
      </c:barChart>
      <c:catAx>
        <c:axId val="576057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6059032"/>
        <c:crosses val="autoZero"/>
        <c:auto val="1"/>
        <c:lblAlgn val="ctr"/>
        <c:lblOffset val="100"/>
        <c:noMultiLvlLbl val="0"/>
      </c:catAx>
      <c:valAx>
        <c:axId val="576059032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76057464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52760"/>
        <c:axId val="576053152"/>
      </c:barChart>
      <c:catAx>
        <c:axId val="5760527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53152"/>
        <c:crosses val="autoZero"/>
        <c:auto val="1"/>
        <c:lblAlgn val="ctr"/>
        <c:lblOffset val="100"/>
        <c:noMultiLvlLbl val="0"/>
      </c:catAx>
      <c:valAx>
        <c:axId val="57605315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52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59424"/>
        <c:axId val="576059816"/>
      </c:barChart>
      <c:catAx>
        <c:axId val="5760594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576059816"/>
        <c:crosses val="autoZero"/>
        <c:auto val="1"/>
        <c:lblAlgn val="ctr"/>
        <c:lblOffset val="100"/>
        <c:noMultiLvlLbl val="0"/>
      </c:catAx>
      <c:valAx>
        <c:axId val="57605981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760594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63344"/>
        <c:axId val="576064128"/>
      </c:barChart>
      <c:catAx>
        <c:axId val="5760633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64128"/>
        <c:crosses val="autoZero"/>
        <c:auto val="1"/>
        <c:lblAlgn val="ctr"/>
        <c:lblOffset val="100"/>
        <c:noMultiLvlLbl val="0"/>
      </c:catAx>
      <c:valAx>
        <c:axId val="576064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76063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064912"/>
        <c:axId val="576064520"/>
      </c:barChart>
      <c:catAx>
        <c:axId val="5760649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6064520"/>
        <c:crosses val="autoZero"/>
        <c:auto val="1"/>
        <c:lblAlgn val="ctr"/>
        <c:lblOffset val="100"/>
        <c:noMultiLvlLbl val="0"/>
      </c:catAx>
      <c:valAx>
        <c:axId val="576064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606491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168CD-6548-4272-8CF6-4516FD54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50</Pages>
  <Words>10713</Words>
  <Characters>61067</Characters>
  <Application>Microsoft Office Word</Application>
  <DocSecurity>0</DocSecurity>
  <Lines>508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Маклакова Ольга Юрьевна</cp:lastModifiedBy>
  <cp:revision>8</cp:revision>
  <cp:lastPrinted>2021-12-14T09:12:00Z</cp:lastPrinted>
  <dcterms:created xsi:type="dcterms:W3CDTF">2022-02-03T10:22:00Z</dcterms:created>
  <dcterms:modified xsi:type="dcterms:W3CDTF">2022-02-03T10:39:00Z</dcterms:modified>
</cp:coreProperties>
</file>