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59588DDB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 xml:space="preserve">униципальном районе </w:t>
      </w:r>
      <w:proofErr w:type="spellStart"/>
      <w:r w:rsidR="00CC37AA">
        <w:rPr>
          <w:rFonts w:ascii="Times New Roman" w:hAnsi="Times New Roman" w:cs="Times New Roman"/>
          <w:b/>
          <w:sz w:val="36"/>
          <w:szCs w:val="36"/>
        </w:rPr>
        <w:t>Краснокамский</w:t>
      </w:r>
      <w:proofErr w:type="spellEnd"/>
      <w:r w:rsidR="00235A7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65FF7AAF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CC37AA">
        <w:rPr>
          <w:rFonts w:ascii="Times New Roman" w:hAnsi="Times New Roman" w:cs="Times New Roman"/>
          <w:sz w:val="28"/>
          <w:szCs w:val="28"/>
        </w:rPr>
        <w:t>Краснокамский</w:t>
      </w:r>
      <w:proofErr w:type="spellEnd"/>
      <w:r w:rsidR="00CC37AA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B75BDB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7E4854" w:rsidRPr="006A1C9C" w14:paraId="5967B7A9" w14:textId="77777777" w:rsidTr="006C24A5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7E4854" w:rsidRPr="006A1C9C" w:rsidRDefault="007E4854" w:rsidP="007E485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59F09ECE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1378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7F092DE2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1372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1E322A45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058C5397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791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736F7602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160F26BC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5E4DC573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689CADBB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5DC1E0C8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-95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71D9508A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38F3AFF3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77B1D3D1" w:rsidR="007E4854" w:rsidRPr="00FD2C56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E657A8" w:rsidRPr="006A1C9C" w14:paraId="3F309D44" w14:textId="77777777" w:rsidTr="003D3907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E657A8" w:rsidRPr="006A1C9C" w:rsidRDefault="00E657A8" w:rsidP="00E657A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12EE1891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1284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533123D4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1401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1F386982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-117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52345A4C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723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3D78E6AF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793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62368F94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622F0FF5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4284191F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60C4A269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-103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7297826A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39730868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0D1646D7" w:rsidR="00E657A8" w:rsidRPr="00FD2C56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5871F7" w:rsidRPr="006A1C9C" w14:paraId="4F47A395" w14:textId="77777777" w:rsidTr="003D3907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5871F7" w:rsidRPr="006A1C9C" w:rsidRDefault="005871F7" w:rsidP="005871F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61843E59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2958BC64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1519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4C401CEC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-520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52A26658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3B3D2B4A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34B2903F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-389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41549CF9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6616DF5C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1683C3A3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57F4F751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6BC0B39E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5AB7A264" w:rsidR="005871F7" w:rsidRPr="00FD2C56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4635C2" w:rsidRPr="006A1C9C" w14:paraId="46622E13" w14:textId="77777777" w:rsidTr="003D3907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4635C2" w:rsidRPr="006A1C9C" w:rsidRDefault="004635C2" w:rsidP="004635C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141FD346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1255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23F8D775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1505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1C6E71BB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-250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540DDEAF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3324D1EA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2695DEE4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-278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5E94A558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07981CFB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719C6DE5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-72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1930EA8C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04A2B62F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7133DAD3" w:rsidR="004635C2" w:rsidRPr="00FD2C56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2C56" w:rsidRPr="006A1C9C" w14:paraId="72FD605B" w14:textId="77777777" w:rsidTr="003D3907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FD2C56" w:rsidRPr="006A1C9C" w:rsidRDefault="00FD2C56" w:rsidP="00FD2C5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4246545B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1041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1F1EF177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1172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012223DF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-131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15C6D9FC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08A56654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4C5351F6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-223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337C175B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3A98DD11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1565BB4E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-109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7ACF68EA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01F8C116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3F142802" w:rsidR="00FD2C56" w:rsidRPr="00FD2C56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FD2C56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FD2C56" w:rsidRPr="00B64C8C" w:rsidRDefault="00FD2C56" w:rsidP="00FD2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6E0F71CC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618D84B6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0D291FA6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20DB9A42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-117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23B99C1D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22A6B89D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-95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69A91084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15EB7EE8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-253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067053CA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-267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631644A7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68549E2C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-91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1144E038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-159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72572A8C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-131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150827A3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74E5458B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-107</w:t>
            </w:r>
          </w:p>
        </w:tc>
      </w:tr>
      <w:tr w:rsidR="00FD2C56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FD2C56" w:rsidRPr="00B64C8C" w:rsidRDefault="00FD2C56" w:rsidP="00FD2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C56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FD2C56" w:rsidRPr="00B64C8C" w:rsidRDefault="00FD2C56" w:rsidP="00FD2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7DAFDB7F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5E84A02E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2101E718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71051BB9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6C058D5A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2C0CAD5B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1E4B2721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4428E00D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-112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6F281C00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1A5A7CD8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-131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1C741C4C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-88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2D6E616F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1AA9E194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-98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023FBCD1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623B4D6E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-55</w:t>
            </w:r>
          </w:p>
        </w:tc>
      </w:tr>
      <w:tr w:rsidR="00FD2C56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FD2C56" w:rsidRPr="00B64C8C" w:rsidRDefault="00FD2C56" w:rsidP="00FD2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610B4A26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09288A1F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7347737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7D63590B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675BE4CB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4B652BDE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70C71E90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-294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21EC702D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-136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06983D8D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-158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7E9CA049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-148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59BDFCDD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689A9D4C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181654F3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2BC5AC8B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59792829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</w:tr>
      <w:tr w:rsidR="00FD2C56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FD2C56" w:rsidRPr="00B64C8C" w:rsidRDefault="00FD2C56" w:rsidP="00FD2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1725A2E1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19E654F4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3455C57F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0350C19D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4C204EF8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0E825D03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197DFD7A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1171EE17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5AC7A7BE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0E9165D9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7AFCE542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52F4145B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18069AAB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50684991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4BDB2966" w:rsidR="00FD2C56" w:rsidRPr="00B75BDB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2834"/>
        <w:gridCol w:w="1560"/>
        <w:gridCol w:w="2269"/>
        <w:gridCol w:w="2690"/>
        <w:gridCol w:w="2837"/>
        <w:gridCol w:w="2514"/>
      </w:tblGrid>
      <w:tr w:rsidR="004E1EC4" w:rsidRPr="004C6373" w14:paraId="6CD09255" w14:textId="77777777" w:rsidTr="002100EA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FD2C56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7E4854" w:rsidRPr="007A40BB" w14:paraId="4DF29413" w14:textId="77777777" w:rsidTr="00FD2C56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7E4854" w:rsidRPr="00150070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F12B828" w14:textId="3979E184" w:rsidR="007E4854" w:rsidRPr="00B75BDB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C2FD384" w14:textId="13CD4578" w:rsidR="007E4854" w:rsidRPr="00B75BDB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-169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1D22188" w14:textId="44EECF21" w:rsidR="007E4854" w:rsidRPr="00B75BDB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55D2930" w14:textId="188D0A38" w:rsidR="007E4854" w:rsidRPr="00B75BDB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201D48E" w14:textId="75CDC907" w:rsidR="007E4854" w:rsidRPr="00B75BDB" w:rsidRDefault="007E4854" w:rsidP="007E48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B441552" w14:textId="72A604B4" w:rsidR="007E4854" w:rsidRPr="00B75BDB" w:rsidRDefault="007E4854" w:rsidP="007E485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E657A8" w:rsidRPr="007A40BB" w14:paraId="487ABE6D" w14:textId="77777777" w:rsidTr="00FD2C56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E657A8" w:rsidRPr="00150070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B7EC322" w14:textId="32E371F8" w:rsidR="00E657A8" w:rsidRPr="00B75BDB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910D76D" w14:textId="5A98132E" w:rsidR="00E657A8" w:rsidRPr="00B75BDB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-157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62555FA" w14:textId="1724AE9E" w:rsidR="00E657A8" w:rsidRPr="00B75BDB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-46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1602873" w14:textId="754BB43E" w:rsidR="00E657A8" w:rsidRPr="00B75BDB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0FC61F9" w14:textId="744EAE59" w:rsidR="00E657A8" w:rsidRPr="00B75BDB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D476F04" w14:textId="0983880B" w:rsidR="00E657A8" w:rsidRPr="00B75BDB" w:rsidRDefault="00E657A8" w:rsidP="00E657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5871F7" w:rsidRPr="007A40BB" w14:paraId="0FCFEAB7" w14:textId="77777777" w:rsidTr="00FD2C56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5871F7" w:rsidRPr="00150070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0B32E3E" w14:textId="64809EB0" w:rsidR="005871F7" w:rsidRPr="00B75BDB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-337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501CDC6" w14:textId="3554AF23" w:rsidR="005871F7" w:rsidRPr="00B75BDB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-137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140092E" w14:textId="0CCFAC75" w:rsidR="005871F7" w:rsidRPr="00B75BDB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0AD2B43" w14:textId="1617B6B5" w:rsidR="005871F7" w:rsidRPr="00B75BDB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E61856D" w14:textId="26C90C0E" w:rsidR="005871F7" w:rsidRPr="00B75BDB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-195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E488982" w14:textId="09E047CF" w:rsidR="005871F7" w:rsidRPr="00B75BDB" w:rsidRDefault="005871F7" w:rsidP="005871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4635C2" w:rsidRPr="007A40BB" w14:paraId="6F7B30E3" w14:textId="77777777" w:rsidTr="00FD2C56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4635C2" w:rsidRPr="00150070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3D20BB48" w:rsidR="004635C2" w:rsidRPr="0096422A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-137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2BBD9266" w:rsidR="004635C2" w:rsidRPr="0096422A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-111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22A61358" w:rsidR="004635C2" w:rsidRPr="0096422A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5840EAF6" w:rsidR="004635C2" w:rsidRPr="0096422A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4D82D0F5" w:rsidR="004635C2" w:rsidRPr="0096422A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-131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2E972EEE" w:rsidR="004635C2" w:rsidRPr="0096422A" w:rsidRDefault="004635C2" w:rsidP="004635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FD2C56" w:rsidRPr="007A40BB" w14:paraId="2E832673" w14:textId="77777777" w:rsidTr="00FD2C56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FD2C56" w:rsidRPr="00150070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6563726C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33298043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5A2A5AD0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25EABA8D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390376A9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54EBF727" w:rsidR="00FD2C56" w:rsidRPr="0096422A" w:rsidRDefault="00FD2C56" w:rsidP="00FD2C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C56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  <w:bookmarkStart w:id="0" w:name="_GoBack"/>
      <w:bookmarkEnd w:id="0"/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3D3907" w:rsidRPr="008941CD" w:rsidRDefault="003D3907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3D3907" w:rsidRPr="008941CD" w:rsidRDefault="003D3907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483C2D7" w14:textId="77777777" w:rsidR="00F40CC2" w:rsidRPr="00F40CC2" w:rsidRDefault="00F40CC2" w:rsidP="00F40CC2">
      <w:pPr>
        <w:spacing w:before="120" w:after="0"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 w:rsidRPr="00F40CC2"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4DD65E3D" w14:textId="77777777" w:rsidR="00F40CC2" w:rsidRPr="00F40CC2" w:rsidRDefault="00F40CC2" w:rsidP="00F40CC2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33EA237A" w14:textId="77777777" w:rsidR="00F40CC2" w:rsidRPr="00F40CC2" w:rsidRDefault="00F40CC2" w:rsidP="00F40CC2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385FC694" w14:textId="77777777" w:rsidR="00F40CC2" w:rsidRPr="00F40CC2" w:rsidRDefault="00F40CC2" w:rsidP="00F40CC2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4D51EBA4" w14:textId="77777777" w:rsidR="00F40CC2" w:rsidRPr="00F40CC2" w:rsidRDefault="00F40CC2" w:rsidP="00F40CC2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НГДУ – Нефтегазодобывающее управление</w:t>
      </w:r>
    </w:p>
    <w:p w14:paraId="5AC9BE2E" w14:textId="77777777" w:rsidR="00F40CC2" w:rsidRPr="00F40CC2" w:rsidRDefault="00F40CC2" w:rsidP="00F40CC2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УТТ – Управление технологического транспорта</w:t>
      </w:r>
    </w:p>
    <w:p w14:paraId="0891CF1E" w14:textId="77777777" w:rsidR="00F40CC2" w:rsidRPr="00F40CC2" w:rsidRDefault="00F40CC2" w:rsidP="00F40CC2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5CC374A8" w14:textId="77777777" w:rsidR="00F40CC2" w:rsidRPr="00F40CC2" w:rsidRDefault="00F40CC2" w:rsidP="00F40CC2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515F4B2A" w14:textId="77777777" w:rsidR="00F40CC2" w:rsidRPr="00F40CC2" w:rsidRDefault="00F40CC2" w:rsidP="00F40CC2">
      <w:pPr>
        <w:tabs>
          <w:tab w:val="left" w:pos="284"/>
        </w:tabs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4FD366F2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0CC2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 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8DA4A19" w14:textId="77777777" w:rsidR="00F40CC2" w:rsidRPr="00F40CC2" w:rsidRDefault="00F40CC2" w:rsidP="00F40CC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По оценкам экспертов миграционная ситуация в районе в последние годы стабилизируется. Это происходит за счет двух факторов:</w:t>
      </w:r>
    </w:p>
    <w:p w14:paraId="79596BEF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развитие туристической отрасли. Например, в настоящий момент развиваются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агротуризм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, экотуризм, приезжают отдыхающие на рыбалку, охоту. В последние годы развиваются базы отдыха, планируется строительство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глэмпингов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, строятся базы спортивного направления (с футбольными полями,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бессейнами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>, крытыми спорткомплексами), которые смогут принимать спортсменов из других регионов;</w:t>
      </w:r>
    </w:p>
    <w:p w14:paraId="768E9B45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- развитие фермерского хозяйства.</w:t>
      </w:r>
    </w:p>
    <w:p w14:paraId="57E79230" w14:textId="77777777" w:rsidR="00F40CC2" w:rsidRPr="00F40CC2" w:rsidRDefault="00F40CC2" w:rsidP="00F40CC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Миграционная ситуация имеет следующие характерные черты:</w:t>
      </w:r>
    </w:p>
    <w:p w14:paraId="69E01978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- Район входит в Нефтекамскую агломерацию, большая часть населения работает маятниковым методом в организациях г. Нефтекамска («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Нефаз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») и г.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Агидели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3E0F39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- Район раньше специализировался на нефтяной промышленности (нефтедобыча, нефтепереработка, транспортировка, обслуживающие организации), в которой работало население. В результате сокращения штатов и ликвидации многих предприятий население работает вахтовым методом в регионах Севера.</w:t>
      </w:r>
    </w:p>
    <w:p w14:paraId="48DAD67F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40CC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0CC2">
        <w:rPr>
          <w:rFonts w:ascii="Times New Roman" w:hAnsi="Times New Roman" w:cs="Times New Roman"/>
          <w:sz w:val="28"/>
          <w:szCs w:val="28"/>
        </w:rPr>
        <w:t xml:space="preserve"> настоящий момент, имеет место убыль в результате образовательной миграции (студенты, выпускники школ, ВУЗов), молодые люди предпочитают для учебы и дальнейшей работы города Поволжья, Москву, северные регионы, (т.к. там выше заработные платы), а также миграции квалифицированных рабочих трудоспособных возрастов, уезжающих на Север или в Москву.</w:t>
      </w:r>
    </w:p>
    <w:p w14:paraId="0E63A958" w14:textId="77777777" w:rsidR="00F40CC2" w:rsidRPr="00F40CC2" w:rsidRDefault="00F40CC2" w:rsidP="00F40CC2">
      <w:pPr>
        <w:spacing w:after="160" w:line="259" w:lineRule="auto"/>
        <w:jc w:val="both"/>
      </w:pPr>
      <w:r w:rsidRPr="00F40CC2">
        <w:rPr>
          <w:rFonts w:ascii="Times New Roman" w:hAnsi="Times New Roman" w:cs="Times New Roman"/>
          <w:sz w:val="28"/>
          <w:szCs w:val="28"/>
        </w:rPr>
        <w:lastRenderedPageBreak/>
        <w:t>- Приток специалистов, работающих в туристической отрасли пока небольшой. Приезжает преимущественно население пенсионного возраста в рамках возвратной миграции.</w:t>
      </w:r>
    </w:p>
    <w:p w14:paraId="20645B54" w14:textId="59762ED0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Основные направления миграционной </w:t>
      </w:r>
      <w:proofErr w:type="gramStart"/>
      <w:r w:rsidRPr="00F40CC2">
        <w:rPr>
          <w:rFonts w:ascii="Times New Roman" w:hAnsi="Times New Roman" w:cs="Times New Roman"/>
          <w:sz w:val="28"/>
          <w:szCs w:val="28"/>
        </w:rPr>
        <w:t>убыли</w:t>
      </w:r>
      <w:r w:rsidR="003D3907">
        <w:rPr>
          <w:rFonts w:ascii="Times New Roman" w:hAnsi="Times New Roman" w:cs="Times New Roman"/>
          <w:sz w:val="28"/>
          <w:szCs w:val="28"/>
        </w:rPr>
        <w:t>:  по</w:t>
      </w:r>
      <w:proofErr w:type="gramEnd"/>
      <w:r w:rsidR="003D3907">
        <w:rPr>
          <w:rFonts w:ascii="Times New Roman" w:hAnsi="Times New Roman" w:cs="Times New Roman"/>
          <w:sz w:val="28"/>
          <w:szCs w:val="28"/>
        </w:rPr>
        <w:t xml:space="preserve"> образовате</w:t>
      </w:r>
      <w:r w:rsidRPr="00F40CC2">
        <w:rPr>
          <w:rFonts w:ascii="Times New Roman" w:hAnsi="Times New Roman" w:cs="Times New Roman"/>
          <w:sz w:val="28"/>
          <w:szCs w:val="28"/>
        </w:rPr>
        <w:t xml:space="preserve">льной миграции – г. Казань, г. Ижевск, г. Санкт-Петербург, г. Москва, г.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Чайковск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 (медицинский колледж);  вахтовым методом – регионы Севера (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г.Сургут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г.Когалым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); на постоянное место жительства – в регионы российского Севера и в г. Москву. </w:t>
      </w:r>
    </w:p>
    <w:p w14:paraId="45106E7F" w14:textId="77777777" w:rsidR="00F40CC2" w:rsidRPr="00F40CC2" w:rsidRDefault="00F40CC2" w:rsidP="00F40CC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Район обладает значительным потенциалом социально-экономического развития:</w:t>
      </w:r>
    </w:p>
    <w:p w14:paraId="226BD4D5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CC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F40CC2">
        <w:rPr>
          <w:rFonts w:ascii="Times New Roman" w:hAnsi="Times New Roman" w:cs="Times New Roman"/>
          <w:sz w:val="28"/>
          <w:szCs w:val="28"/>
        </w:rPr>
        <w:t>район входит в крупную промышленную Нефтекамскую агломерацию</w:t>
      </w:r>
      <w:r w:rsidRPr="00F40CC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F40CC2">
        <w:rPr>
          <w:rFonts w:ascii="Times New Roman" w:hAnsi="Times New Roman" w:cs="Times New Roman"/>
          <w:sz w:val="28"/>
          <w:szCs w:val="28"/>
        </w:rPr>
        <w:t xml:space="preserve">близость городов Нефтекамск и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Агидель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, которые предоставляют рабочие места для жителей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Краснокамского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 xml:space="preserve"> района.</w:t>
      </w:r>
    </w:p>
    <w:p w14:paraId="1DD0A8ED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уникальные природные условия – бассейны рек Кама и Белой, богатая история дают большой потенциал для развития туристической отрасли. </w:t>
      </w:r>
    </w:p>
    <w:p w14:paraId="68ED52C1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выгодное расположение на крупных реках, а также наличие проходящей по территории </w:t>
      </w:r>
      <w:proofErr w:type="gramStart"/>
      <w:r w:rsidRPr="00F40CC2">
        <w:rPr>
          <w:rFonts w:ascii="Times New Roman" w:hAnsi="Times New Roman" w:cs="Times New Roman"/>
          <w:sz w:val="28"/>
          <w:szCs w:val="28"/>
        </w:rPr>
        <w:t>района  железной</w:t>
      </w:r>
      <w:proofErr w:type="gramEnd"/>
      <w:r w:rsidRPr="00F40CC2">
        <w:rPr>
          <w:rFonts w:ascii="Times New Roman" w:hAnsi="Times New Roman" w:cs="Times New Roman"/>
          <w:sz w:val="28"/>
          <w:szCs w:val="28"/>
        </w:rPr>
        <w:t xml:space="preserve"> дороги Москва-Казань-Екатеринбург делает территорию потенциально привлекательной для развития логистики, перевозок любых грузов (при наличии соответствующей инфраструктуры, прежде всего порта).</w:t>
      </w:r>
    </w:p>
    <w:p w14:paraId="738C9AF7" w14:textId="77777777" w:rsidR="00F40CC2" w:rsidRPr="00F40CC2" w:rsidRDefault="00F40CC2" w:rsidP="00F40CC2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район работал раньше на нефтяную промышленность, осталась хорошая инфраструктура, дороги, социальные объекты, квалифицированные рабочие - привлекателен для строительства промышленных производств. </w:t>
      </w:r>
    </w:p>
    <w:p w14:paraId="6038B967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lastRenderedPageBreak/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lastRenderedPageBreak/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lastRenderedPageBreak/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60578F3C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Основной негативный фактор, тормозящий развитие района – отсутствие земельных </w:t>
      </w:r>
      <w:proofErr w:type="gramStart"/>
      <w:r w:rsidRPr="00F40CC2">
        <w:rPr>
          <w:rFonts w:ascii="Times New Roman" w:hAnsi="Times New Roman" w:cs="Times New Roman"/>
          <w:sz w:val="28"/>
          <w:szCs w:val="28"/>
        </w:rPr>
        <w:t>участков  для</w:t>
      </w:r>
      <w:proofErr w:type="gramEnd"/>
      <w:r w:rsidRPr="00F40CC2">
        <w:rPr>
          <w:rFonts w:ascii="Times New Roman" w:hAnsi="Times New Roman" w:cs="Times New Roman"/>
          <w:sz w:val="28"/>
          <w:szCs w:val="28"/>
        </w:rPr>
        <w:t xml:space="preserve"> выделения под индивидуальное жилищное строительство и бизнес-проекты.</w:t>
      </w:r>
    </w:p>
    <w:p w14:paraId="1A1ED55A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- Второй фактор – оптимизация, сокращение штата и ликвидация предприятий нефтяной отрасли и обслуживающих организаций («</w:t>
      </w:r>
      <w:r w:rsidRPr="00F40CC2">
        <w:rPr>
          <w:rFonts w:ascii="Times New Roman" w:hAnsi="Times New Roman" w:cs="Times New Roman"/>
          <w:i/>
          <w:sz w:val="28"/>
          <w:szCs w:val="28"/>
        </w:rPr>
        <w:t xml:space="preserve">Предприятия сами оптимизирует свой штат, в связи с этим отток.  Для примера говорю, на нашей территории было НГДУ </w:t>
      </w:r>
      <w:proofErr w:type="spellStart"/>
      <w:proofErr w:type="gramStart"/>
      <w:r w:rsidRPr="00F40CC2">
        <w:rPr>
          <w:rFonts w:ascii="Times New Roman" w:hAnsi="Times New Roman" w:cs="Times New Roman"/>
          <w:i/>
          <w:sz w:val="28"/>
          <w:szCs w:val="28"/>
        </w:rPr>
        <w:t>Южарланнефть</w:t>
      </w:r>
      <w:proofErr w:type="spellEnd"/>
      <w:r w:rsidRPr="00F40CC2">
        <w:rPr>
          <w:rFonts w:ascii="Times New Roman" w:hAnsi="Times New Roman" w:cs="Times New Roman"/>
          <w:i/>
          <w:sz w:val="28"/>
          <w:szCs w:val="28"/>
        </w:rPr>
        <w:t>,  был</w:t>
      </w:r>
      <w:proofErr w:type="gramEnd"/>
      <w:r w:rsidRPr="00F40CC2">
        <w:rPr>
          <w:rFonts w:ascii="Times New Roman" w:hAnsi="Times New Roman" w:cs="Times New Roman"/>
          <w:i/>
          <w:sz w:val="28"/>
          <w:szCs w:val="28"/>
        </w:rPr>
        <w:t xml:space="preserve"> УТТ, </w:t>
      </w:r>
      <w:proofErr w:type="spellStart"/>
      <w:r w:rsidRPr="00F40CC2">
        <w:rPr>
          <w:rFonts w:ascii="Times New Roman" w:hAnsi="Times New Roman" w:cs="Times New Roman"/>
          <w:i/>
          <w:sz w:val="28"/>
          <w:szCs w:val="28"/>
        </w:rPr>
        <w:t>Хазинский</w:t>
      </w:r>
      <w:proofErr w:type="spellEnd"/>
      <w:r w:rsidRPr="00F40CC2">
        <w:rPr>
          <w:rFonts w:ascii="Times New Roman" w:hAnsi="Times New Roman" w:cs="Times New Roman"/>
          <w:i/>
          <w:sz w:val="28"/>
          <w:szCs w:val="28"/>
        </w:rPr>
        <w:t xml:space="preserve"> УТТ, где работало 1250 человек. На сегодняшний день, вот этих УТТ нет, там уже деревья на асфальте растут. Это страшное явление</w:t>
      </w:r>
      <w:r w:rsidRPr="00F40CC2">
        <w:rPr>
          <w:rFonts w:ascii="Times New Roman" w:hAnsi="Times New Roman" w:cs="Times New Roman"/>
          <w:sz w:val="28"/>
          <w:szCs w:val="28"/>
        </w:rPr>
        <w:t>»)</w:t>
      </w:r>
    </w:p>
    <w:p w14:paraId="2BEBAE65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- Устоявшиеся связи с северным регионами нефтедобычи (в основном ХМАО), работа многих специалистов вахтовым методом, впоследствии перетягивает людей туда на постоянное место жительства.</w:t>
      </w:r>
    </w:p>
    <w:p w14:paraId="0B8E2439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Близость к границе с Татарстаном, где зачастую более выгодные условия по трудоустройству и заработным платам, </w:t>
      </w:r>
      <w:proofErr w:type="gramStart"/>
      <w:r w:rsidRPr="00F40CC2">
        <w:rPr>
          <w:rFonts w:ascii="Times New Roman" w:hAnsi="Times New Roman" w:cs="Times New Roman"/>
          <w:sz w:val="28"/>
          <w:szCs w:val="28"/>
        </w:rPr>
        <w:t>а  также</w:t>
      </w:r>
      <w:proofErr w:type="gramEnd"/>
      <w:r w:rsidRPr="00F40CC2">
        <w:rPr>
          <w:rFonts w:ascii="Times New Roman" w:hAnsi="Times New Roman" w:cs="Times New Roman"/>
          <w:sz w:val="28"/>
          <w:szCs w:val="28"/>
        </w:rPr>
        <w:t xml:space="preserve"> стоимости обучения в вузах (также и в других близлежащих городах Поволжья) способствуют убыли молодежи и населения в трудоспособном возрасте.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5E69BC60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Восстановить речной порт в с.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Николо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>-Березовка (стоит на двух крупных реках, соединяющиеся с морями), который позволит заниматься перевозками любых грузов (металл, щебенка и т.д.).</w:t>
      </w:r>
    </w:p>
    <w:p w14:paraId="196C8A71" w14:textId="7FCEED44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- Создать крупный логистический центр, а также впосл</w:t>
      </w:r>
      <w:r>
        <w:rPr>
          <w:rFonts w:ascii="Times New Roman" w:hAnsi="Times New Roman" w:cs="Times New Roman"/>
          <w:sz w:val="28"/>
          <w:szCs w:val="28"/>
        </w:rPr>
        <w:t xml:space="preserve">едствии индустриальный парк (с </w:t>
      </w:r>
      <w:r w:rsidRPr="00F40CC2">
        <w:rPr>
          <w:rFonts w:ascii="Times New Roman" w:hAnsi="Times New Roman" w:cs="Times New Roman"/>
          <w:sz w:val="28"/>
          <w:szCs w:val="28"/>
        </w:rPr>
        <w:t xml:space="preserve">использованием возможностей порта и железной дороги) с разнообразными услугами по транспортировке, хранению грузов и т.д. </w:t>
      </w:r>
    </w:p>
    <w:p w14:paraId="7407C32D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 xml:space="preserve">- Восстановить культурно-исторический комплекс с. </w:t>
      </w:r>
      <w:proofErr w:type="spellStart"/>
      <w:r w:rsidRPr="00F40CC2">
        <w:rPr>
          <w:rFonts w:ascii="Times New Roman" w:hAnsi="Times New Roman" w:cs="Times New Roman"/>
          <w:sz w:val="28"/>
          <w:szCs w:val="28"/>
        </w:rPr>
        <w:t>Николо</w:t>
      </w:r>
      <w:proofErr w:type="spellEnd"/>
      <w:r w:rsidRPr="00F40CC2">
        <w:rPr>
          <w:rFonts w:ascii="Times New Roman" w:hAnsi="Times New Roman" w:cs="Times New Roman"/>
          <w:sz w:val="28"/>
          <w:szCs w:val="28"/>
        </w:rPr>
        <w:t>-Березовки, создать вокруг него коммерческий сектор туристических услуг – гостиницы, рестораны, парки и т.д.</w:t>
      </w:r>
    </w:p>
    <w:p w14:paraId="68D7830A" w14:textId="77777777" w:rsidR="00F40CC2" w:rsidRPr="00F40CC2" w:rsidRDefault="00F40CC2" w:rsidP="00F40CC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CC2">
        <w:rPr>
          <w:rFonts w:ascii="Times New Roman" w:hAnsi="Times New Roman" w:cs="Times New Roman"/>
          <w:sz w:val="28"/>
          <w:szCs w:val="28"/>
        </w:rPr>
        <w:t>- Привлечь инвестиции для строительства заводов по производству керамзита, кирпича, строительных смесей.</w:t>
      </w:r>
    </w:p>
    <w:p w14:paraId="2ECB13D7" w14:textId="77777777" w:rsidR="00F40CC2" w:rsidRPr="00F40CC2" w:rsidRDefault="00F40CC2" w:rsidP="00F40CC2">
      <w:pPr>
        <w:spacing w:after="160" w:line="259" w:lineRule="auto"/>
        <w:jc w:val="both"/>
      </w:pPr>
      <w:r w:rsidRPr="00F40CC2">
        <w:rPr>
          <w:rFonts w:ascii="Times New Roman" w:hAnsi="Times New Roman" w:cs="Times New Roman"/>
          <w:sz w:val="28"/>
          <w:szCs w:val="28"/>
        </w:rPr>
        <w:t>- Дальнейшее развитие туристической отрасли (экотуризм, спортивный туризм и т.д.).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 xml:space="preserve">Распределение ответов на вопрос «Какие конкретные меры Вы сами можете предложить для улучшения миграционной ситуации в вашем МО/поселении </w:t>
      </w:r>
      <w:r w:rsidRPr="005A2FC5">
        <w:lastRenderedPageBreak/>
        <w:t>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F40CC2" w:rsidRPr="008A60C5" w14:paraId="7242EB76" w14:textId="77777777" w:rsidTr="003D3907">
        <w:tc>
          <w:tcPr>
            <w:tcW w:w="704" w:type="dxa"/>
          </w:tcPr>
          <w:p w14:paraId="18E30EE4" w14:textId="77777777" w:rsidR="00F40CC2" w:rsidRPr="008A60C5" w:rsidRDefault="00F40CC2" w:rsidP="003D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59BEF820" w14:textId="77777777" w:rsidR="00F40CC2" w:rsidRPr="008A60C5" w:rsidRDefault="00F40CC2" w:rsidP="003D39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0E41BF6A" w14:textId="77777777" w:rsidR="00F40CC2" w:rsidRPr="008A60C5" w:rsidRDefault="00F40CC2" w:rsidP="003D39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0B590C8B" w14:textId="77777777" w:rsidR="00F40CC2" w:rsidRPr="008A60C5" w:rsidRDefault="00F40CC2" w:rsidP="003D39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F40CC2" w:rsidRPr="008A60C5" w14:paraId="5108B7BD" w14:textId="77777777" w:rsidTr="003D3907">
        <w:tc>
          <w:tcPr>
            <w:tcW w:w="704" w:type="dxa"/>
          </w:tcPr>
          <w:p w14:paraId="0C500C33" w14:textId="77777777" w:rsidR="00F40CC2" w:rsidRPr="008A60C5" w:rsidRDefault="00F40CC2" w:rsidP="003D39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5F0BD97" w14:textId="77777777" w:rsidR="00F40CC2" w:rsidRPr="008A60C5" w:rsidRDefault="00F40CC2" w:rsidP="003D39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>г. Ижевск, г. Сарапул, г. Уфа, г. Казань, г. Набережные Челны</w:t>
            </w:r>
          </w:p>
        </w:tc>
        <w:tc>
          <w:tcPr>
            <w:tcW w:w="4865" w:type="dxa"/>
          </w:tcPr>
          <w:p w14:paraId="2FA64B7C" w14:textId="77777777" w:rsidR="00F40CC2" w:rsidRDefault="00F40CC2" w:rsidP="003D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>тсутствие рабочих мест</w:t>
            </w:r>
          </w:p>
          <w:p w14:paraId="19AA90D1" w14:textId="77777777" w:rsidR="00F40CC2" w:rsidRDefault="00F40CC2" w:rsidP="003D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 xml:space="preserve"> низкая заработная плата среднего населения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826151" w14:textId="77777777" w:rsidR="00F40CC2" w:rsidRDefault="00F40CC2" w:rsidP="003D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 xml:space="preserve"> в связи с закрытием школ, ввиду малого количества детей в школах в деревнях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>молодежь не хочет оставаться на селе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DC2D88" w14:textId="77777777" w:rsidR="00F40CC2" w:rsidRDefault="00F40CC2" w:rsidP="003D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 xml:space="preserve"> оттоки в сельском хозяйстве из-за уменьшения объемов производства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CB6A5D" w14:textId="77777777" w:rsidR="00F40CC2" w:rsidRDefault="00F40CC2" w:rsidP="003D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60C5">
              <w:rPr>
                <w:rFonts w:ascii="Times New Roman" w:hAnsi="Times New Roman" w:cs="Times New Roman"/>
                <w:sz w:val="24"/>
                <w:szCs w:val="24"/>
              </w:rPr>
              <w:t xml:space="preserve"> уменьшения поголовья скота и отсутствия рабочих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BC2EDA" w14:textId="77777777" w:rsidR="00F40CC2" w:rsidRPr="008A60C5" w:rsidRDefault="00F40CC2" w:rsidP="003D390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н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ет кафе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игровых комнат, спортзалов с современной техникой и инвентарем.</w:t>
            </w:r>
          </w:p>
          <w:p w14:paraId="105E3C76" w14:textId="77777777" w:rsidR="00F40CC2" w:rsidRPr="008A60C5" w:rsidRDefault="00F40CC2" w:rsidP="003D39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2377D" w14:textId="77777777" w:rsidR="00F40CC2" w:rsidRPr="008A60C5" w:rsidRDefault="00F40CC2" w:rsidP="003D39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95767DD" w14:textId="77777777" w:rsidR="00F40CC2" w:rsidRDefault="00F40CC2" w:rsidP="003D390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с</w:t>
            </w:r>
            <w:r w:rsidRPr="008A60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оздать производственные мощности, тем самым создать рабочие места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A60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9385EA2" w14:textId="77777777" w:rsidR="00F40CC2" w:rsidRDefault="00F40CC2" w:rsidP="003D390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у</w:t>
            </w:r>
            <w:r w:rsidRPr="008A60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величить престиж профессий в учреждениях образования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22931C0F" w14:textId="77777777" w:rsidR="00F40CC2" w:rsidRDefault="00F40CC2" w:rsidP="003D390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с</w:t>
            </w:r>
            <w:r w:rsidRPr="008A60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оздать, открыть производственные </w:t>
            </w:r>
            <w:proofErr w:type="gramStart"/>
            <w:r w:rsidRPr="008A60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предприятия.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у</w:t>
            </w:r>
            <w:r w:rsidRPr="008A60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величить заработную плату, создать стимулирующие условия для работников. Повышение заработной платы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00A82F90" w14:textId="77777777" w:rsidR="00F40CC2" w:rsidRDefault="00F40CC2" w:rsidP="003D390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 р</w:t>
            </w:r>
            <w:r w:rsidRPr="008A60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азвитие сельского хозяйства в населенных пунктах, развитие производственной базы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A60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F355F0F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 е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жемесячное предоставление сведений о движении населения с миграционной службы в администрацию сельского поселения. Без информации сельского поселения риэлторы занимаются разделением земельных участков на части и реализуют программу материнского капитала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D8CA1AF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 п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олучившим земельные участки по программе как многодетная семья выделять кредиты без процента. При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ФАПах</w:t>
            </w:r>
            <w:proofErr w:type="spellEnd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открыть аптечные пункты (Новая Бура,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Актанышбаш</w:t>
            </w:r>
            <w:proofErr w:type="spellEnd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, Никольск)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272396B6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с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троить модульные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ФАПы</w:t>
            </w:r>
            <w:proofErr w:type="spellEnd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в малонаселенных пунктах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Ст.Буртюк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1B597952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о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беспечить населенные пункты маршрутными транспортными средствами.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Мрясево</w:t>
            </w:r>
            <w:proofErr w:type="spellEnd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, Ст. </w:t>
            </w:r>
            <w:proofErr w:type="spellStart"/>
            <w:proofErr w:type="gram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Буртюк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br/>
              <w:t>-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с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троить кустовые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ФОКи</w:t>
            </w:r>
            <w:proofErr w:type="spellEnd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д.Куяново</w:t>
            </w:r>
            <w:proofErr w:type="spellEnd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д.Арлан</w:t>
            </w:r>
            <w:proofErr w:type="spellEnd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. В густонаселенных дальних населенных пунктах обеспечить врачей общей практики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28FF0EA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в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основном все программы работают в населенных пунктах с населением свыше 1000 человек 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пересмотреть критерии по количеству проживающих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в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ернуть в школы </w:t>
            </w:r>
            <w:proofErr w:type="spellStart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профориентационную</w:t>
            </w:r>
            <w:proofErr w:type="spellEnd"/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работу по подготовке сельской рабочей профессии, не оценивать школы по поступлению в вузы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br/>
              <w:t>- п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ересмотреть вопрос контроля и надзора по проверкам необеспеченными и неподкреплёнными финансами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771A2EB3" w14:textId="77777777" w:rsidR="00F40CC2" w:rsidRPr="008A60C5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о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свобождение от налогов ветеранов боевых действий, прописанных в сельской местности.</w:t>
            </w:r>
          </w:p>
          <w:p w14:paraId="427E863C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г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азификация, водоснабжение деревень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br/>
              <w:t>- б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лагоустройство населенных пунктов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0AF0735B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в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озобновить в СОШ обучение дополнительным профессиям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45862F71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р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азвитие туризма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47D6E388" w14:textId="77777777" w:rsidR="00F40CC2" w:rsidRDefault="00F40CC2" w:rsidP="003D390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в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осстановить работу аэропорта и речных портов рек Белая и Кама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19E3BE50" w14:textId="77777777" w:rsidR="00F40CC2" w:rsidRPr="008A60C5" w:rsidRDefault="00F40CC2" w:rsidP="003D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- о</w:t>
            </w:r>
            <w:r w:rsidRPr="008A60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бновить объекты культуры, образования, оснастить нормальной техникой. </w:t>
            </w:r>
          </w:p>
        </w:tc>
      </w:tr>
    </w:tbl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3D3907" w:rsidRPr="00E82FA2" w:rsidRDefault="003D3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3D3907" w:rsidRPr="00E82FA2" w:rsidRDefault="003D3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3D3907" w:rsidRPr="00E126F7" w:rsidRDefault="003D3907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3D3907" w:rsidRDefault="003D39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3D3907" w:rsidRPr="00E126F7" w:rsidRDefault="003D3907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3D3907" w:rsidRDefault="003D3907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6081928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3D3907" w:rsidRPr="00E126F7" w:rsidRDefault="003D3907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3D3907" w:rsidRDefault="003D3907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3D3907" w:rsidRPr="00E126F7" w:rsidRDefault="003D3907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3D3907" w:rsidRDefault="003D3907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6081929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3D3907" w:rsidRPr="00E126F7" w:rsidRDefault="003D3907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3D3907" w:rsidRDefault="003D3907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3D3907" w:rsidRPr="00E126F7" w:rsidRDefault="003D3907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3D3907" w:rsidRDefault="003D3907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6081930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3D3907" w:rsidRPr="00E82FA2" w:rsidRDefault="003D3907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3D3907" w:rsidRPr="00E82FA2" w:rsidRDefault="003D3907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68614" w14:textId="77777777" w:rsidR="00F04D53" w:rsidRDefault="00F04D53" w:rsidP="00E700E2">
      <w:pPr>
        <w:spacing w:after="0" w:line="240" w:lineRule="auto"/>
      </w:pPr>
      <w:r>
        <w:separator/>
      </w:r>
    </w:p>
  </w:endnote>
  <w:endnote w:type="continuationSeparator" w:id="0">
    <w:p w14:paraId="340E4DEE" w14:textId="77777777" w:rsidR="00F04D53" w:rsidRDefault="00F04D53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Content>
      <w:p w14:paraId="3BA22F92" w14:textId="77777777" w:rsidR="003D3907" w:rsidRDefault="003D3907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C56">
          <w:rPr>
            <w:noProof/>
          </w:rPr>
          <w:t>23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3D3907" w:rsidRDefault="003D3907">
    <w:pPr>
      <w:pStyle w:val="af"/>
      <w:jc w:val="center"/>
    </w:pPr>
  </w:p>
  <w:p w14:paraId="197226D5" w14:textId="77777777" w:rsidR="003D3907" w:rsidRDefault="003D3907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302C0" w14:textId="77777777" w:rsidR="00F04D53" w:rsidRDefault="00F04D53" w:rsidP="00E700E2">
      <w:pPr>
        <w:spacing w:after="0" w:line="240" w:lineRule="auto"/>
      </w:pPr>
      <w:r>
        <w:separator/>
      </w:r>
    </w:p>
  </w:footnote>
  <w:footnote w:type="continuationSeparator" w:id="0">
    <w:p w14:paraId="7A15A325" w14:textId="77777777" w:rsidR="00F04D53" w:rsidRDefault="00F04D53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7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FBF"/>
    <w:rsid w:val="0050527D"/>
    <w:rsid w:val="00505CF3"/>
    <w:rsid w:val="0050634A"/>
    <w:rsid w:val="00506EEF"/>
    <w:rsid w:val="0050775C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98A"/>
    <w:rsid w:val="00AF7A75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909A2"/>
    <w:rsid w:val="00E90C9B"/>
    <w:rsid w:val="00E9105F"/>
    <w:rsid w:val="00E92928"/>
    <w:rsid w:val="00E92BC3"/>
    <w:rsid w:val="00E937A4"/>
    <w:rsid w:val="00E956A1"/>
    <w:rsid w:val="00E95901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4D53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40CC2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9143392"/>
        <c:axId val="309143784"/>
      </c:barChart>
      <c:catAx>
        <c:axId val="309143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9143784"/>
        <c:crosses val="autoZero"/>
        <c:auto val="1"/>
        <c:lblAlgn val="ctr"/>
        <c:lblOffset val="100"/>
        <c:noMultiLvlLbl val="0"/>
      </c:catAx>
      <c:valAx>
        <c:axId val="309143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91433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0813536"/>
        <c:axId val="320811184"/>
      </c:barChart>
      <c:catAx>
        <c:axId val="3208135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320811184"/>
        <c:crosses val="autoZero"/>
        <c:auto val="1"/>
        <c:lblAlgn val="ctr"/>
        <c:lblOffset val="100"/>
        <c:tickLblSkip val="1"/>
        <c:noMultiLvlLbl val="0"/>
      </c:catAx>
      <c:valAx>
        <c:axId val="32081118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3208135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005504"/>
        <c:axId val="304006288"/>
      </c:lineChart>
      <c:catAx>
        <c:axId val="30400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006288"/>
        <c:crosses val="autoZero"/>
        <c:auto val="1"/>
        <c:lblAlgn val="ctr"/>
        <c:lblOffset val="100"/>
        <c:tickLblSkip val="1"/>
        <c:noMultiLvlLbl val="0"/>
      </c:catAx>
      <c:valAx>
        <c:axId val="30400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0055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991504"/>
        <c:axId val="316178048"/>
      </c:barChart>
      <c:catAx>
        <c:axId val="3249915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6178048"/>
        <c:crosses val="autoZero"/>
        <c:auto val="1"/>
        <c:lblAlgn val="ctr"/>
        <c:lblOffset val="200"/>
        <c:noMultiLvlLbl val="0"/>
      </c:catAx>
      <c:valAx>
        <c:axId val="316178048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991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6176480"/>
        <c:axId val="316178832"/>
      </c:barChart>
      <c:catAx>
        <c:axId val="316176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6178832"/>
        <c:crosses val="autoZero"/>
        <c:auto val="1"/>
        <c:lblAlgn val="ctr"/>
        <c:lblOffset val="100"/>
        <c:noMultiLvlLbl val="0"/>
      </c:catAx>
      <c:valAx>
        <c:axId val="316178832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16176480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6179224"/>
        <c:axId val="316177264"/>
      </c:barChart>
      <c:catAx>
        <c:axId val="3161792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6177264"/>
        <c:crosses val="autoZero"/>
        <c:auto val="1"/>
        <c:lblAlgn val="ctr"/>
        <c:lblOffset val="100"/>
        <c:noMultiLvlLbl val="0"/>
      </c:catAx>
      <c:valAx>
        <c:axId val="31617726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6179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6175696"/>
        <c:axId val="316177656"/>
      </c:barChart>
      <c:catAx>
        <c:axId val="3161756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316177656"/>
        <c:crosses val="autoZero"/>
        <c:auto val="1"/>
        <c:lblAlgn val="ctr"/>
        <c:lblOffset val="100"/>
        <c:noMultiLvlLbl val="0"/>
      </c:catAx>
      <c:valAx>
        <c:axId val="31617765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161756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337992"/>
        <c:axId val="324339168"/>
      </c:barChart>
      <c:catAx>
        <c:axId val="324337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339168"/>
        <c:crosses val="autoZero"/>
        <c:auto val="1"/>
        <c:lblAlgn val="ctr"/>
        <c:lblOffset val="100"/>
        <c:noMultiLvlLbl val="0"/>
      </c:catAx>
      <c:valAx>
        <c:axId val="324339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4337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338384"/>
        <c:axId val="324337600"/>
      </c:barChart>
      <c:catAx>
        <c:axId val="3243383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24337600"/>
        <c:crosses val="autoZero"/>
        <c:auto val="1"/>
        <c:lblAlgn val="ctr"/>
        <c:lblOffset val="100"/>
        <c:noMultiLvlLbl val="0"/>
      </c:catAx>
      <c:valAx>
        <c:axId val="324337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433838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D0A20-94B3-48E0-A54D-92073FAF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50</Pages>
  <Words>10855</Words>
  <Characters>61878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25</cp:revision>
  <cp:lastPrinted>2021-12-14T09:12:00Z</cp:lastPrinted>
  <dcterms:created xsi:type="dcterms:W3CDTF">2022-02-03T09:18:00Z</dcterms:created>
  <dcterms:modified xsi:type="dcterms:W3CDTF">2022-02-11T05:52:00Z</dcterms:modified>
</cp:coreProperties>
</file>