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3187B662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3937E4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3937E4">
        <w:rPr>
          <w:rFonts w:ascii="Times New Roman" w:hAnsi="Times New Roman" w:cs="Times New Roman"/>
          <w:b/>
          <w:sz w:val="36"/>
          <w:szCs w:val="36"/>
        </w:rPr>
        <w:t>Янаульский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542D8C67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3937E4">
        <w:rPr>
          <w:rFonts w:ascii="Times New Roman" w:hAnsi="Times New Roman" w:cs="Times New Roman"/>
          <w:sz w:val="28"/>
          <w:szCs w:val="28"/>
        </w:rPr>
        <w:t>Янаульский</w:t>
      </w:r>
      <w:proofErr w:type="spellEnd"/>
      <w:r w:rsidR="003937E4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B75BDB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6B4AD1" w:rsidRPr="006A1C9C" w14:paraId="5967B7A9" w14:textId="77777777" w:rsidTr="006C24A5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6B4AD1" w:rsidRPr="006A1C9C" w:rsidRDefault="006B4AD1" w:rsidP="006B4AD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" w:colLast="12"/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2F4FEC41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1291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282740CC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1555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04ED9B05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-264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2A60B82E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5B867A60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5111A185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-219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2C6E53B1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1F8D881E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13ABA012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-522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3A289CB8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431111F0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00EA0EE4" w:rsidR="006B4AD1" w:rsidRPr="00AF73EB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</w:tr>
      <w:tr w:rsidR="003629E1" w:rsidRPr="006A1C9C" w14:paraId="3F309D44" w14:textId="77777777" w:rsidTr="003D3907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3629E1" w:rsidRPr="006A1C9C" w:rsidRDefault="003629E1" w:rsidP="003629E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25927317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1115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7E55EF86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1514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41D2F465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-399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54F6A553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15314ACE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1F0F78A9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-454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2F94AB3C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7579ED58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61932CEC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-451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662F3F8F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647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3DA64B62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2FA6C0CD" w:rsidR="003629E1" w:rsidRPr="00AF73EB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04196E" w:rsidRPr="006A1C9C" w14:paraId="4F47A395" w14:textId="77777777" w:rsidTr="003D3907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04196E" w:rsidRPr="006A1C9C" w:rsidRDefault="0004196E" w:rsidP="0004196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46F347E6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7E1A19FE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4A642480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-273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7ED92CD2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6C996AD3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54A40847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-396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33DE6DBA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77243B8E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589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440D9F43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-387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59A39DBD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74E731AD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6469A7C4" w:rsidR="0004196E" w:rsidRPr="00AF73EB" w:rsidRDefault="0004196E" w:rsidP="00041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</w:tr>
      <w:tr w:rsidR="00803844" w:rsidRPr="006A1C9C" w14:paraId="46622E13" w14:textId="77777777" w:rsidTr="003D3907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803844" w:rsidRPr="006A1C9C" w:rsidRDefault="00803844" w:rsidP="0080384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3FA0F114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1262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1C4D5134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5D30EF90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-251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39633F94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2F8AE98F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7F2ECFCA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-466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41E6651B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3EC185DD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21394CF3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-301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2E49BBB4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5DB2AF6C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2B00A391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803844" w:rsidRPr="006A1C9C" w14:paraId="72FD605B" w14:textId="77777777" w:rsidTr="003D3907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803844" w:rsidRPr="006A1C9C" w:rsidRDefault="00803844" w:rsidP="0080384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2D976210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1085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2399CAF8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5E0C46B0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1800A96D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6C708C1E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34BC4CB7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-268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36D7DF06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1293BB28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487F9611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-244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61ACEE47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423E0D68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61953309" w:rsidR="00803844" w:rsidRPr="00AF73E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</w:tr>
    </w:tbl>
    <w:bookmarkEnd w:id="0"/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803844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803844" w:rsidRPr="00B64C8C" w:rsidRDefault="00803844" w:rsidP="00803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7544F77B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-264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71D7174D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63A5DB48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7687EACC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-399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57479C1A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713C855B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32398B7E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-273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64A93AAF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-134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4B3D4A94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-139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20D110EA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0F82B1DC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-108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23EDF806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7A3861C7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600C144A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4A73449B" w:rsidR="00803844" w:rsidRPr="0096422A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</w:tr>
      <w:tr w:rsidR="00803844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803844" w:rsidRPr="00B64C8C" w:rsidRDefault="00803844" w:rsidP="00803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844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803844" w:rsidRPr="00B64C8C" w:rsidRDefault="00803844" w:rsidP="00803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6CDA522A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0E8EFC83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1E79ECC2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39D4F430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39A8A04B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151A2255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0962E50A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31F958DF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45D32B3E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7B50D35F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66C9D181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67773494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431BD376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-102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1D8C37F3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274B3634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-53</w:t>
            </w:r>
          </w:p>
        </w:tc>
      </w:tr>
      <w:tr w:rsidR="00803844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803844" w:rsidRPr="00B64C8C" w:rsidRDefault="00803844" w:rsidP="00803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467C86AC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-176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3247572B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-64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75E7C890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26A3DC7D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774E776E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-73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1848B6DE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-165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512EC742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-176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0A9F11BC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13781C36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6328EF20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346A84E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7579696E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0B6B22F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28290871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49359F0E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</w:tr>
      <w:tr w:rsidR="00803844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803844" w:rsidRPr="00B64C8C" w:rsidRDefault="00803844" w:rsidP="00803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58062224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7E589338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2714CAE0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389C1886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57659728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6F64C87F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01DEFEF7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62E7F7CF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781AB53D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4DCEA728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0BEF8FA9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00670FFA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2923CB48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5D3A51E9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21653FCC" w:rsidR="00803844" w:rsidRPr="00B75BDB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803844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6B4AD1" w:rsidRPr="007A40BB" w14:paraId="4DF29413" w14:textId="77777777" w:rsidTr="00803844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6B4AD1" w:rsidRPr="00150070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516FDBC4" w:rsidR="006B4AD1" w:rsidRPr="00803844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-209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4B4ECD37" w:rsidR="006B4AD1" w:rsidRPr="00803844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-417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29238236" w:rsidR="006B4AD1" w:rsidRPr="00803844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-51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5247132E" w:rsidR="006B4AD1" w:rsidRPr="00803844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0BB7A315" w:rsidR="006B4AD1" w:rsidRPr="00803844" w:rsidRDefault="006B4AD1" w:rsidP="006B4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-160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1EF8082A" w:rsidR="006B4AD1" w:rsidRPr="00803844" w:rsidRDefault="006B4AD1" w:rsidP="006B4AD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</w:tr>
      <w:tr w:rsidR="003629E1" w:rsidRPr="007A40BB" w14:paraId="487ABE6D" w14:textId="77777777" w:rsidTr="00803844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3629E1" w:rsidRPr="00150070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062B7422" w:rsidR="003629E1" w:rsidRPr="00803844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-273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4C12F2F9" w:rsidR="003629E1" w:rsidRPr="00803844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0E002442" w:rsidR="003629E1" w:rsidRPr="00803844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-134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367BBDBC" w:rsidR="003629E1" w:rsidRPr="00803844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442AB342" w:rsidR="003629E1" w:rsidRPr="00803844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-248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352BBC46" w:rsidR="003629E1" w:rsidRPr="00803844" w:rsidRDefault="003629E1" w:rsidP="0036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</w:tr>
      <w:tr w:rsidR="00FB39B6" w:rsidRPr="007A40BB" w14:paraId="0FCFEAB7" w14:textId="7F807B5C" w:rsidTr="00803844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FB39B6" w:rsidRPr="00150070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6FD81174" w:rsidR="00FB39B6" w:rsidRPr="00803844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-185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4F22878D" w:rsidR="00FB39B6" w:rsidRPr="00803844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-343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7AB7022A" w:rsidR="00FB39B6" w:rsidRPr="00803844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59DAEC35" w:rsidR="00FB39B6" w:rsidRPr="00803844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3EA49D46" w:rsidR="00FB39B6" w:rsidRPr="00803844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-170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4C324F1C" w:rsidR="00FB39B6" w:rsidRPr="00803844" w:rsidRDefault="00FB39B6" w:rsidP="00FB39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</w:tr>
      <w:tr w:rsidR="00803844" w:rsidRPr="007A40BB" w14:paraId="6F7B30E3" w14:textId="77777777" w:rsidTr="00803844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803844" w:rsidRPr="00150070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15A0F17E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-176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5A5D3009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-298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4408C221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1F0C454E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34CB8898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-105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7F43FF17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</w:tr>
      <w:tr w:rsidR="00803844" w:rsidRPr="007A40BB" w14:paraId="2E832673" w14:textId="77777777" w:rsidTr="00803844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803844" w:rsidRPr="00150070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676E5C55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bCs/>
                <w:sz w:val="24"/>
                <w:szCs w:val="24"/>
              </w:rPr>
              <w:t>-64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0FD91049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bCs/>
                <w:sz w:val="24"/>
                <w:szCs w:val="24"/>
              </w:rPr>
              <w:t>-242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1552671C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bCs/>
                <w:sz w:val="24"/>
                <w:szCs w:val="24"/>
              </w:rPr>
              <w:t>-72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154A658E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6226BDE5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bCs/>
                <w:sz w:val="24"/>
                <w:szCs w:val="24"/>
              </w:rPr>
              <w:t>-14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034FD4B5" w:rsidR="00803844" w:rsidRPr="00803844" w:rsidRDefault="00803844" w:rsidP="0080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844">
              <w:rPr>
                <w:rFonts w:ascii="Times New Roman" w:hAnsi="Times New Roman" w:cs="Times New Roman"/>
                <w:bCs/>
                <w:sz w:val="24"/>
                <w:szCs w:val="24"/>
              </w:rPr>
              <w:t>351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3D3907" w:rsidRPr="008941CD" w:rsidRDefault="003D3907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3D3907" w:rsidRPr="008941CD" w:rsidRDefault="003D3907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A3EA7E" w14:textId="77777777" w:rsidR="003937E4" w:rsidRDefault="003937E4" w:rsidP="003937E4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3867CED9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0177240B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52AE58DE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ГП – городское поселение</w:t>
      </w:r>
    </w:p>
    <w:p w14:paraId="05941033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СП – сельское поселение</w:t>
      </w:r>
    </w:p>
    <w:p w14:paraId="1C3E2169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16948B6B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КФХ – крестьянско-фермерское хозяйство</w:t>
      </w:r>
    </w:p>
    <w:p w14:paraId="5BB54C47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553C39C6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0281560C" w14:textId="77777777" w:rsidR="003937E4" w:rsidRPr="00045F52" w:rsidRDefault="003937E4" w:rsidP="003937E4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36CEBA2A" w14:textId="77777777" w:rsidR="003937E4" w:rsidRDefault="003937E4" w:rsidP="003937E4">
      <w:pPr>
        <w:tabs>
          <w:tab w:val="left" w:pos="2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C8B2C1" w14:textId="77777777" w:rsidR="003937E4" w:rsidRPr="0044576A" w:rsidRDefault="003937E4" w:rsidP="003937E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44576A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</w:t>
      </w:r>
      <w:r>
        <w:rPr>
          <w:rFonts w:ascii="Times New Roman" w:hAnsi="Times New Roman" w:cs="Times New Roman"/>
          <w:i/>
          <w:sz w:val="28"/>
          <w:szCs w:val="28"/>
        </w:rPr>
        <w:t xml:space="preserve">экспертов </w:t>
      </w:r>
      <w:r w:rsidRPr="0044576A">
        <w:rPr>
          <w:rFonts w:ascii="Times New Roman" w:hAnsi="Times New Roman" w:cs="Times New Roman"/>
          <w:i/>
          <w:sz w:val="28"/>
          <w:szCs w:val="28"/>
        </w:rPr>
        <w:t>не меняются).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7F3377C" w14:textId="77777777" w:rsidR="003937E4" w:rsidRDefault="003937E4" w:rsidP="003937E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Миграционная ситуация в поселениях района главами поселений была охарактеризована следующим образом:</w:t>
      </w:r>
    </w:p>
    <w:p w14:paraId="08A46279" w14:textId="77777777" w:rsidR="003937E4" w:rsidRPr="00C22B26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1DAE">
        <w:rPr>
          <w:rFonts w:ascii="Times New Roman" w:hAnsi="Times New Roman" w:cs="Times New Roman"/>
          <w:sz w:val="28"/>
          <w:szCs w:val="28"/>
        </w:rPr>
        <w:t xml:space="preserve">Высокий отток квалифицированных рабочих, специалистов нефтяной отрасли в северные и </w:t>
      </w:r>
      <w:proofErr w:type="gramStart"/>
      <w:r w:rsidRPr="006D1DAE">
        <w:rPr>
          <w:rFonts w:ascii="Times New Roman" w:hAnsi="Times New Roman" w:cs="Times New Roman"/>
          <w:sz w:val="28"/>
          <w:szCs w:val="28"/>
        </w:rPr>
        <w:t>другие  регионы</w:t>
      </w:r>
      <w:proofErr w:type="gramEnd"/>
      <w:r w:rsidRPr="006D1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страны </w:t>
      </w:r>
      <w:r w:rsidRPr="006D1DAE">
        <w:rPr>
          <w:rFonts w:ascii="Times New Roman" w:hAnsi="Times New Roman" w:cs="Times New Roman"/>
          <w:sz w:val="28"/>
          <w:szCs w:val="28"/>
        </w:rPr>
        <w:t>в связи с ликвидацией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DAE">
        <w:rPr>
          <w:rFonts w:ascii="Times New Roman" w:hAnsi="Times New Roman" w:cs="Times New Roman"/>
          <w:sz w:val="28"/>
          <w:szCs w:val="28"/>
        </w:rPr>
        <w:t xml:space="preserve"> ГП </w:t>
      </w:r>
      <w:proofErr w:type="spellStart"/>
      <w:r w:rsidRPr="006D1DAE">
        <w:rPr>
          <w:rFonts w:ascii="Times New Roman" w:hAnsi="Times New Roman" w:cs="Times New Roman"/>
          <w:sz w:val="28"/>
          <w:szCs w:val="28"/>
        </w:rPr>
        <w:t>г.Янаул</w:t>
      </w:r>
      <w:proofErr w:type="spellEnd"/>
      <w:r w:rsidRPr="006D1DAE">
        <w:rPr>
          <w:rFonts w:ascii="Times New Roman" w:hAnsi="Times New Roman" w:cs="Times New Roman"/>
          <w:sz w:val="28"/>
          <w:szCs w:val="28"/>
        </w:rPr>
        <w:t xml:space="preserve"> в течение последних трех-четырех лет  нефт</w:t>
      </w:r>
      <w:r>
        <w:rPr>
          <w:rFonts w:ascii="Times New Roman" w:hAnsi="Times New Roman" w:cs="Times New Roman"/>
          <w:sz w:val="28"/>
          <w:szCs w:val="28"/>
        </w:rPr>
        <w:t xml:space="preserve">яной промышленности </w:t>
      </w:r>
      <w:r w:rsidRPr="00C22B26">
        <w:rPr>
          <w:rFonts w:ascii="Times New Roman" w:hAnsi="Times New Roman" w:cs="Times New Roman"/>
          <w:i/>
          <w:sz w:val="28"/>
          <w:szCs w:val="28"/>
        </w:rPr>
        <w:t>(«В настоящий момент весь этот высококвалифицированный персонал уехал на вахту на Север, … кто-то в Москву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C22B26">
        <w:rPr>
          <w:rFonts w:ascii="Times New Roman" w:hAnsi="Times New Roman" w:cs="Times New Roman"/>
          <w:i/>
          <w:sz w:val="28"/>
          <w:szCs w:val="28"/>
        </w:rPr>
        <w:t xml:space="preserve"> , в Казань уезжают, </w:t>
      </w: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C22B26">
        <w:rPr>
          <w:rFonts w:ascii="Times New Roman" w:hAnsi="Times New Roman" w:cs="Times New Roman"/>
          <w:i/>
          <w:sz w:val="28"/>
          <w:szCs w:val="28"/>
        </w:rPr>
        <w:t>Ижевск, Уфу и Екатеринбург».)</w:t>
      </w:r>
    </w:p>
    <w:p w14:paraId="256267F1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Высокий отток квалифицированной молодежи из района в северные и другие регионы страны. Так, в ГП г. Янаул наблюдается тенденция миграционного оттока молодежи, которая обучилась профессиям и специальностям, востребованным в нефтяной промышленности, имеет определенный стаж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местных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предприятиях (как правило, работают около двух лет на местном предприятии «</w:t>
      </w:r>
      <w:proofErr w:type="spellStart"/>
      <w:r w:rsidRPr="00AE7DA8">
        <w:rPr>
          <w:rFonts w:ascii="Times New Roman" w:hAnsi="Times New Roman" w:cs="Times New Roman"/>
          <w:sz w:val="28"/>
          <w:szCs w:val="28"/>
        </w:rPr>
        <w:t>Роснефтьтранспорт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</w:t>
      </w:r>
    </w:p>
    <w:p w14:paraId="4B3A53EE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образовательная миграция молодежи в города: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Москва,  Екатеринбург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Казань, Ижевск, Уфа; а также семей с детьми для получения школьного образования в близлежащие город Янаул или Нефтекамск.  </w:t>
      </w:r>
    </w:p>
    <w:p w14:paraId="17B2A0F6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Миграционная привлекательность районного центра ГП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г.Янаул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трудоспособного населения и молодежи близлежащих сельских поселений. На приток населения в Янаул влияет и то, что в районном центре выделяются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земельные участки по социальным программам для определенных категорий населения. </w:t>
      </w:r>
    </w:p>
    <w:p w14:paraId="3AD5CC7E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627E">
        <w:rPr>
          <w:rFonts w:ascii="Times New Roman" w:hAnsi="Times New Roman" w:cs="Times New Roman"/>
          <w:sz w:val="28"/>
          <w:szCs w:val="28"/>
        </w:rPr>
        <w:t>Высок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646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4627E">
        <w:rPr>
          <w:rFonts w:ascii="Times New Roman" w:hAnsi="Times New Roman" w:cs="Times New Roman"/>
          <w:sz w:val="28"/>
          <w:szCs w:val="28"/>
        </w:rPr>
        <w:t xml:space="preserve">ровень участия населения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64627E">
        <w:rPr>
          <w:rFonts w:ascii="Times New Roman" w:hAnsi="Times New Roman" w:cs="Times New Roman"/>
          <w:sz w:val="28"/>
          <w:szCs w:val="28"/>
        </w:rPr>
        <w:t>в маятниковой миграции</w:t>
      </w:r>
      <w:r>
        <w:rPr>
          <w:rFonts w:ascii="Times New Roman" w:hAnsi="Times New Roman" w:cs="Times New Roman"/>
          <w:sz w:val="28"/>
          <w:szCs w:val="28"/>
        </w:rPr>
        <w:t xml:space="preserve">, которая имеет несколько направлений,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.: </w:t>
      </w:r>
    </w:p>
    <w:p w14:paraId="3712D06C" w14:textId="77777777" w:rsidR="003937E4" w:rsidRDefault="003937E4" w:rsidP="003937E4">
      <w:pPr>
        <w:pStyle w:val="a5"/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4627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27E">
        <w:rPr>
          <w:rFonts w:ascii="Times New Roman" w:hAnsi="Times New Roman" w:cs="Times New Roman"/>
          <w:sz w:val="28"/>
          <w:szCs w:val="28"/>
        </w:rPr>
        <w:t>г.Нефтекамск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основном это работники нефтяных предприятий, которые ранее находились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г.Янаул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затем в результате реструктуризации были переведены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г.Нефтекамск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7D2801F" w14:textId="77777777" w:rsidR="003937E4" w:rsidRDefault="003937E4" w:rsidP="003937E4">
      <w:pPr>
        <w:pStyle w:val="a5"/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 соседние поселения Пермского края для работы в сельхозпредприятиях (в ней участвуют в основном жители приграничных сельских поселений); </w:t>
      </w:r>
    </w:p>
    <w:p w14:paraId="118A0AA5" w14:textId="77777777" w:rsidR="003937E4" w:rsidRDefault="003937E4" w:rsidP="003937E4">
      <w:pPr>
        <w:pStyle w:val="a5"/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внутри района – для работы на предприятиях райцентра, а также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Куединском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мясокомбинате, который находится на территории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Сандугачевского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сельского поселения. </w:t>
      </w:r>
    </w:p>
    <w:p w14:paraId="77C70633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Маятниковая миграция в район жителей Пермского края для работы в местных сельхозпредприятиях, а также на предприятии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Кудениского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мясокомбмината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45BD74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Приток в район лиц старших возрастных групп на постоянное место жительства в основном из северных регионов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выходщы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вышедшие на пенсию).</w:t>
      </w:r>
    </w:p>
    <w:p w14:paraId="7381C668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Прибытие неблагополучных семей, покупающих дешевое жилье в сельских поселениях.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lastRenderedPageBreak/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13. Благоустройство территории, уровень развития инфраструктуры для отдыха, занятий физической культурой и </w:t>
            </w: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</w:t>
      </w:r>
      <w:r w:rsidRPr="005A2FC5">
        <w:lastRenderedPageBreak/>
        <w:t>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5B8F7FD0" w14:textId="77777777" w:rsidR="003937E4" w:rsidRDefault="003937E4" w:rsidP="003937E4">
      <w:pPr>
        <w:pStyle w:val="a5"/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Главами поселений района выделены следующие основные причины миграционного оттока населения:</w:t>
      </w:r>
    </w:p>
    <w:p w14:paraId="2B2728ED" w14:textId="77777777" w:rsidR="003937E4" w:rsidRPr="00E910A5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Низкие зарплаты на местных предприятиях. </w:t>
      </w:r>
      <w:r>
        <w:rPr>
          <w:rFonts w:ascii="Times New Roman" w:hAnsi="Times New Roman" w:cs="Times New Roman"/>
          <w:i/>
          <w:sz w:val="28"/>
          <w:szCs w:val="28"/>
        </w:rPr>
        <w:t>(«</w:t>
      </w:r>
      <w:r w:rsidRPr="00E910A5">
        <w:rPr>
          <w:rFonts w:ascii="Times New Roman" w:hAnsi="Times New Roman" w:cs="Times New Roman"/>
          <w:i/>
          <w:sz w:val="28"/>
          <w:szCs w:val="28"/>
        </w:rPr>
        <w:t>Хорошие специалисты не вернутся, потому что здесь нет таких зарплат, которые есть в Казани, Москве</w:t>
      </w:r>
      <w:r>
        <w:rPr>
          <w:rFonts w:ascii="Times New Roman" w:hAnsi="Times New Roman" w:cs="Times New Roman"/>
          <w:i/>
          <w:sz w:val="28"/>
          <w:szCs w:val="28"/>
        </w:rPr>
        <w:t>…»).</w:t>
      </w:r>
    </w:p>
    <w:p w14:paraId="1859E830" w14:textId="77777777" w:rsidR="003937E4" w:rsidRPr="00A15B5D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E7EBC">
        <w:rPr>
          <w:rFonts w:ascii="Times New Roman" w:hAnsi="Times New Roman" w:cs="Times New Roman"/>
          <w:sz w:val="28"/>
          <w:szCs w:val="28"/>
        </w:rPr>
        <w:t>тсутствие перспектив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роста </w:t>
      </w:r>
      <w:r w:rsidRPr="009E7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EBC">
        <w:rPr>
          <w:rFonts w:ascii="Times New Roman" w:hAnsi="Times New Roman" w:cs="Times New Roman"/>
          <w:sz w:val="28"/>
          <w:szCs w:val="28"/>
        </w:rPr>
        <w:t xml:space="preserve">молодых квалифицированных специалистов, в </w:t>
      </w:r>
      <w:proofErr w:type="spellStart"/>
      <w:r w:rsidRPr="009E7EBC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9E7EBC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9E7EBC">
        <w:rPr>
          <w:rFonts w:ascii="Times New Roman" w:hAnsi="Times New Roman" w:cs="Times New Roman"/>
          <w:sz w:val="28"/>
          <w:szCs w:val="28"/>
        </w:rPr>
        <w:t xml:space="preserve">врачей  </w:t>
      </w:r>
      <w:r w:rsidRPr="009E7EB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E7EBC">
        <w:rPr>
          <w:rFonts w:ascii="Times New Roman" w:hAnsi="Times New Roman" w:cs="Times New Roman"/>
          <w:i/>
          <w:sz w:val="28"/>
          <w:szCs w:val="28"/>
        </w:rPr>
        <w:t>«Квартиры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E7EBC">
        <w:rPr>
          <w:rFonts w:ascii="Times New Roman" w:hAnsi="Times New Roman" w:cs="Times New Roman"/>
          <w:i/>
          <w:sz w:val="28"/>
          <w:szCs w:val="28"/>
        </w:rPr>
        <w:t>все есть. У нас есть несколько служебных помещений, которые готовы, ждут. Но они не идут сюда, потому что в городе в принцип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9E7EBC">
        <w:rPr>
          <w:rFonts w:ascii="Times New Roman" w:hAnsi="Times New Roman" w:cs="Times New Roman"/>
          <w:i/>
          <w:sz w:val="28"/>
          <w:szCs w:val="28"/>
        </w:rPr>
        <w:t xml:space="preserve"> больше возможностей и оборудования. В Янауле </w:t>
      </w:r>
      <w:r>
        <w:rPr>
          <w:rFonts w:ascii="Times New Roman" w:hAnsi="Times New Roman" w:cs="Times New Roman"/>
          <w:i/>
          <w:sz w:val="28"/>
          <w:szCs w:val="28"/>
        </w:rPr>
        <w:t xml:space="preserve">имеется </w:t>
      </w:r>
      <w:r w:rsidRPr="009E7EBC">
        <w:rPr>
          <w:rFonts w:ascii="Times New Roman" w:hAnsi="Times New Roman" w:cs="Times New Roman"/>
          <w:i/>
          <w:sz w:val="28"/>
          <w:szCs w:val="28"/>
        </w:rPr>
        <w:t>обычная больница деревенская»).</w:t>
      </w:r>
    </w:p>
    <w:p w14:paraId="4C2D35FB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165">
        <w:rPr>
          <w:rFonts w:ascii="Times New Roman" w:hAnsi="Times New Roman" w:cs="Times New Roman"/>
          <w:sz w:val="28"/>
          <w:szCs w:val="28"/>
        </w:rPr>
        <w:t xml:space="preserve">Низкий уровень дорожно-транспортной инфраструктуры, плохое состояние дорог, отсутствие регулярного автобусного сообщения между отдаленными сельскими поселениями и районным центром. </w:t>
      </w:r>
      <w:r>
        <w:rPr>
          <w:rFonts w:ascii="Times New Roman" w:hAnsi="Times New Roman" w:cs="Times New Roman"/>
          <w:sz w:val="28"/>
          <w:szCs w:val="28"/>
        </w:rPr>
        <w:t xml:space="preserve">что снижает качество жизни населения, </w:t>
      </w:r>
      <w:r w:rsidRPr="00592165">
        <w:rPr>
          <w:rFonts w:ascii="Times New Roman" w:hAnsi="Times New Roman" w:cs="Times New Roman"/>
          <w:sz w:val="28"/>
          <w:szCs w:val="28"/>
        </w:rPr>
        <w:t>ограничивает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жителей</w:t>
      </w:r>
      <w:r w:rsidRPr="00592165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592165">
        <w:rPr>
          <w:rFonts w:ascii="Times New Roman" w:hAnsi="Times New Roman" w:cs="Times New Roman"/>
          <w:sz w:val="28"/>
          <w:szCs w:val="28"/>
        </w:rPr>
        <w:t xml:space="preserve"> получении </w:t>
      </w:r>
      <w:r>
        <w:rPr>
          <w:rFonts w:ascii="Times New Roman" w:hAnsi="Times New Roman" w:cs="Times New Roman"/>
          <w:sz w:val="28"/>
          <w:szCs w:val="28"/>
        </w:rPr>
        <w:t xml:space="preserve">социальных услуг, </w:t>
      </w:r>
      <w:r w:rsidRPr="00592165">
        <w:rPr>
          <w:rFonts w:ascii="Times New Roman" w:hAnsi="Times New Roman" w:cs="Times New Roman"/>
          <w:sz w:val="28"/>
          <w:szCs w:val="28"/>
        </w:rPr>
        <w:t xml:space="preserve">медицинской помощи.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592165">
        <w:rPr>
          <w:rFonts w:ascii="Times New Roman" w:hAnsi="Times New Roman" w:cs="Times New Roman"/>
          <w:sz w:val="28"/>
          <w:szCs w:val="28"/>
        </w:rPr>
        <w:t>«</w:t>
      </w:r>
      <w:r w:rsidRPr="00592165">
        <w:rPr>
          <w:rFonts w:ascii="Times New Roman" w:hAnsi="Times New Roman" w:cs="Times New Roman"/>
          <w:i/>
          <w:sz w:val="28"/>
          <w:szCs w:val="28"/>
        </w:rPr>
        <w:t>Большая проблема у нас – бездорожье, весной и осенью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592165">
        <w:rPr>
          <w:rFonts w:ascii="Times New Roman" w:hAnsi="Times New Roman" w:cs="Times New Roman"/>
          <w:i/>
          <w:sz w:val="28"/>
          <w:szCs w:val="28"/>
        </w:rPr>
        <w:t xml:space="preserve"> Когда погода без дождя, можно проехать. А как дождь, слякоть…</w:t>
      </w:r>
      <w:r>
        <w:rPr>
          <w:rFonts w:ascii="Times New Roman" w:hAnsi="Times New Roman" w:cs="Times New Roman"/>
          <w:i/>
          <w:sz w:val="28"/>
          <w:szCs w:val="28"/>
        </w:rPr>
        <w:t xml:space="preserve"> «скорая» проехать не может)».</w:t>
      </w:r>
    </w:p>
    <w:p w14:paraId="7D7CAF07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691E">
        <w:rPr>
          <w:rFonts w:ascii="Times New Roman" w:hAnsi="Times New Roman" w:cs="Times New Roman"/>
          <w:sz w:val="28"/>
          <w:szCs w:val="28"/>
        </w:rPr>
        <w:t>Низкий уровень качества и доступности школьного образования</w:t>
      </w:r>
      <w:r>
        <w:rPr>
          <w:rFonts w:ascii="Times New Roman" w:hAnsi="Times New Roman" w:cs="Times New Roman"/>
          <w:sz w:val="28"/>
          <w:szCs w:val="28"/>
        </w:rPr>
        <w:t>. Отсутствие школ в малых поселениях служит одной из главных причин миграционного оттока семей с детьми.</w:t>
      </w:r>
    </w:p>
    <w:p w14:paraId="33539F5F" w14:textId="77777777" w:rsidR="003937E4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Низкий уровень и качество жизни населения в целом, низкий уровень развития социальной инфраструктуры, отсутствие перспектив развития для населения, особенно молодежи. </w:t>
      </w:r>
    </w:p>
    <w:p w14:paraId="2A15D4DB" w14:textId="77777777" w:rsidR="003937E4" w:rsidRPr="00115013" w:rsidRDefault="003937E4" w:rsidP="003937E4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загруженность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работников  администрации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поселений, культурных учреждений (работников домов культуры, библиотекарей),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организации мероприятий, на фоне их маленького оклада (заработная плата в пределах 12 тыс. руб.) что служит причиной текучести кадров и косвенно влияет на миграционный отток специалистов </w:t>
      </w:r>
      <w:r w:rsidRPr="00115013">
        <w:rPr>
          <w:rFonts w:ascii="Times New Roman" w:hAnsi="Times New Roman" w:cs="Times New Roman"/>
          <w:i/>
          <w:sz w:val="28"/>
          <w:szCs w:val="28"/>
        </w:rPr>
        <w:t>(«Библиотека уже на грани закрытия, никто не хочет работать</w:t>
      </w:r>
      <w:r>
        <w:rPr>
          <w:rFonts w:ascii="Times New Roman" w:hAnsi="Times New Roman" w:cs="Times New Roman"/>
          <w:i/>
          <w:sz w:val="28"/>
          <w:szCs w:val="28"/>
        </w:rPr>
        <w:t>»).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0B214C05" w14:textId="77777777" w:rsidR="003937E4" w:rsidRDefault="003937E4" w:rsidP="003937E4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Участниками фокус-группы были озвучены следующие предложения по сокращению оттока населения из поселений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Янаульского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района:</w:t>
      </w:r>
    </w:p>
    <w:p w14:paraId="176E161D" w14:textId="77777777" w:rsidR="003937E4" w:rsidRPr="001E714E" w:rsidRDefault="003937E4" w:rsidP="003937E4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284" w:right="-286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714E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 w:rsidRPr="001E714E">
        <w:rPr>
          <w:rFonts w:ascii="Times New Roman" w:hAnsi="Times New Roman" w:cs="Times New Roman"/>
          <w:sz w:val="28"/>
          <w:szCs w:val="28"/>
        </w:rPr>
        <w:t>приниять</w:t>
      </w:r>
      <w:proofErr w:type="spellEnd"/>
      <w:r w:rsidRPr="001E714E">
        <w:rPr>
          <w:rFonts w:ascii="Times New Roman" w:hAnsi="Times New Roman" w:cs="Times New Roman"/>
          <w:sz w:val="28"/>
          <w:szCs w:val="28"/>
        </w:rPr>
        <w:t xml:space="preserve"> комплекс мер, которые должны иметь государственную поддержку («…</w:t>
      </w:r>
      <w:r w:rsidRPr="001E714E">
        <w:rPr>
          <w:rFonts w:ascii="Times New Roman" w:hAnsi="Times New Roman" w:cs="Times New Roman"/>
          <w:i/>
          <w:sz w:val="28"/>
          <w:szCs w:val="28"/>
        </w:rPr>
        <w:t xml:space="preserve">чтобы исправить эту ситуацию, одной болтовней мы ничего не исправим. Это должна быть государственная программа по созданию </w:t>
      </w:r>
      <w:r w:rsidRPr="001E714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предприятий, которые необходимы для развития государства и созданию новых рабочих мест и, соответственно, с хорошими зарплатами. А так, один город, район, он никогда не справится, потому что все </w:t>
      </w:r>
      <w:r>
        <w:rPr>
          <w:rFonts w:ascii="Times New Roman" w:hAnsi="Times New Roman" w:cs="Times New Roman"/>
          <w:i/>
          <w:sz w:val="28"/>
          <w:szCs w:val="28"/>
        </w:rPr>
        <w:t>при</w:t>
      </w:r>
      <w:r w:rsidRPr="001E714E">
        <w:rPr>
          <w:rFonts w:ascii="Times New Roman" w:hAnsi="Times New Roman" w:cs="Times New Roman"/>
          <w:i/>
          <w:sz w:val="28"/>
          <w:szCs w:val="28"/>
        </w:rPr>
        <w:t>шло в упадок. 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1E714E">
        <w:rPr>
          <w:rFonts w:ascii="Times New Roman" w:hAnsi="Times New Roman" w:cs="Times New Roman"/>
          <w:i/>
          <w:sz w:val="28"/>
          <w:szCs w:val="28"/>
        </w:rPr>
        <w:t xml:space="preserve"> сельско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proofErr w:type="gramEnd"/>
      <w:r w:rsidRPr="001E714E">
        <w:rPr>
          <w:rFonts w:ascii="Times New Roman" w:hAnsi="Times New Roman" w:cs="Times New Roman"/>
          <w:i/>
          <w:sz w:val="28"/>
          <w:szCs w:val="28"/>
        </w:rPr>
        <w:t xml:space="preserve"> хозяйств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1E714E">
        <w:rPr>
          <w:rFonts w:ascii="Times New Roman" w:hAnsi="Times New Roman" w:cs="Times New Roman"/>
          <w:i/>
          <w:sz w:val="28"/>
          <w:szCs w:val="28"/>
        </w:rPr>
        <w:t xml:space="preserve"> то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714E">
        <w:rPr>
          <w:rFonts w:ascii="Times New Roman" w:hAnsi="Times New Roman" w:cs="Times New Roman"/>
          <w:i/>
          <w:sz w:val="28"/>
          <w:szCs w:val="28"/>
        </w:rPr>
        <w:t xml:space="preserve">же самое. Если посмотреть …там обрабатываются земли </w:t>
      </w:r>
      <w:proofErr w:type="gramStart"/>
      <w:r w:rsidRPr="001E714E">
        <w:rPr>
          <w:rFonts w:ascii="Times New Roman" w:hAnsi="Times New Roman" w:cs="Times New Roman"/>
          <w:i/>
          <w:sz w:val="28"/>
          <w:szCs w:val="28"/>
        </w:rPr>
        <w:t>только  рядом</w:t>
      </w:r>
      <w:proofErr w:type="gramEnd"/>
      <w:r w:rsidRPr="001E714E">
        <w:rPr>
          <w:rFonts w:ascii="Times New Roman" w:hAnsi="Times New Roman" w:cs="Times New Roman"/>
          <w:i/>
          <w:sz w:val="28"/>
          <w:szCs w:val="28"/>
        </w:rPr>
        <w:t xml:space="preserve"> с дорогой, а дальше нет. Никому ничего не надо. Говорим, говорим»).</w:t>
      </w:r>
    </w:p>
    <w:p w14:paraId="75531625" w14:textId="77777777" w:rsidR="003937E4" w:rsidRDefault="003937E4" w:rsidP="003937E4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284" w:right="-28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Улучшить дорожно-транспортную инфраструктуру в сельских поселениях района. Провести ремонт дорог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Сандугачевском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Воединском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сельских поселениях, в первую очередь, связывающих их с районным центром.</w:t>
      </w:r>
    </w:p>
    <w:p w14:paraId="0F8591D0" w14:textId="77777777" w:rsidR="003937E4" w:rsidRDefault="003937E4" w:rsidP="003937E4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284" w:right="-28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Восстановить начальную школу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Воединском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сельском поселении,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 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выступить определенным сдерживающим фактором миграционного оттока семей с детьми.</w:t>
      </w:r>
    </w:p>
    <w:p w14:paraId="1237A285" w14:textId="77777777" w:rsidR="003937E4" w:rsidRDefault="003937E4" w:rsidP="003937E4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284" w:right="-28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Выступить с предложением в законодательные органы Республики Башкортостан с целью пересмотра нормативов, регулирующих деятельность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сельской местности: число штатных единиц, километраж обслуживаемой территории.</w:t>
      </w:r>
    </w:p>
    <w:p w14:paraId="7B628681" w14:textId="77777777" w:rsidR="003937E4" w:rsidRDefault="003937E4" w:rsidP="003937E4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284" w:right="-28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оклад работников администраций сельских поселений, сельских домов культуры, сельских библиотек не менее чем на 50%.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B60195" w:rsidRPr="007B1291" w14:paraId="63218977" w14:textId="77777777" w:rsidTr="00E37193">
        <w:tc>
          <w:tcPr>
            <w:tcW w:w="704" w:type="dxa"/>
          </w:tcPr>
          <w:p w14:paraId="29E4CB48" w14:textId="77777777" w:rsidR="00B60195" w:rsidRPr="007B1291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49575048" w14:textId="77777777" w:rsidR="00B60195" w:rsidRPr="007B1291" w:rsidRDefault="00B60195" w:rsidP="00E37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35AFBA97" w14:textId="77777777" w:rsidR="00B60195" w:rsidRPr="007B1291" w:rsidRDefault="00B60195" w:rsidP="00E37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319603EE" w14:textId="77777777" w:rsidR="00B60195" w:rsidRPr="007B1291" w:rsidRDefault="00B60195" w:rsidP="00E37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B60195" w:rsidRPr="007B1291" w14:paraId="2C9696BC" w14:textId="77777777" w:rsidTr="00E37193">
        <w:tc>
          <w:tcPr>
            <w:tcW w:w="704" w:type="dxa"/>
          </w:tcPr>
          <w:p w14:paraId="18A3896D" w14:textId="77777777" w:rsidR="00B60195" w:rsidRPr="007B1291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4DBE35A" w14:textId="28218749" w:rsidR="00B60195" w:rsidRPr="007B1291" w:rsidRDefault="00B60195" w:rsidP="00E37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г. Нефтекамск, г. Уфа, г. Ижевск,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г. Екатеринбург, г. Казань, г. Москва</w:t>
            </w:r>
          </w:p>
        </w:tc>
        <w:tc>
          <w:tcPr>
            <w:tcW w:w="4865" w:type="dxa"/>
          </w:tcPr>
          <w:p w14:paraId="12ADDBD9" w14:textId="77777777" w:rsidR="00B60195" w:rsidRDefault="00B60195" w:rsidP="00E371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с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вязи с реорганизацией головные организации перебрасываются в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г.Нефтекамск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(НГДУ, КХН, соцзащита, налоговая, связь, отделение скорой помощи, пенсионный фонд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и.т.д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D7D9BE" w14:textId="77777777" w:rsidR="00B60195" w:rsidRDefault="00B60195" w:rsidP="00E371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тсутствие средне-специальных и высших учебных заведений в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г.Янаул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9138F" w14:textId="77777777" w:rsidR="00B60195" w:rsidRPr="007B1291" w:rsidRDefault="00B60195" w:rsidP="00E371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более высокая заработная плата в северных регионах, поэтому уезжают.</w:t>
            </w:r>
          </w:p>
        </w:tc>
        <w:tc>
          <w:tcPr>
            <w:tcW w:w="5812" w:type="dxa"/>
          </w:tcPr>
          <w:p w14:paraId="46001E01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азвитие туристического кластера на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р.Буй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и в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забуйской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стороне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8BEA07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обеспечение газом населенных пунктов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о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беспечение жильем, земельным участком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9DC3F7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ц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елевые направления на обучение, при этом конкурс среди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целевиков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внутрирайонный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73C81F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троительство детской поликлиники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D154F5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ривлечение квалифицированных специалистов на сельскохозяйственные предприятия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Янаульский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тепличный комбинат, молочные фермы, элеватор, перерабатывающее 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BB5130C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азвитие северной части г. Янаул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A8773F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азвитие с/х предприятий района и обеспечение переработки с/х продукции (молоко, мясо)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F37518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азификация сельских населенных пунктов (из 103 газифицировано 66 (60,89%)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DFDEF5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рекратить реорганизацию – укрепление республиканских организации тем самым отток трудоспособного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790A30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еализация проекта «Культура малого города в г. Янаул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889B37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БГМУ при конкурсе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целевиков</w:t>
            </w:r>
            <w:proofErr w:type="spellEnd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 xml:space="preserve"> организовать его среди абитуриентов одного района, а не общим конкурсом среди всех </w:t>
            </w:r>
            <w:proofErr w:type="spellStart"/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целевиков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B78DA2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ткрытие промышленного производства (есть ж/д транспорт, трудовые ресурсы/. Месторождения песка, глины)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C154F9" w14:textId="77777777" w:rsidR="00B60195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чреждения здравоохранения, населению из маленьких деревень приходиться ездить в соседнее село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5951F" w14:textId="77777777" w:rsidR="00B60195" w:rsidRPr="007B1291" w:rsidRDefault="00B60195" w:rsidP="00E3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в</w:t>
            </w:r>
            <w:r w:rsidRPr="007B1291">
              <w:rPr>
                <w:rFonts w:ascii="Times New Roman" w:hAnsi="Times New Roman" w:cs="Times New Roman"/>
                <w:sz w:val="24"/>
                <w:szCs w:val="24"/>
              </w:rPr>
              <w:t>осстановить разрушенную промышленность и создание рабочих мест.</w:t>
            </w:r>
          </w:p>
        </w:tc>
      </w:tr>
    </w:tbl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3D3907" w:rsidRPr="00E82FA2" w:rsidRDefault="003D3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3D3907" w:rsidRPr="00E82FA2" w:rsidRDefault="003D3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3D3907" w:rsidRPr="00E126F7" w:rsidRDefault="003D3907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3D3907" w:rsidRDefault="003D3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3D3907" w:rsidRPr="00E126F7" w:rsidRDefault="003D3907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3D3907" w:rsidRDefault="003D3907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520403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3D3907" w:rsidRPr="00E126F7" w:rsidRDefault="003D3907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3D3907" w:rsidRDefault="003D3907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3D3907" w:rsidRPr="00E126F7" w:rsidRDefault="003D3907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3D3907" w:rsidRDefault="003D3907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520404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3D3907" w:rsidRPr="00E126F7" w:rsidRDefault="003D3907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3D3907" w:rsidRDefault="003D3907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3D3907" w:rsidRPr="00E126F7" w:rsidRDefault="003D3907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3D3907" w:rsidRDefault="003D3907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520405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6E53A" w14:textId="77777777" w:rsidR="002378EF" w:rsidRDefault="002378EF" w:rsidP="00E700E2">
      <w:pPr>
        <w:spacing w:after="0" w:line="240" w:lineRule="auto"/>
      </w:pPr>
      <w:r>
        <w:separator/>
      </w:r>
    </w:p>
  </w:endnote>
  <w:endnote w:type="continuationSeparator" w:id="0">
    <w:p w14:paraId="7EBD5E95" w14:textId="77777777" w:rsidR="002378EF" w:rsidRDefault="002378EF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3D3907" w:rsidRDefault="003D3907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844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3D3907" w:rsidRDefault="003D3907">
    <w:pPr>
      <w:pStyle w:val="af"/>
      <w:jc w:val="center"/>
    </w:pPr>
  </w:p>
  <w:p w14:paraId="197226D5" w14:textId="77777777" w:rsidR="003D3907" w:rsidRDefault="003D3907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5530C" w14:textId="77777777" w:rsidR="002378EF" w:rsidRDefault="002378EF" w:rsidP="00E700E2">
      <w:pPr>
        <w:spacing w:after="0" w:line="240" w:lineRule="auto"/>
      </w:pPr>
      <w:r>
        <w:separator/>
      </w:r>
    </w:p>
  </w:footnote>
  <w:footnote w:type="continuationSeparator" w:id="0">
    <w:p w14:paraId="5ADC1CB8" w14:textId="77777777" w:rsidR="002378EF" w:rsidRDefault="002378EF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116E7"/>
    <w:multiLevelType w:val="hybridMultilevel"/>
    <w:tmpl w:val="1A989296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8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7C17DD"/>
    <w:multiLevelType w:val="hybridMultilevel"/>
    <w:tmpl w:val="3ECA405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196E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378EF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29E1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37E4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B4AD1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3844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0195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2ED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E6A59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14B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39B6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186968"/>
        <c:axId val="169187752"/>
      </c:barChart>
      <c:catAx>
        <c:axId val="169186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9187752"/>
        <c:crosses val="autoZero"/>
        <c:auto val="1"/>
        <c:lblAlgn val="ctr"/>
        <c:lblOffset val="100"/>
        <c:noMultiLvlLbl val="0"/>
      </c:catAx>
      <c:valAx>
        <c:axId val="169187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9186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186184"/>
        <c:axId val="169184616"/>
      </c:barChart>
      <c:catAx>
        <c:axId val="1691861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169184616"/>
        <c:crosses val="autoZero"/>
        <c:auto val="1"/>
        <c:lblAlgn val="ctr"/>
        <c:lblOffset val="100"/>
        <c:tickLblSkip val="1"/>
        <c:noMultiLvlLbl val="0"/>
      </c:catAx>
      <c:valAx>
        <c:axId val="16918461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1691861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185008"/>
        <c:axId val="169187360"/>
      </c:lineChart>
      <c:catAx>
        <c:axId val="169185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9187360"/>
        <c:crosses val="autoZero"/>
        <c:auto val="1"/>
        <c:lblAlgn val="ctr"/>
        <c:lblOffset val="100"/>
        <c:tickLblSkip val="1"/>
        <c:noMultiLvlLbl val="0"/>
      </c:catAx>
      <c:valAx>
        <c:axId val="16918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691850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3683752"/>
        <c:axId val="463681792"/>
      </c:barChart>
      <c:catAx>
        <c:axId val="4636837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63681792"/>
        <c:crosses val="autoZero"/>
        <c:auto val="1"/>
        <c:lblAlgn val="ctr"/>
        <c:lblOffset val="200"/>
        <c:noMultiLvlLbl val="0"/>
      </c:catAx>
      <c:valAx>
        <c:axId val="463681792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63683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3681400"/>
        <c:axId val="463683360"/>
      </c:barChart>
      <c:catAx>
        <c:axId val="4636814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63683360"/>
        <c:crosses val="autoZero"/>
        <c:auto val="1"/>
        <c:lblAlgn val="ctr"/>
        <c:lblOffset val="100"/>
        <c:noMultiLvlLbl val="0"/>
      </c:catAx>
      <c:valAx>
        <c:axId val="463683360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463681400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513816"/>
        <c:axId val="317568304"/>
      </c:barChart>
      <c:catAx>
        <c:axId val="235138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568304"/>
        <c:crosses val="autoZero"/>
        <c:auto val="1"/>
        <c:lblAlgn val="ctr"/>
        <c:lblOffset val="100"/>
        <c:noMultiLvlLbl val="0"/>
      </c:catAx>
      <c:valAx>
        <c:axId val="31756830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513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6721560"/>
        <c:axId val="506722736"/>
      </c:barChart>
      <c:catAx>
        <c:axId val="5067215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506722736"/>
        <c:crosses val="autoZero"/>
        <c:auto val="1"/>
        <c:lblAlgn val="ctr"/>
        <c:lblOffset val="100"/>
        <c:noMultiLvlLbl val="0"/>
      </c:catAx>
      <c:valAx>
        <c:axId val="50672273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067215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3880168"/>
        <c:axId val="512099224"/>
      </c:barChart>
      <c:catAx>
        <c:axId val="173880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12099224"/>
        <c:crosses val="autoZero"/>
        <c:auto val="1"/>
        <c:lblAlgn val="ctr"/>
        <c:lblOffset val="100"/>
        <c:noMultiLvlLbl val="0"/>
      </c:catAx>
      <c:valAx>
        <c:axId val="512099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73880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288048"/>
        <c:axId val="303286480"/>
      </c:barChart>
      <c:catAx>
        <c:axId val="3032880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03286480"/>
        <c:crosses val="autoZero"/>
        <c:auto val="1"/>
        <c:lblAlgn val="ctr"/>
        <c:lblOffset val="100"/>
        <c:noMultiLvlLbl val="0"/>
      </c:catAx>
      <c:valAx>
        <c:axId val="30328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2880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20E76-AA7A-45AF-B4CE-AD1EDB08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51</Pages>
  <Words>10912</Words>
  <Characters>62201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86</cp:revision>
  <cp:lastPrinted>2021-12-14T09:12:00Z</cp:lastPrinted>
  <dcterms:created xsi:type="dcterms:W3CDTF">2022-02-11T06:08:00Z</dcterms:created>
  <dcterms:modified xsi:type="dcterms:W3CDTF">2022-02-16T07:40:00Z</dcterms:modified>
</cp:coreProperties>
</file>