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F114E">
      <w:pPr>
        <w:spacing w:line="240" w:lineRule="auto"/>
        <w:jc w:val="center"/>
        <w:rPr>
          <w:rFonts w:hint="default" w:ascii="Arial" w:hAnsi="Arial" w:cs="Arial"/>
          <w:b w:val="0"/>
          <w:bCs/>
          <w:lang w:val="es-ES"/>
        </w:rPr>
      </w:pPr>
      <w:r>
        <w:rPr>
          <w:rFonts w:hint="default" w:ascii="Arial" w:hAnsi="Arial" w:cs="Arial"/>
          <w:b w:val="0"/>
          <w:bCs/>
          <w:lang w:val="es-ES" w:eastAsia="zh-CN"/>
        </w:rPr>
        <w:t>Sistema de Observabilidad End-to-End con AIOps y Resiliencia.</w:t>
      </w:r>
    </w:p>
    <w:p w14:paraId="7B01000B">
      <w:pPr>
        <w:spacing w:line="240" w:lineRule="auto"/>
        <w:jc w:val="center"/>
        <w:rPr>
          <w:rFonts w:hint="default" w:ascii="Arial" w:hAnsi="Arial" w:cs="Arial"/>
          <w:b w:val="0"/>
          <w:bCs/>
          <w:lang w:val="es-ES"/>
        </w:rPr>
      </w:pPr>
    </w:p>
    <w:p w14:paraId="26A0AE49">
      <w:pPr>
        <w:spacing w:line="240" w:lineRule="auto"/>
        <w:jc w:val="center"/>
        <w:rPr>
          <w:rFonts w:hint="default" w:ascii="Arial" w:hAnsi="Arial" w:cs="Arial"/>
          <w:b w:val="0"/>
          <w:bCs/>
          <w:lang w:val="es-ES"/>
        </w:rPr>
      </w:pPr>
      <w:r>
        <w:rPr>
          <w:rFonts w:hint="default" w:ascii="Arial" w:hAnsi="Arial" w:cs="Arial"/>
          <w:b w:val="0"/>
          <w:bCs/>
          <w:lang w:val="es-ES"/>
        </w:rPr>
        <w:br w:type="textWrapping"/>
      </w:r>
      <w:r>
        <w:rPr>
          <w:rFonts w:hint="default" w:ascii="Arial" w:hAnsi="Arial" w:cs="Arial"/>
          <w:b w:val="0"/>
          <w:bCs/>
          <w:lang w:val="es-ES"/>
        </w:rPr>
        <w:t>Actividad</w:t>
      </w:r>
      <w:r>
        <w:rPr>
          <w:rFonts w:hint="default" w:ascii="Arial" w:hAnsi="Arial" w:cs="Arial"/>
          <w:b w:val="0"/>
          <w:bCs/>
          <w:lang w:val="es-CO"/>
        </w:rPr>
        <w:t xml:space="preserve"> </w:t>
      </w:r>
      <w:r>
        <w:rPr>
          <w:rFonts w:hint="default" w:ascii="Arial" w:hAnsi="Arial" w:cs="Arial"/>
          <w:b w:val="0"/>
          <w:bCs/>
          <w:lang w:val="es-ES"/>
        </w:rPr>
        <w:t>Unidad 3</w:t>
      </w:r>
      <w:r>
        <w:rPr>
          <w:rFonts w:hint="default" w:ascii="Arial" w:hAnsi="Arial" w:cs="Arial"/>
          <w:b w:val="0"/>
          <w:bCs/>
          <w:lang w:val="es-ES"/>
        </w:rPr>
        <w:br w:type="textWrapping"/>
      </w:r>
      <w:r>
        <w:rPr>
          <w:rFonts w:hint="default" w:ascii="Arial" w:hAnsi="Arial" w:cs="Arial"/>
          <w:b w:val="0"/>
          <w:bCs/>
          <w:lang w:val="es-ES"/>
        </w:rPr>
        <w:t>Laboratorio Integrador</w:t>
      </w:r>
      <w:r>
        <w:rPr>
          <w:rFonts w:hint="default" w:ascii="Arial" w:hAnsi="Arial" w:cs="Arial"/>
          <w:b w:val="0"/>
          <w:bCs/>
          <w:lang w:val="es-ES"/>
        </w:rPr>
        <w:br w:type="textWrapping"/>
      </w:r>
      <w:r>
        <w:rPr>
          <w:rFonts w:hint="default" w:ascii="Arial" w:hAnsi="Arial" w:cs="Arial"/>
          <w:b w:val="0"/>
          <w:bCs/>
          <w:lang w:val="es-ES"/>
        </w:rPr>
        <w:t>Reporte ejecutivo</w:t>
      </w:r>
    </w:p>
    <w:p w14:paraId="4887427A">
      <w:pPr>
        <w:spacing w:line="240" w:lineRule="auto"/>
        <w:jc w:val="center"/>
        <w:rPr>
          <w:rFonts w:hint="default" w:ascii="Arial" w:hAnsi="Arial" w:cs="Arial"/>
          <w:b w:val="0"/>
          <w:bCs/>
          <w:lang w:val="es-ES"/>
        </w:rPr>
      </w:pPr>
    </w:p>
    <w:p w14:paraId="65556F1F">
      <w:pPr>
        <w:spacing w:line="240" w:lineRule="auto"/>
        <w:jc w:val="center"/>
        <w:rPr>
          <w:rFonts w:hint="default" w:ascii="Arial" w:hAnsi="Arial" w:cs="Arial"/>
          <w:b w:val="0"/>
          <w:bCs/>
          <w:lang w:val="es-ES"/>
        </w:rPr>
      </w:pPr>
    </w:p>
    <w:p w14:paraId="31113812">
      <w:pPr>
        <w:spacing w:line="240" w:lineRule="auto"/>
        <w:jc w:val="center"/>
        <w:rPr>
          <w:rFonts w:hint="default" w:ascii="Arial" w:hAnsi="Arial" w:cs="Arial"/>
          <w:b w:val="0"/>
          <w:lang w:val="es-ES"/>
        </w:rPr>
      </w:pPr>
      <w:r>
        <w:rPr>
          <w:rFonts w:hint="default" w:ascii="Arial" w:hAnsi="Arial" w:cs="Arial"/>
          <w:b w:val="0"/>
          <w:lang w:val="es-ES"/>
        </w:rPr>
        <w:t>Ivan Felipe Vera Triana,</w:t>
      </w:r>
      <w:r>
        <w:rPr>
          <w:rFonts w:hint="default" w:ascii="Arial" w:hAnsi="Arial" w:cs="Arial"/>
          <w:b w:val="0"/>
          <w:lang w:val="es-ES"/>
        </w:rPr>
        <w:br w:type="textWrapping"/>
      </w:r>
      <w:r>
        <w:rPr>
          <w:rFonts w:hint="default" w:ascii="Arial" w:hAnsi="Arial" w:cs="Arial"/>
          <w:b w:val="0"/>
          <w:lang w:val="es-ES"/>
        </w:rPr>
        <w:t>Juan Felipe Gonzalez Ortiz,</w:t>
      </w:r>
      <w:r>
        <w:rPr>
          <w:rFonts w:hint="default" w:ascii="Arial" w:hAnsi="Arial" w:cs="Arial"/>
          <w:b w:val="0"/>
          <w:lang w:val="es-ES"/>
        </w:rPr>
        <w:br w:type="textWrapping"/>
      </w:r>
      <w:r>
        <w:rPr>
          <w:rFonts w:hint="default" w:ascii="Arial" w:hAnsi="Arial" w:cs="Arial"/>
          <w:b w:val="0"/>
        </w:rPr>
        <w:t>Leonardo Pérez Ramírez</w:t>
      </w:r>
      <w:r>
        <w:rPr>
          <w:rFonts w:hint="default" w:ascii="Arial" w:hAnsi="Arial" w:cs="Arial"/>
          <w:b w:val="0"/>
          <w:lang w:val="es-ES"/>
        </w:rPr>
        <w:t xml:space="preserve"> </w:t>
      </w:r>
    </w:p>
    <w:p w14:paraId="58F9B1CB">
      <w:pPr>
        <w:spacing w:line="240" w:lineRule="auto"/>
        <w:jc w:val="center"/>
        <w:rPr>
          <w:rFonts w:hint="default" w:ascii="Arial" w:hAnsi="Arial" w:cs="Arial"/>
          <w:b w:val="0"/>
          <w:lang w:val="es-ES"/>
        </w:rPr>
      </w:pPr>
    </w:p>
    <w:p w14:paraId="05372B48">
      <w:pPr>
        <w:spacing w:line="240" w:lineRule="auto"/>
        <w:jc w:val="center"/>
        <w:rPr>
          <w:rFonts w:hint="default" w:ascii="Arial" w:hAnsi="Arial" w:cs="Arial"/>
          <w:b w:val="0"/>
          <w:lang w:val="es-ES"/>
        </w:rPr>
      </w:pPr>
    </w:p>
    <w:p w14:paraId="336BE846">
      <w:pPr>
        <w:spacing w:line="240" w:lineRule="auto"/>
        <w:jc w:val="center"/>
        <w:rPr>
          <w:rFonts w:hint="default" w:ascii="Arial" w:hAnsi="Arial" w:cs="Arial"/>
          <w:b w:val="0"/>
          <w:lang w:val="es-ES"/>
        </w:rPr>
      </w:pPr>
    </w:p>
    <w:p w14:paraId="2DD0079A">
      <w:pPr>
        <w:spacing w:line="240" w:lineRule="auto"/>
        <w:jc w:val="center"/>
        <w:rPr>
          <w:rFonts w:hint="default" w:ascii="Arial" w:hAnsi="Arial" w:cs="Arial"/>
          <w:b w:val="0"/>
          <w:lang w:val="es-ES"/>
        </w:rPr>
      </w:pPr>
    </w:p>
    <w:p w14:paraId="508D587A">
      <w:pPr>
        <w:spacing w:line="240" w:lineRule="auto"/>
        <w:jc w:val="center"/>
        <w:rPr>
          <w:rFonts w:hint="default" w:ascii="Arial" w:hAnsi="Arial" w:cs="Arial"/>
        </w:rPr>
      </w:pPr>
      <w:r>
        <w:rPr>
          <w:rFonts w:hint="default" w:ascii="Arial" w:hAnsi="Arial" w:cs="Arial"/>
          <w:b w:val="0"/>
        </w:rPr>
        <w:t>Facultad de Ingeniería, Maestría en Arquitectura de Software</w:t>
      </w:r>
    </w:p>
    <w:p w14:paraId="7B278EFB">
      <w:pPr>
        <w:spacing w:line="240" w:lineRule="auto"/>
        <w:jc w:val="center"/>
        <w:rPr>
          <w:rFonts w:hint="default" w:ascii="Arial" w:hAnsi="Arial" w:cs="Arial"/>
          <w:b w:val="0"/>
        </w:rPr>
      </w:pPr>
      <w:r>
        <w:rPr>
          <w:rFonts w:hint="default" w:ascii="Arial" w:hAnsi="Arial" w:cs="Arial"/>
          <w:b w:val="0"/>
        </w:rPr>
        <w:t>Universidad de La Sabana</w:t>
      </w:r>
    </w:p>
    <w:p w14:paraId="21E77149">
      <w:pPr>
        <w:spacing w:line="240" w:lineRule="auto"/>
        <w:jc w:val="center"/>
        <w:rPr>
          <w:rFonts w:hint="default" w:ascii="Arial" w:hAnsi="Arial" w:cs="Arial"/>
          <w:b w:val="0"/>
        </w:rPr>
      </w:pPr>
    </w:p>
    <w:p w14:paraId="358071BA">
      <w:pPr>
        <w:spacing w:line="240" w:lineRule="auto"/>
        <w:jc w:val="center"/>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2381250" cy="85725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381250" cy="857250"/>
                    </a:xfrm>
                    <a:prstGeom prst="rect">
                      <a:avLst/>
                    </a:prstGeom>
                    <a:noFill/>
                    <a:ln w="9525">
                      <a:noFill/>
                    </a:ln>
                  </pic:spPr>
                </pic:pic>
              </a:graphicData>
            </a:graphic>
          </wp:inline>
        </w:drawing>
      </w:r>
    </w:p>
    <w:p w14:paraId="523519FD">
      <w:pPr>
        <w:spacing w:line="240" w:lineRule="auto"/>
        <w:jc w:val="center"/>
        <w:rPr>
          <w:rFonts w:hint="default" w:ascii="Arial" w:hAnsi="Arial" w:eastAsia="SimSun" w:cs="Arial"/>
          <w:sz w:val="24"/>
          <w:szCs w:val="24"/>
        </w:rPr>
      </w:pPr>
    </w:p>
    <w:p w14:paraId="49B99615">
      <w:pPr>
        <w:spacing w:line="240" w:lineRule="auto"/>
        <w:jc w:val="center"/>
        <w:rPr>
          <w:rFonts w:hint="default" w:ascii="Arial" w:hAnsi="Arial" w:eastAsia="SimSun" w:cs="Arial"/>
          <w:sz w:val="24"/>
          <w:szCs w:val="24"/>
        </w:rPr>
      </w:pPr>
    </w:p>
    <w:p w14:paraId="3B8A0D83">
      <w:pPr>
        <w:spacing w:line="240" w:lineRule="auto"/>
        <w:jc w:val="center"/>
        <w:rPr>
          <w:rFonts w:hint="default" w:ascii="Arial" w:hAnsi="Arial" w:cs="Arial"/>
          <w:lang w:val="es-ES"/>
        </w:rPr>
      </w:pPr>
      <w:r>
        <w:rPr>
          <w:rFonts w:hint="default" w:ascii="Arial" w:hAnsi="Arial" w:cs="Arial"/>
          <w:b w:val="0"/>
        </w:rPr>
        <w:t xml:space="preserve">Curso: </w:t>
      </w:r>
      <w:r>
        <w:rPr>
          <w:rFonts w:hint="default" w:ascii="Arial" w:hAnsi="Arial" w:cs="Arial"/>
          <w:b w:val="0"/>
          <w:lang w:val="es-ES"/>
        </w:rPr>
        <w:t>Observabilidad en Ambientes Productivos</w:t>
      </w:r>
    </w:p>
    <w:p w14:paraId="05F992E4">
      <w:pPr>
        <w:spacing w:line="240" w:lineRule="auto"/>
        <w:jc w:val="center"/>
        <w:rPr>
          <w:rFonts w:hint="default" w:ascii="Arial" w:hAnsi="Arial" w:cs="Arial"/>
          <w:lang w:val="es-ES"/>
        </w:rPr>
      </w:pPr>
      <w:r>
        <w:rPr>
          <w:rFonts w:hint="default" w:ascii="Arial" w:hAnsi="Arial" w:cs="Arial"/>
          <w:b w:val="0"/>
        </w:rPr>
        <w:t xml:space="preserve">Docente: </w:t>
      </w:r>
      <w:r>
        <w:rPr>
          <w:rFonts w:hint="default" w:ascii="Arial" w:hAnsi="Arial" w:cs="Arial"/>
          <w:b w:val="0"/>
          <w:lang w:val="es-ES"/>
        </w:rPr>
        <w:t>Ing. María Fernanda Ochoa</w:t>
      </w:r>
    </w:p>
    <w:p w14:paraId="2D093983">
      <w:pPr>
        <w:spacing w:line="240" w:lineRule="auto"/>
        <w:jc w:val="center"/>
        <w:rPr>
          <w:rFonts w:hint="default" w:ascii="Arial" w:hAnsi="Arial" w:cs="Arial"/>
        </w:rPr>
      </w:pPr>
      <w:r>
        <w:rPr>
          <w:rFonts w:hint="default" w:ascii="Arial" w:hAnsi="Arial" w:cs="Arial"/>
          <w:b w:val="0"/>
          <w:lang w:val="es-ES"/>
        </w:rPr>
        <w:t>31</w:t>
      </w:r>
      <w:r>
        <w:rPr>
          <w:rFonts w:hint="default" w:ascii="Arial" w:hAnsi="Arial" w:cs="Arial"/>
          <w:b w:val="0"/>
        </w:rPr>
        <w:t xml:space="preserve"> de </w:t>
      </w:r>
      <w:r>
        <w:rPr>
          <w:rFonts w:hint="default" w:ascii="Arial" w:hAnsi="Arial" w:cs="Arial"/>
          <w:b w:val="0"/>
          <w:lang w:val="es-ES"/>
        </w:rPr>
        <w:t>agosto</w:t>
      </w:r>
      <w:r>
        <w:rPr>
          <w:rFonts w:hint="default" w:ascii="Arial" w:hAnsi="Arial" w:cs="Arial"/>
          <w:b w:val="0"/>
          <w:lang w:val="es-CO"/>
        </w:rPr>
        <w:t xml:space="preserve"> </w:t>
      </w:r>
      <w:r>
        <w:rPr>
          <w:rFonts w:hint="default" w:ascii="Arial" w:hAnsi="Arial" w:cs="Arial"/>
          <w:b w:val="0"/>
        </w:rPr>
        <w:t>de 2026</w:t>
      </w:r>
    </w:p>
    <w:p w14:paraId="161102C1">
      <w:pPr>
        <w:spacing w:line="240" w:lineRule="auto"/>
        <w:rPr>
          <w:rFonts w:hint="default" w:ascii="Arial" w:hAnsi="Arial" w:cs="Arial"/>
        </w:rPr>
      </w:pPr>
      <w:r>
        <w:rPr>
          <w:rFonts w:hint="default" w:ascii="Arial" w:hAnsi="Arial" w:cs="Arial"/>
        </w:rPr>
        <w:br w:type="page"/>
      </w:r>
      <w:bookmarkStart w:id="8" w:name="_GoBack"/>
      <w:bookmarkEnd w:id="8"/>
    </w:p>
    <w:p w14:paraId="3D3FE27F">
      <w:pPr>
        <w:pStyle w:val="40"/>
        <w:tabs>
          <w:tab w:val="right" w:leader="dot" w:pos="8640"/>
        </w:tabs>
      </w:pPr>
      <w:r>
        <w:rPr>
          <w:rFonts w:hint="default" w:ascii="Arial" w:hAnsi="Arial" w:cs="Arial"/>
          <w:sz w:val="22"/>
          <w:szCs w:val="22"/>
        </w:rPr>
        <w:fldChar w:fldCharType="begin"/>
      </w:r>
      <w:r>
        <w:rPr>
          <w:rFonts w:hint="default" w:ascii="Arial" w:hAnsi="Arial" w:cs="Arial"/>
          <w:sz w:val="22"/>
          <w:szCs w:val="22"/>
        </w:rPr>
        <w:instrText xml:space="preserve">TOC \o "1-3" \h \u </w:instrText>
      </w:r>
      <w:r>
        <w:rPr>
          <w:rFonts w:hint="default" w:ascii="Arial" w:hAnsi="Arial" w:cs="Arial"/>
          <w:sz w:val="22"/>
          <w:szCs w:val="22"/>
        </w:rPr>
        <w:fldChar w:fldCharType="separate"/>
      </w:r>
      <w:r>
        <w:rPr>
          <w:rFonts w:hint="default" w:ascii="Arial" w:hAnsi="Arial" w:cs="Arial"/>
          <w:szCs w:val="22"/>
        </w:rPr>
        <w:fldChar w:fldCharType="begin"/>
      </w:r>
      <w:r>
        <w:rPr>
          <w:rFonts w:hint="default" w:ascii="Arial" w:hAnsi="Arial" w:cs="Arial"/>
          <w:szCs w:val="22"/>
        </w:rPr>
        <w:instrText xml:space="preserve"> HYPERLINK \l _Toc20767 </w:instrText>
      </w:r>
      <w:r>
        <w:rPr>
          <w:rFonts w:hint="default" w:ascii="Arial" w:hAnsi="Arial" w:cs="Arial"/>
          <w:szCs w:val="22"/>
        </w:rPr>
        <w:fldChar w:fldCharType="separate"/>
      </w:r>
      <w:r>
        <w:rPr>
          <w:rFonts w:hint="default" w:ascii="Arial" w:hAnsi="Arial" w:cs="Arial"/>
          <w:bCs w:val="0"/>
          <w:szCs w:val="22"/>
          <w:lang w:val="es-ES" w:eastAsia="zh-CN"/>
        </w:rPr>
        <w:t xml:space="preserve">1. </w:t>
      </w:r>
      <w:r>
        <w:rPr>
          <w:rFonts w:hint="default" w:ascii="Arial" w:hAnsi="Arial" w:cs="Arial"/>
          <w:szCs w:val="24"/>
          <w:lang w:val="es-ES" w:eastAsia="zh-CN"/>
        </w:rPr>
        <w:t>Resumen ejecutivo.</w:t>
      </w:r>
      <w:r>
        <w:tab/>
      </w:r>
      <w:r>
        <w:fldChar w:fldCharType="begin"/>
      </w:r>
      <w:r>
        <w:instrText xml:space="preserve"> PAGEREF _Toc20767 \h </w:instrText>
      </w:r>
      <w:r>
        <w:fldChar w:fldCharType="separate"/>
      </w:r>
      <w:r>
        <w:t>3</w:t>
      </w:r>
      <w:r>
        <w:fldChar w:fldCharType="end"/>
      </w:r>
      <w:r>
        <w:rPr>
          <w:rFonts w:hint="default" w:ascii="Arial" w:hAnsi="Arial" w:cs="Arial"/>
          <w:szCs w:val="22"/>
        </w:rPr>
        <w:fldChar w:fldCharType="end"/>
      </w:r>
    </w:p>
    <w:p w14:paraId="6CD011C8">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_Toc5705 </w:instrText>
      </w:r>
      <w:r>
        <w:rPr>
          <w:rFonts w:hint="default" w:ascii="Arial" w:hAnsi="Arial" w:cs="Arial"/>
          <w:szCs w:val="22"/>
        </w:rPr>
        <w:fldChar w:fldCharType="separate"/>
      </w:r>
      <w:r>
        <w:rPr>
          <w:rFonts w:hint="default" w:ascii="Arial" w:hAnsi="Arial" w:cs="Arial"/>
          <w:bCs w:val="0"/>
          <w:szCs w:val="22"/>
          <w:lang w:val="es-ES" w:eastAsia="zh-CN"/>
        </w:rPr>
        <w:t xml:space="preserve">2. </w:t>
      </w:r>
      <w:r>
        <w:rPr>
          <w:rFonts w:hint="default" w:ascii="Arial" w:hAnsi="Arial" w:cs="Arial"/>
          <w:szCs w:val="24"/>
          <w:lang w:val="es-ES" w:eastAsia="zh-CN"/>
        </w:rPr>
        <w:t>Arquitectura completa de la solución.</w:t>
      </w:r>
      <w:r>
        <w:tab/>
      </w:r>
      <w:r>
        <w:fldChar w:fldCharType="begin"/>
      </w:r>
      <w:r>
        <w:instrText xml:space="preserve"> PAGEREF _Toc5705 \h </w:instrText>
      </w:r>
      <w:r>
        <w:fldChar w:fldCharType="separate"/>
      </w:r>
      <w:r>
        <w:t>3</w:t>
      </w:r>
      <w:r>
        <w:fldChar w:fldCharType="end"/>
      </w:r>
      <w:r>
        <w:rPr>
          <w:rFonts w:hint="default" w:ascii="Arial" w:hAnsi="Arial" w:cs="Arial"/>
          <w:szCs w:val="22"/>
        </w:rPr>
        <w:fldChar w:fldCharType="end"/>
      </w:r>
    </w:p>
    <w:p w14:paraId="5C8A9793">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_Toc22918 </w:instrText>
      </w:r>
      <w:r>
        <w:rPr>
          <w:rFonts w:hint="default" w:ascii="Arial" w:hAnsi="Arial" w:cs="Arial"/>
          <w:szCs w:val="22"/>
        </w:rPr>
        <w:fldChar w:fldCharType="separate"/>
      </w:r>
      <w:r>
        <w:rPr>
          <w:rFonts w:hint="default" w:ascii="Arial" w:hAnsi="Arial" w:cs="Arial"/>
          <w:bCs w:val="0"/>
          <w:szCs w:val="22"/>
          <w:lang w:val="es-ES" w:eastAsia="zh-CN"/>
        </w:rPr>
        <w:t xml:space="preserve">3. </w:t>
      </w:r>
      <w:r>
        <w:rPr>
          <w:rFonts w:hint="default" w:ascii="Arial" w:hAnsi="Arial" w:cs="Arial"/>
          <w:szCs w:val="24"/>
          <w:lang w:val="es-ES" w:eastAsia="zh-CN"/>
        </w:rPr>
        <w:t>Módulo A — Arquitectura observable completa.</w:t>
      </w:r>
      <w:r>
        <w:tab/>
      </w:r>
      <w:r>
        <w:fldChar w:fldCharType="begin"/>
      </w:r>
      <w:r>
        <w:instrText xml:space="preserve"> PAGEREF _Toc22918 \h </w:instrText>
      </w:r>
      <w:r>
        <w:fldChar w:fldCharType="separate"/>
      </w:r>
      <w:r>
        <w:t>4</w:t>
      </w:r>
      <w:r>
        <w:fldChar w:fldCharType="end"/>
      </w:r>
      <w:r>
        <w:rPr>
          <w:rFonts w:hint="default" w:ascii="Arial" w:hAnsi="Arial" w:cs="Arial"/>
          <w:szCs w:val="22"/>
        </w:rPr>
        <w:fldChar w:fldCharType="end"/>
      </w:r>
    </w:p>
    <w:p w14:paraId="221FC752">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_Toc6285 </w:instrText>
      </w:r>
      <w:r>
        <w:rPr>
          <w:rFonts w:hint="default" w:ascii="Arial" w:hAnsi="Arial" w:cs="Arial"/>
          <w:szCs w:val="22"/>
        </w:rPr>
        <w:fldChar w:fldCharType="separate"/>
      </w:r>
      <w:r>
        <w:rPr>
          <w:rFonts w:hint="default" w:ascii="Arial" w:hAnsi="Arial" w:cs="Arial"/>
          <w:bCs w:val="0"/>
          <w:szCs w:val="22"/>
          <w:lang w:val="es-ES" w:eastAsia="zh-CN"/>
        </w:rPr>
        <w:t xml:space="preserve">4. </w:t>
      </w:r>
      <w:r>
        <w:rPr>
          <w:rFonts w:hint="default" w:ascii="Arial" w:hAnsi="Arial" w:cs="Arial"/>
          <w:szCs w:val="24"/>
          <w:lang w:val="es-ES" w:eastAsia="zh-CN"/>
        </w:rPr>
        <w:t>Módulo B — AIOps: detección de anomalías y correlación.</w:t>
      </w:r>
      <w:r>
        <w:tab/>
      </w:r>
      <w:r>
        <w:fldChar w:fldCharType="begin"/>
      </w:r>
      <w:r>
        <w:instrText xml:space="preserve"> PAGEREF _Toc6285 \h </w:instrText>
      </w:r>
      <w:r>
        <w:fldChar w:fldCharType="separate"/>
      </w:r>
      <w:r>
        <w:t>5</w:t>
      </w:r>
      <w:r>
        <w:fldChar w:fldCharType="end"/>
      </w:r>
      <w:r>
        <w:rPr>
          <w:rFonts w:hint="default" w:ascii="Arial" w:hAnsi="Arial" w:cs="Arial"/>
          <w:szCs w:val="22"/>
        </w:rPr>
        <w:fldChar w:fldCharType="end"/>
      </w:r>
    </w:p>
    <w:p w14:paraId="7C63ECF4">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_Toc15985 </w:instrText>
      </w:r>
      <w:r>
        <w:rPr>
          <w:rFonts w:hint="default" w:ascii="Arial" w:hAnsi="Arial" w:cs="Arial"/>
          <w:szCs w:val="22"/>
        </w:rPr>
        <w:fldChar w:fldCharType="separate"/>
      </w:r>
      <w:r>
        <w:rPr>
          <w:rFonts w:hint="default" w:ascii="Arial" w:hAnsi="Arial" w:cs="Arial"/>
          <w:bCs w:val="0"/>
          <w:szCs w:val="22"/>
          <w:lang w:val="es-ES" w:eastAsia="zh-CN"/>
        </w:rPr>
        <w:t xml:space="preserve">5. </w:t>
      </w:r>
      <w:r>
        <w:rPr>
          <w:rFonts w:hint="default" w:ascii="Arial" w:hAnsi="Arial" w:cs="Arial"/>
          <w:szCs w:val="24"/>
          <w:lang w:val="es-ES" w:eastAsia="zh-CN"/>
        </w:rPr>
        <w:t>Módulo C — Network &amp; Security Observability.</w:t>
      </w:r>
      <w:r>
        <w:tab/>
      </w:r>
      <w:r>
        <w:fldChar w:fldCharType="begin"/>
      </w:r>
      <w:r>
        <w:instrText xml:space="preserve"> PAGEREF _Toc15985 \h </w:instrText>
      </w:r>
      <w:r>
        <w:fldChar w:fldCharType="separate"/>
      </w:r>
      <w:r>
        <w:t>6</w:t>
      </w:r>
      <w:r>
        <w:fldChar w:fldCharType="end"/>
      </w:r>
      <w:r>
        <w:rPr>
          <w:rFonts w:hint="default" w:ascii="Arial" w:hAnsi="Arial" w:cs="Arial"/>
          <w:szCs w:val="22"/>
        </w:rPr>
        <w:fldChar w:fldCharType="end"/>
      </w:r>
    </w:p>
    <w:p w14:paraId="24FBD41E">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_Toc27725 </w:instrText>
      </w:r>
      <w:r>
        <w:rPr>
          <w:rFonts w:hint="default" w:ascii="Arial" w:hAnsi="Arial" w:cs="Arial"/>
          <w:szCs w:val="22"/>
        </w:rPr>
        <w:fldChar w:fldCharType="separate"/>
      </w:r>
      <w:r>
        <w:rPr>
          <w:rFonts w:hint="default" w:ascii="Arial" w:hAnsi="Arial" w:cs="Arial"/>
          <w:bCs w:val="0"/>
          <w:szCs w:val="22"/>
          <w:lang w:val="es-ES" w:eastAsia="zh-CN"/>
        </w:rPr>
        <w:t xml:space="preserve">6. </w:t>
      </w:r>
      <w:r>
        <w:rPr>
          <w:rFonts w:hint="default" w:ascii="Arial" w:hAnsi="Arial" w:cs="Arial"/>
          <w:szCs w:val="24"/>
          <w:lang w:val="es-ES" w:eastAsia="zh-CN"/>
        </w:rPr>
        <w:t>Módulo D — Chaos Engineering controlado.</w:t>
      </w:r>
      <w:r>
        <w:tab/>
      </w:r>
      <w:r>
        <w:fldChar w:fldCharType="begin"/>
      </w:r>
      <w:r>
        <w:instrText xml:space="preserve"> PAGEREF _Toc27725 \h </w:instrText>
      </w:r>
      <w:r>
        <w:fldChar w:fldCharType="separate"/>
      </w:r>
      <w:r>
        <w:t>7</w:t>
      </w:r>
      <w:r>
        <w:fldChar w:fldCharType="end"/>
      </w:r>
      <w:r>
        <w:rPr>
          <w:rFonts w:hint="default" w:ascii="Arial" w:hAnsi="Arial" w:cs="Arial"/>
          <w:szCs w:val="22"/>
        </w:rPr>
        <w:fldChar w:fldCharType="end"/>
      </w:r>
    </w:p>
    <w:p w14:paraId="62262F33">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_Toc27339 </w:instrText>
      </w:r>
      <w:r>
        <w:rPr>
          <w:rFonts w:hint="default" w:ascii="Arial" w:hAnsi="Arial" w:cs="Arial"/>
          <w:szCs w:val="22"/>
        </w:rPr>
        <w:fldChar w:fldCharType="separate"/>
      </w:r>
      <w:r>
        <w:rPr>
          <w:rFonts w:hint="default" w:ascii="Arial" w:hAnsi="Arial" w:cs="Arial"/>
          <w:bCs w:val="0"/>
          <w:szCs w:val="22"/>
          <w:lang w:val="es-ES" w:eastAsia="zh-CN"/>
        </w:rPr>
        <w:t xml:space="preserve">7. </w:t>
      </w:r>
      <w:r>
        <w:rPr>
          <w:rFonts w:hint="default" w:ascii="Arial" w:hAnsi="Arial" w:cs="Arial"/>
          <w:szCs w:val="24"/>
          <w:lang w:val="es-ES" w:eastAsia="zh-CN"/>
        </w:rPr>
        <w:t>Módulo D — Reporte de madurez de observabilidad.</w:t>
      </w:r>
      <w:r>
        <w:tab/>
      </w:r>
      <w:r>
        <w:fldChar w:fldCharType="begin"/>
      </w:r>
      <w:r>
        <w:instrText xml:space="preserve"> PAGEREF _Toc27339 \h </w:instrText>
      </w:r>
      <w:r>
        <w:fldChar w:fldCharType="separate"/>
      </w:r>
      <w:r>
        <w:t>8</w:t>
      </w:r>
      <w:r>
        <w:fldChar w:fldCharType="end"/>
      </w:r>
      <w:r>
        <w:rPr>
          <w:rFonts w:hint="default" w:ascii="Arial" w:hAnsi="Arial" w:cs="Arial"/>
          <w:szCs w:val="22"/>
        </w:rPr>
        <w:fldChar w:fldCharType="end"/>
      </w:r>
    </w:p>
    <w:p w14:paraId="174C3799">
      <w:pPr>
        <w:pStyle w:val="40"/>
        <w:tabs>
          <w:tab w:val="right" w:leader="dot" w:pos="8640"/>
        </w:tabs>
      </w:pPr>
      <w:r>
        <w:rPr>
          <w:rFonts w:hint="default" w:ascii="Arial" w:hAnsi="Arial" w:cs="Arial"/>
          <w:szCs w:val="22"/>
        </w:rPr>
        <w:fldChar w:fldCharType="begin"/>
      </w:r>
      <w:r>
        <w:rPr>
          <w:rFonts w:hint="default" w:ascii="Arial" w:hAnsi="Arial" w:cs="Arial"/>
          <w:szCs w:val="22"/>
        </w:rPr>
        <w:instrText xml:space="preserve"> HYPERLINK \l _Toc25354 </w:instrText>
      </w:r>
      <w:r>
        <w:rPr>
          <w:rFonts w:hint="default" w:ascii="Arial" w:hAnsi="Arial" w:cs="Arial"/>
          <w:szCs w:val="22"/>
        </w:rPr>
        <w:fldChar w:fldCharType="separate"/>
      </w:r>
      <w:r>
        <w:rPr>
          <w:rFonts w:hint="default" w:ascii="Arial" w:hAnsi="Arial" w:cs="Arial"/>
          <w:bCs w:val="0"/>
          <w:szCs w:val="22"/>
          <w:lang w:val="es-ES" w:eastAsia="zh-CN"/>
        </w:rPr>
        <w:t xml:space="preserve">8. </w:t>
      </w:r>
      <w:r>
        <w:rPr>
          <w:rFonts w:hint="default" w:ascii="Arial" w:hAnsi="Arial" w:cs="Arial"/>
          <w:szCs w:val="24"/>
          <w:lang w:val="es-ES" w:eastAsia="zh-CN"/>
        </w:rPr>
        <w:t>Conclusiones.</w:t>
      </w:r>
      <w:r>
        <w:tab/>
      </w:r>
      <w:r>
        <w:fldChar w:fldCharType="begin"/>
      </w:r>
      <w:r>
        <w:instrText xml:space="preserve"> PAGEREF _Toc25354 \h </w:instrText>
      </w:r>
      <w:r>
        <w:fldChar w:fldCharType="separate"/>
      </w:r>
      <w:r>
        <w:t>9</w:t>
      </w:r>
      <w:r>
        <w:fldChar w:fldCharType="end"/>
      </w:r>
      <w:r>
        <w:rPr>
          <w:rFonts w:hint="default" w:ascii="Arial" w:hAnsi="Arial" w:cs="Arial"/>
          <w:szCs w:val="22"/>
        </w:rPr>
        <w:fldChar w:fldCharType="end"/>
      </w:r>
    </w:p>
    <w:p w14:paraId="351DEC7A">
      <w:pPr>
        <w:spacing w:line="240" w:lineRule="auto"/>
        <w:outlineLvl w:val="1"/>
        <w:rPr>
          <w:rFonts w:hint="default" w:ascii="Arial" w:hAnsi="Arial" w:cs="Arial"/>
          <w:sz w:val="22"/>
          <w:szCs w:val="22"/>
        </w:rPr>
      </w:pPr>
      <w:r>
        <w:rPr>
          <w:rFonts w:hint="default" w:ascii="Arial" w:hAnsi="Arial" w:cs="Arial"/>
          <w:szCs w:val="22"/>
        </w:rPr>
        <w:fldChar w:fldCharType="end"/>
      </w:r>
    </w:p>
    <w:p w14:paraId="1C007D7B">
      <w:pPr>
        <w:spacing w:line="240" w:lineRule="auto"/>
        <w:rPr>
          <w:rFonts w:hint="default" w:ascii="Arial" w:hAnsi="Arial" w:cs="Arial"/>
          <w:sz w:val="22"/>
          <w:szCs w:val="22"/>
        </w:rPr>
      </w:pPr>
    </w:p>
    <w:p w14:paraId="69AD9847">
      <w:pPr>
        <w:spacing w:line="240" w:lineRule="auto"/>
        <w:rPr>
          <w:rFonts w:hint="default" w:ascii="Arial" w:hAnsi="Arial" w:cs="Arial"/>
          <w:sz w:val="22"/>
          <w:szCs w:val="22"/>
        </w:rPr>
      </w:pPr>
    </w:p>
    <w:p w14:paraId="3AEA80BD">
      <w:pPr>
        <w:spacing w:line="240" w:lineRule="auto"/>
        <w:rPr>
          <w:rFonts w:hint="default" w:ascii="Arial" w:hAnsi="Arial" w:cs="Arial"/>
          <w:sz w:val="22"/>
          <w:szCs w:val="22"/>
        </w:rPr>
      </w:pPr>
    </w:p>
    <w:p w14:paraId="77C00A85">
      <w:pPr>
        <w:spacing w:line="240" w:lineRule="auto"/>
        <w:rPr>
          <w:rFonts w:hint="default" w:ascii="Arial" w:hAnsi="Arial" w:cs="Arial"/>
          <w:sz w:val="22"/>
          <w:szCs w:val="22"/>
        </w:rPr>
      </w:pPr>
    </w:p>
    <w:p w14:paraId="386E54D1">
      <w:pPr>
        <w:spacing w:line="240" w:lineRule="auto"/>
        <w:rPr>
          <w:rFonts w:hint="default" w:ascii="Arial" w:hAnsi="Arial" w:cs="Arial"/>
          <w:sz w:val="22"/>
          <w:szCs w:val="22"/>
        </w:rPr>
      </w:pPr>
    </w:p>
    <w:p w14:paraId="2AAFB7A6">
      <w:pPr>
        <w:spacing w:line="240" w:lineRule="auto"/>
        <w:rPr>
          <w:rFonts w:hint="default" w:ascii="Arial" w:hAnsi="Arial" w:cs="Arial"/>
          <w:sz w:val="22"/>
          <w:szCs w:val="22"/>
        </w:rPr>
      </w:pPr>
    </w:p>
    <w:p w14:paraId="5C243F24">
      <w:pPr>
        <w:spacing w:line="240" w:lineRule="auto"/>
        <w:rPr>
          <w:rFonts w:hint="default" w:ascii="Arial" w:hAnsi="Arial" w:cs="Arial"/>
          <w:sz w:val="22"/>
          <w:szCs w:val="22"/>
        </w:rPr>
      </w:pPr>
    </w:p>
    <w:p w14:paraId="14F11CEC">
      <w:pPr>
        <w:spacing w:line="240" w:lineRule="auto"/>
        <w:rPr>
          <w:rFonts w:hint="default" w:ascii="Arial" w:hAnsi="Arial" w:cs="Arial"/>
          <w:sz w:val="22"/>
          <w:szCs w:val="22"/>
        </w:rPr>
      </w:pPr>
    </w:p>
    <w:p w14:paraId="667C331E">
      <w:pPr>
        <w:spacing w:line="240" w:lineRule="auto"/>
        <w:rPr>
          <w:rFonts w:hint="default" w:ascii="Arial" w:hAnsi="Arial" w:cs="Arial"/>
          <w:sz w:val="22"/>
          <w:szCs w:val="22"/>
        </w:rPr>
      </w:pPr>
    </w:p>
    <w:p w14:paraId="46C1773D">
      <w:pPr>
        <w:spacing w:line="240" w:lineRule="auto"/>
        <w:rPr>
          <w:rFonts w:hint="default" w:ascii="Arial" w:hAnsi="Arial" w:cs="Arial"/>
          <w:sz w:val="22"/>
          <w:szCs w:val="22"/>
        </w:rPr>
      </w:pPr>
    </w:p>
    <w:p w14:paraId="68B73729">
      <w:pPr>
        <w:spacing w:line="240" w:lineRule="auto"/>
        <w:rPr>
          <w:rFonts w:hint="default" w:ascii="Arial" w:hAnsi="Arial" w:cs="Arial"/>
          <w:sz w:val="22"/>
          <w:szCs w:val="22"/>
        </w:rPr>
      </w:pPr>
    </w:p>
    <w:p w14:paraId="081AE2A1">
      <w:pPr>
        <w:spacing w:line="240" w:lineRule="auto"/>
        <w:rPr>
          <w:rFonts w:hint="default" w:ascii="Arial" w:hAnsi="Arial" w:cs="Arial"/>
          <w:sz w:val="22"/>
          <w:szCs w:val="22"/>
        </w:rPr>
      </w:pPr>
    </w:p>
    <w:p w14:paraId="384433DE">
      <w:pPr>
        <w:spacing w:line="240" w:lineRule="auto"/>
        <w:rPr>
          <w:rFonts w:hint="default" w:ascii="Arial" w:hAnsi="Arial" w:cs="Arial"/>
          <w:sz w:val="22"/>
          <w:szCs w:val="22"/>
        </w:rPr>
      </w:pPr>
    </w:p>
    <w:p w14:paraId="658132F9">
      <w:pPr>
        <w:spacing w:line="240" w:lineRule="auto"/>
        <w:rPr>
          <w:rFonts w:hint="default" w:ascii="Arial" w:hAnsi="Arial" w:cs="Arial"/>
          <w:sz w:val="22"/>
          <w:szCs w:val="22"/>
        </w:rPr>
      </w:pPr>
    </w:p>
    <w:p w14:paraId="4A43F0DC">
      <w:pPr>
        <w:spacing w:line="240" w:lineRule="auto"/>
        <w:rPr>
          <w:rFonts w:hint="default" w:ascii="Arial" w:hAnsi="Arial" w:cs="Arial"/>
          <w:sz w:val="22"/>
          <w:szCs w:val="22"/>
        </w:rPr>
      </w:pPr>
    </w:p>
    <w:p w14:paraId="6CE8FFF8">
      <w:pPr>
        <w:spacing w:line="240" w:lineRule="auto"/>
        <w:rPr>
          <w:rFonts w:hint="default" w:ascii="Arial" w:hAnsi="Arial" w:cs="Arial"/>
          <w:sz w:val="22"/>
          <w:szCs w:val="22"/>
        </w:rPr>
      </w:pPr>
    </w:p>
    <w:p w14:paraId="3A6B72F9">
      <w:pPr>
        <w:spacing w:line="240" w:lineRule="auto"/>
        <w:rPr>
          <w:rFonts w:hint="default" w:ascii="Arial" w:hAnsi="Arial" w:cs="Arial"/>
          <w:sz w:val="22"/>
          <w:szCs w:val="22"/>
        </w:rPr>
      </w:pPr>
    </w:p>
    <w:p w14:paraId="4D827135">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0" w:name="_Toc20767"/>
      <w:r>
        <w:rPr>
          <w:rFonts w:hint="default" w:ascii="Arial" w:hAnsi="Arial" w:cs="Arial"/>
          <w:color w:val="000000" w:themeColor="text1"/>
          <w:sz w:val="24"/>
          <w:szCs w:val="24"/>
          <w:lang w:val="es-ES" w:eastAsia="zh-CN"/>
          <w14:textFill>
            <w14:solidFill>
              <w14:schemeClr w14:val="tx1"/>
            </w14:solidFill>
          </w14:textFill>
        </w:rPr>
        <w:t>Resumen ejecutivo.</w:t>
      </w:r>
      <w:bookmarkEnd w:id="0"/>
    </w:p>
    <w:p w14:paraId="5A227873">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Este reporte documenta la extensión de un sistema de observabilidad de dos microservicios (laboratorio 2.2) hacia una arquitectura de nivel producción con tres microservicios, AIOps (detección de anomalías con correlación de trazas), observabilidad de red y seguridad, y dos experimentos de chaos engineering validados con MTTD real. Todo el código de instrumentación, la infraestructura como código (Terraform para GCP y AWS) y los scripts de validación fueron implementados; la evidencia cuantitativa presentada en las secciones 4 a 7 proviene de una ejecución real del stack completo en Docker (30 de agosto de 2026), no de datos ilustrativos.</w:t>
      </w:r>
    </w:p>
    <w:p w14:paraId="7D0080D8">
      <w:pPr>
        <w:jc w:val="both"/>
        <w:rPr>
          <w:rFonts w:hint="default" w:ascii="Arial" w:hAnsi="Arial" w:cs="Arial"/>
          <w:sz w:val="22"/>
          <w:szCs w:val="21"/>
          <w:lang w:val="es-ES" w:eastAsia="zh-CN"/>
        </w:rPr>
      </w:pPr>
      <w:r>
        <w:rPr>
          <w:rFonts w:hint="default" w:ascii="Arial" w:hAnsi="Arial" w:cs="Arial"/>
          <w:sz w:val="22"/>
          <w:szCs w:val="21"/>
          <w:lang w:val="es-ES" w:eastAsia="zh-CN"/>
        </w:rPr>
        <w:t>Alcance real vs. documentado: todo lo que requiere una cuenta de nube activa (Cloud SQL, RDS, service mesh gestionado, Cloud Monitoring Anomaly Detection, DevOps Guru, VPC Flow Logs, Security Command Center, Security Hub) quedó implementado como IaC completo en terraform/, gated por variables booleanas (enable_data_service_databases, enable_network_security, enable_aiops, todas en false por defecto), sin aplicar contra un proyecto/cuenta real. La evidencia funcional de cada módulo se generó 100% en local con Docker, replicando los mismos algoritmos y convenciones que se usarían en la nube real.</w:t>
      </w:r>
    </w:p>
    <w:p w14:paraId="40609CA7">
      <w:pPr>
        <w:jc w:val="both"/>
        <w:rPr>
          <w:rFonts w:hint="default" w:ascii="Arial" w:hAnsi="Arial" w:cs="Arial"/>
          <w:sz w:val="22"/>
          <w:szCs w:val="21"/>
          <w:lang w:val="es-ES" w:eastAsia="zh-CN"/>
        </w:rPr>
      </w:pPr>
    </w:p>
    <w:p w14:paraId="664FED3E">
      <w:pPr>
        <w:jc w:val="both"/>
        <w:rPr>
          <w:rFonts w:hint="default" w:ascii="Arial" w:hAnsi="Arial" w:cs="Arial"/>
          <w:sz w:val="22"/>
          <w:szCs w:val="21"/>
          <w:lang w:val="es-ES" w:eastAsia="zh-CN"/>
        </w:rPr>
      </w:pPr>
      <w:r>
        <w:drawing>
          <wp:inline distT="0" distB="0" distL="114300" distR="114300">
            <wp:extent cx="5480050" cy="1824990"/>
            <wp:effectExtent l="0" t="0" r="6350" b="381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7"/>
                    <a:stretch>
                      <a:fillRect/>
                    </a:stretch>
                  </pic:blipFill>
                  <pic:spPr>
                    <a:xfrm>
                      <a:off x="0" y="0"/>
                      <a:ext cx="5480050" cy="1824990"/>
                    </a:xfrm>
                    <a:prstGeom prst="rect">
                      <a:avLst/>
                    </a:prstGeom>
                    <a:noFill/>
                    <a:ln>
                      <a:noFill/>
                    </a:ln>
                  </pic:spPr>
                </pic:pic>
              </a:graphicData>
            </a:graphic>
          </wp:inline>
        </w:drawing>
      </w:r>
    </w:p>
    <w:p w14:paraId="59D950B0">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1" w:name="_Toc5705"/>
      <w:r>
        <w:rPr>
          <w:rFonts w:hint="default" w:ascii="Arial" w:hAnsi="Arial" w:cs="Arial"/>
          <w:color w:val="000000" w:themeColor="text1"/>
          <w:sz w:val="24"/>
          <w:szCs w:val="24"/>
          <w:lang w:val="es-ES" w:eastAsia="zh-CN"/>
          <w14:textFill>
            <w14:solidFill>
              <w14:schemeClr w14:val="tx1"/>
            </w14:solidFill>
          </w14:textFill>
        </w:rPr>
        <w:t>Arquitectura completa de la solución.</w:t>
      </w:r>
      <w:bookmarkEnd w:id="1"/>
    </w:p>
    <w:p w14:paraId="16B084A0">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La arquitectura extiende el flujo service-a → service-b → PostgreSQL del laboratorio anterior con un tercer microservicio, data-service, que persiste auditoría de cada transferencia en dos bases de datos gestionadas simuladas (Cloud SQL vía el contenedor postgres, RDS vía postgres-aws), instrumentado con OTel DB Semantic Conventions (db.system, db.operation) y atributos de nube (cloud.provider, cloud.platform). Todo el tráfico entre servicios pasa por sidecars Envoy (service mesh L7 local, equivalente a Cloud Service Mesh/AWS App Mesh), cuyas métricas de requests, retries y tráfico N-S/E-W se scrapean directamente por Prometheus.</w:t>
      </w:r>
    </w:p>
    <w:p w14:paraId="0A8CA652">
      <w:pPr>
        <w:jc w:val="both"/>
      </w:pPr>
      <w:r>
        <w:drawing>
          <wp:inline distT="0" distB="0" distL="114300" distR="114300">
            <wp:extent cx="5486400" cy="2132965"/>
            <wp:effectExtent l="0" t="0" r="0" b="63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486400" cy="2132965"/>
                    </a:xfrm>
                    <a:prstGeom prst="rect">
                      <a:avLst/>
                    </a:prstGeom>
                    <a:noFill/>
                    <a:ln>
                      <a:noFill/>
                    </a:ln>
                  </pic:spPr>
                </pic:pic>
              </a:graphicData>
            </a:graphic>
          </wp:inline>
        </w:drawing>
      </w:r>
    </w:p>
    <w:p w14:paraId="3906D2D7">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2" w:name="_Toc22918"/>
      <w:r>
        <w:rPr>
          <w:rFonts w:hint="default" w:ascii="Arial" w:hAnsi="Arial" w:cs="Arial"/>
          <w:color w:val="000000" w:themeColor="text1"/>
          <w:sz w:val="24"/>
          <w:szCs w:val="24"/>
          <w:lang w:val="es-ES" w:eastAsia="zh-CN"/>
          <w14:textFill>
            <w14:solidFill>
              <w14:schemeClr w14:val="tx1"/>
            </w14:solidFill>
          </w14:textFill>
        </w:rPr>
        <w:t>Módulo A — Arquitectura observable completa.</w:t>
      </w:r>
      <w:bookmarkEnd w:id="2"/>
    </w:p>
    <w:p w14:paraId="60928582">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Se validó la traza distribuida end-to-end a través de los 3 microservicios: cada POST /transfer genera una única traza con spans en service-a, service-b y data-service (31 spans por transacción), confirmando la propagación W3C TraceContext de extremo a extremo a través de los sidecars del mesh.</w:t>
      </w:r>
    </w:p>
    <w:p w14:paraId="2D43A3CF">
      <w:pPr>
        <w:jc w:val="center"/>
        <w:rPr>
          <w:rFonts w:hint="default" w:ascii="Arial" w:hAnsi="Arial" w:cs="Arial"/>
          <w:sz w:val="22"/>
          <w:szCs w:val="21"/>
          <w:lang w:val="es-ES" w:eastAsia="zh-CN"/>
        </w:rPr>
      </w:pPr>
      <w:r>
        <w:drawing>
          <wp:inline distT="0" distB="0" distL="114300" distR="114300">
            <wp:extent cx="5069205" cy="3969385"/>
            <wp:effectExtent l="0" t="0" r="17145" b="1206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9"/>
                    <a:stretch>
                      <a:fillRect/>
                    </a:stretch>
                  </pic:blipFill>
                  <pic:spPr>
                    <a:xfrm>
                      <a:off x="0" y="0"/>
                      <a:ext cx="5069205" cy="3969385"/>
                    </a:xfrm>
                    <a:prstGeom prst="rect">
                      <a:avLst/>
                    </a:prstGeom>
                    <a:noFill/>
                    <a:ln>
                      <a:noFill/>
                    </a:ln>
                  </pic:spPr>
                </pic:pic>
              </a:graphicData>
            </a:graphic>
          </wp:inline>
        </w:drawing>
      </w:r>
      <w:r>
        <w:br w:type="textWrapping"/>
      </w:r>
      <w:r>
        <w:rPr>
          <w:rFonts w:hint="default" w:ascii="Arial" w:hAnsi="Arial" w:cs="Arial"/>
          <w:b/>
          <w:bCs/>
          <w:i/>
          <w:iCs/>
          <w:sz w:val="20"/>
          <w:szCs w:val="18"/>
          <w:lang w:val="es-ES" w:eastAsia="zh-CN"/>
        </w:rPr>
        <w:t>Figura 1.</w:t>
      </w:r>
      <w:r>
        <w:rPr>
          <w:rFonts w:hint="default" w:ascii="Arial" w:hAnsi="Arial" w:cs="Arial"/>
          <w:sz w:val="20"/>
          <w:szCs w:val="18"/>
          <w:lang w:val="es-ES" w:eastAsia="zh-CN"/>
        </w:rPr>
        <w:t xml:space="preserve"> Jaeger UI — trazas reales con los 3 microservicios (service-a, service-b, data-service).</w:t>
      </w:r>
    </w:p>
    <w:p w14:paraId="2338D353">
      <w:pPr>
        <w:jc w:val="both"/>
        <w:rPr>
          <w:rFonts w:hint="default" w:ascii="Arial" w:hAnsi="Arial" w:cs="Arial"/>
          <w:sz w:val="22"/>
          <w:szCs w:val="21"/>
          <w:lang w:val="es-ES" w:eastAsia="zh-CN"/>
        </w:rPr>
      </w:pPr>
      <w:r>
        <w:rPr>
          <w:rFonts w:hint="default" w:ascii="Arial" w:hAnsi="Arial" w:cs="Arial"/>
          <w:sz w:val="22"/>
          <w:szCs w:val="21"/>
          <w:lang w:val="es-ES" w:eastAsia="zh-CN"/>
        </w:rPr>
        <w:t>El service mesh local (Envoy) fue corregido durante la validación: inicialmente service-a llamaba directo a los servicios backend, dejando los sidecars fuera de la ruta de tráfico real. Tras enrutar SERVICE_B_URL/DATA_SERVICE_URL hacia los sidecars, Prometheus confirmó tráfico real (~1.2 req/s) en las métricas nativas de Envoy.</w:t>
      </w:r>
    </w:p>
    <w:p w14:paraId="3640F9B6">
      <w:pPr>
        <w:jc w:val="center"/>
        <w:rPr>
          <w:rFonts w:hint="default" w:ascii="Arial" w:hAnsi="Arial" w:cs="Arial"/>
          <w:sz w:val="22"/>
          <w:szCs w:val="21"/>
        </w:rPr>
      </w:pPr>
      <w:r>
        <w:drawing>
          <wp:inline distT="0" distB="0" distL="114300" distR="114300">
            <wp:extent cx="5478145" cy="4051300"/>
            <wp:effectExtent l="0" t="0" r="8255" b="635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0"/>
                    <a:stretch>
                      <a:fillRect/>
                    </a:stretch>
                  </pic:blipFill>
                  <pic:spPr>
                    <a:xfrm>
                      <a:off x="0" y="0"/>
                      <a:ext cx="5478145" cy="4051300"/>
                    </a:xfrm>
                    <a:prstGeom prst="rect">
                      <a:avLst/>
                    </a:prstGeom>
                    <a:noFill/>
                    <a:ln>
                      <a:noFill/>
                    </a:ln>
                  </pic:spPr>
                </pic:pic>
              </a:graphicData>
            </a:graphic>
          </wp:inline>
        </w:drawing>
      </w:r>
      <w:r>
        <w:br w:type="textWrapping"/>
      </w:r>
      <w:r>
        <w:rPr>
          <w:rFonts w:hint="default" w:ascii="Arial" w:hAnsi="Arial" w:cs="Arial"/>
          <w:b/>
          <w:bCs/>
          <w:i/>
          <w:iCs/>
          <w:sz w:val="20"/>
          <w:szCs w:val="20"/>
        </w:rPr>
        <w:t>Figura 2.</w:t>
      </w:r>
      <w:r>
        <w:rPr>
          <w:rFonts w:hint="default" w:ascii="Arial" w:hAnsi="Arial" w:cs="Arial"/>
          <w:sz w:val="20"/>
          <w:szCs w:val="20"/>
        </w:rPr>
        <w:t xml:space="preserve"> Targets de Prometheus — sidecars Envoy, OTel Collector y Pushgateway, todos UP.</w:t>
      </w:r>
    </w:p>
    <w:p w14:paraId="226E35DB">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3" w:name="_Toc6285"/>
      <w:r>
        <w:rPr>
          <w:rFonts w:hint="default" w:ascii="Arial" w:hAnsi="Arial" w:cs="Arial"/>
          <w:color w:val="000000" w:themeColor="text1"/>
          <w:sz w:val="24"/>
          <w:szCs w:val="24"/>
          <w:lang w:val="es-ES" w:eastAsia="zh-CN"/>
          <w14:textFill>
            <w14:solidFill>
              <w14:schemeClr w14:val="tx1"/>
            </w14:solidFill>
          </w14:textFill>
        </w:rPr>
        <w:t>Módulo B — AIOps: detección de anomalías y correlación.</w:t>
      </w:r>
      <w:bookmarkEnd w:id="3"/>
    </w:p>
    <w:p w14:paraId="5CCD1EE1">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aiops-anomaly-detector implementa la regla pedida: error_rate &gt; baseline_móvil + 2σ Y</w:t>
      </w:r>
      <w:r>
        <w:rPr>
          <w:rFonts w:hint="default" w:ascii="Arial" w:hAnsi="Arial" w:cs="Arial"/>
          <w:sz w:val="22"/>
          <w:szCs w:val="21"/>
          <w:lang w:val="es-ES" w:eastAsia="zh-CN"/>
        </w:rPr>
        <w:br w:type="textWrapping"/>
      </w:r>
      <w:r>
        <w:rPr>
          <w:rFonts w:hint="default" w:ascii="Arial" w:hAnsi="Arial" w:cs="Arial"/>
          <w:sz w:val="22"/>
          <w:szCs w:val="21"/>
          <w:lang w:val="es-ES" w:eastAsia="zh-CN"/>
        </w:rPr>
        <w:t>latency_p99 &gt; SLO dispara una alerta enriquecida con el trace_id de un request fallido reciente (consultado vía la API de Jaeger), en paralelo a una regla de umbral estático clásica usada como comparación.</w:t>
      </w:r>
      <w:r>
        <w:rPr>
          <w:rFonts w:hint="default" w:ascii="Arial" w:hAnsi="Arial" w:cs="Arial"/>
          <w:sz w:val="22"/>
          <w:szCs w:val="21"/>
          <w:lang w:val="es-ES" w:eastAsia="zh-CN"/>
        </w:rPr>
        <w:br w:type="textWrapping"/>
      </w:r>
    </w:p>
    <w:p w14:paraId="50FEF9D5">
      <w:pPr>
        <w:jc w:val="both"/>
      </w:pPr>
      <w:r>
        <w:drawing>
          <wp:inline distT="0" distB="0" distL="114300" distR="114300">
            <wp:extent cx="5483225" cy="1100455"/>
            <wp:effectExtent l="0" t="0" r="3175" b="444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1"/>
                    <a:stretch>
                      <a:fillRect/>
                    </a:stretch>
                  </pic:blipFill>
                  <pic:spPr>
                    <a:xfrm>
                      <a:off x="0" y="0"/>
                      <a:ext cx="5483225" cy="1100455"/>
                    </a:xfrm>
                    <a:prstGeom prst="rect">
                      <a:avLst/>
                    </a:prstGeom>
                    <a:noFill/>
                    <a:ln>
                      <a:noFill/>
                    </a:ln>
                  </pic:spPr>
                </pic:pic>
              </a:graphicData>
            </a:graphic>
          </wp:inline>
        </w:drawing>
      </w:r>
    </w:p>
    <w:p w14:paraId="497BEA6C">
      <w:pPr>
        <w:jc w:val="center"/>
        <w:rPr>
          <w:rFonts w:hint="default"/>
          <w:lang w:val="es-ES" w:eastAsia="zh-CN"/>
        </w:rPr>
      </w:pPr>
      <w:r>
        <w:drawing>
          <wp:inline distT="0" distB="0" distL="114300" distR="114300">
            <wp:extent cx="5478145" cy="4293235"/>
            <wp:effectExtent l="0" t="0" r="8255" b="1206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2"/>
                    <a:stretch>
                      <a:fillRect/>
                    </a:stretch>
                  </pic:blipFill>
                  <pic:spPr>
                    <a:xfrm>
                      <a:off x="0" y="0"/>
                      <a:ext cx="5478145" cy="4293235"/>
                    </a:xfrm>
                    <a:prstGeom prst="rect">
                      <a:avLst/>
                    </a:prstGeom>
                    <a:noFill/>
                    <a:ln>
                      <a:noFill/>
                    </a:ln>
                  </pic:spPr>
                </pic:pic>
              </a:graphicData>
            </a:graphic>
          </wp:inline>
        </w:drawing>
      </w:r>
      <w:r>
        <w:rPr>
          <w:rFonts w:hint="default" w:ascii="Arial" w:hAnsi="Arial" w:cs="Arial"/>
          <w:b/>
          <w:bCs/>
          <w:i/>
          <w:iCs/>
          <w:sz w:val="20"/>
          <w:szCs w:val="20"/>
        </w:rPr>
        <w:t>Figura 3.</w:t>
      </w:r>
      <w:r>
        <w:rPr>
          <w:rFonts w:hint="default" w:ascii="Arial" w:hAnsi="Arial" w:cs="Arial"/>
          <w:sz w:val="20"/>
          <w:szCs w:val="20"/>
        </w:rPr>
        <w:t xml:space="preserve"> Traza con el span de error exacto (data_service.write_audit_record) al que apunta la alerta correlacionada del</w:t>
      </w:r>
      <w:r>
        <w:rPr>
          <w:rFonts w:hint="default" w:ascii="Arial" w:hAnsi="Arial" w:cs="Arial"/>
          <w:sz w:val="20"/>
          <w:szCs w:val="20"/>
          <w:lang w:val="es-ES"/>
        </w:rPr>
        <w:t xml:space="preserve"> </w:t>
      </w:r>
      <w:r>
        <w:rPr>
          <w:rFonts w:hint="default" w:ascii="Arial" w:hAnsi="Arial" w:cs="Arial"/>
          <w:sz w:val="20"/>
          <w:szCs w:val="20"/>
        </w:rPr>
        <w:t>Módulo B.</w:t>
      </w:r>
    </w:p>
    <w:p w14:paraId="2B92FA2F">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4" w:name="_Toc15985"/>
      <w:r>
        <w:rPr>
          <w:rFonts w:hint="default" w:ascii="Arial" w:hAnsi="Arial" w:cs="Arial"/>
          <w:color w:val="000000" w:themeColor="text1"/>
          <w:sz w:val="24"/>
          <w:szCs w:val="24"/>
          <w:lang w:val="es-ES" w:eastAsia="zh-CN"/>
          <w14:textFill>
            <w14:solidFill>
              <w14:schemeClr w14:val="tx1"/>
            </w14:solidFill>
          </w14:textFill>
        </w:rPr>
        <w:t>Módulo C — Network &amp; Security Observability.</w:t>
      </w:r>
      <w:bookmarkEnd w:id="4"/>
    </w:p>
    <w:p w14:paraId="6378FA97">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El dashboard "Golden Signals de Seguridad" agrega tres señales con datos reales: intentos de autenticación fallidos (76 de 200 generados con security/simulate_auth_traffic.py), tráfico N-S/E-W medido en los sidecars Envoy del mesh, y CVEs activos por imagen obtenidos con un escaneo real de Trivy contra las 3 imágenes propias del proyecto.</w:t>
      </w:r>
    </w:p>
    <w:p w14:paraId="40EAB470">
      <w:pPr>
        <w:jc w:val="both"/>
      </w:pPr>
      <w:r>
        <w:drawing>
          <wp:inline distT="0" distB="0" distL="114300" distR="114300">
            <wp:extent cx="5480685" cy="1102995"/>
            <wp:effectExtent l="0" t="0" r="5715" b="190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3"/>
                    <a:stretch>
                      <a:fillRect/>
                    </a:stretch>
                  </pic:blipFill>
                  <pic:spPr>
                    <a:xfrm>
                      <a:off x="0" y="0"/>
                      <a:ext cx="5480685" cy="1102995"/>
                    </a:xfrm>
                    <a:prstGeom prst="rect">
                      <a:avLst/>
                    </a:prstGeom>
                    <a:noFill/>
                    <a:ln>
                      <a:noFill/>
                    </a:ln>
                  </pic:spPr>
                </pic:pic>
              </a:graphicData>
            </a:graphic>
          </wp:inline>
        </w:drawing>
      </w:r>
    </w:p>
    <w:p w14:paraId="267D2B06">
      <w:pPr>
        <w:jc w:val="center"/>
        <w:rPr>
          <w:rFonts w:hint="default" w:ascii="Arial" w:hAnsi="Arial" w:cs="Arial"/>
          <w:sz w:val="22"/>
          <w:szCs w:val="21"/>
          <w:lang w:val="es-ES" w:eastAsia="zh-CN"/>
        </w:rPr>
      </w:pPr>
      <w:r>
        <w:drawing>
          <wp:inline distT="0" distB="0" distL="114300" distR="114300">
            <wp:extent cx="5479415" cy="5486400"/>
            <wp:effectExtent l="0" t="0" r="6985"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4"/>
                    <a:stretch>
                      <a:fillRect/>
                    </a:stretch>
                  </pic:blipFill>
                  <pic:spPr>
                    <a:xfrm>
                      <a:off x="0" y="0"/>
                      <a:ext cx="5479415" cy="5486400"/>
                    </a:xfrm>
                    <a:prstGeom prst="rect">
                      <a:avLst/>
                    </a:prstGeom>
                    <a:noFill/>
                    <a:ln>
                      <a:noFill/>
                    </a:ln>
                  </pic:spPr>
                </pic:pic>
              </a:graphicData>
            </a:graphic>
          </wp:inline>
        </w:drawing>
      </w:r>
      <w:r>
        <w:rPr>
          <w:rFonts w:hint="default" w:ascii="Arial" w:hAnsi="Arial" w:cs="Arial"/>
          <w:b/>
          <w:bCs/>
          <w:i/>
          <w:iCs/>
          <w:sz w:val="20"/>
          <w:szCs w:val="20"/>
          <w:lang w:val="es-ES" w:eastAsia="zh-CN"/>
        </w:rPr>
        <w:t>Figura 4.</w:t>
      </w:r>
      <w:r>
        <w:rPr>
          <w:rFonts w:hint="default" w:ascii="Arial" w:hAnsi="Arial" w:cs="Arial"/>
          <w:sz w:val="20"/>
          <w:szCs w:val="20"/>
          <w:lang w:val="es-ES" w:eastAsia="zh-CN"/>
        </w:rPr>
        <w:t xml:space="preserve"> Dashboard Golden Signals de Seguridad — auth, tráfico N-S/E-W y CVEs activos (datos reales).</w:t>
      </w:r>
    </w:p>
    <w:p w14:paraId="608AEB48">
      <w:pPr>
        <w:jc w:val="both"/>
        <w:rPr>
          <w:rFonts w:hint="default" w:ascii="Arial" w:hAnsi="Arial" w:cs="Arial"/>
          <w:sz w:val="22"/>
          <w:szCs w:val="21"/>
          <w:lang w:val="es-ES" w:eastAsia="zh-CN"/>
        </w:rPr>
      </w:pPr>
      <w:r>
        <w:rPr>
          <w:rFonts w:hint="default" w:ascii="Arial" w:hAnsi="Arial" w:cs="Arial"/>
          <w:sz w:val="22"/>
          <w:szCs w:val="21"/>
          <w:lang w:val="es-ES" w:eastAsia="zh-CN"/>
        </w:rPr>
        <w:t>VPC Flow Logs (GCP/AWS), Security Command Center y Security Hub quedan documentados como IaC completo en terraform/network_security.tf (gated por enable_network_security),pendientes de aplicar contra un proyecto/cuenta real.</w:t>
      </w:r>
    </w:p>
    <w:p w14:paraId="643E7B03">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5" w:name="_Toc27725"/>
      <w:r>
        <w:rPr>
          <w:rFonts w:hint="default" w:ascii="Arial" w:hAnsi="Arial" w:cs="Arial"/>
          <w:color w:val="000000" w:themeColor="text1"/>
          <w:sz w:val="24"/>
          <w:szCs w:val="24"/>
          <w:lang w:val="es-ES" w:eastAsia="zh-CN"/>
          <w14:textFill>
            <w14:solidFill>
              <w14:schemeClr w14:val="tx1"/>
            </w14:solidFill>
          </w14:textFill>
        </w:rPr>
        <w:t>Módulo D — Chaos Engineering controlado.</w:t>
      </w:r>
      <w:bookmarkEnd w:id="5"/>
    </w:p>
    <w:p w14:paraId="544E3E3A">
      <w:pPr>
        <w:jc w:val="both"/>
        <w:rPr>
          <w:rFonts w:hint="default" w:ascii="Arial" w:hAnsi="Arial" w:cs="Arial"/>
          <w:sz w:val="22"/>
          <w:szCs w:val="21"/>
          <w:lang w:val="es-ES" w:eastAsia="zh-CN"/>
        </w:rPr>
      </w:pPr>
      <w:r>
        <w:rPr>
          <w:rFonts w:hint="default" w:ascii="Arial" w:hAnsi="Arial" w:cs="Arial"/>
          <w:sz w:val="22"/>
          <w:szCs w:val="21"/>
          <w:lang w:val="es-ES" w:eastAsia="zh-CN"/>
        </w:rPr>
        <w:br w:type="textWrapping"/>
      </w:r>
      <w:r>
        <w:rPr>
          <w:rFonts w:hint="default" w:ascii="Arial" w:hAnsi="Arial" w:cs="Arial"/>
          <w:sz w:val="22"/>
          <w:szCs w:val="21"/>
          <w:lang w:val="es-ES" w:eastAsia="zh-CN"/>
        </w:rPr>
        <w:t>Se ejecutaron los dos experimentos pedidos con chaos/run_chaos_experiment.py: inyección de fallo, generación de carga concurrente y medición del MTTD como el tiempo entre la inyección y la alerta de SLO correspondiente en Alertmanager.</w:t>
      </w:r>
    </w:p>
    <w:p w14:paraId="057A6FE0">
      <w:pPr>
        <w:jc w:val="both"/>
        <w:rPr>
          <w:rFonts w:hint="default" w:ascii="Arial" w:hAnsi="Arial" w:cs="Arial"/>
          <w:sz w:val="22"/>
          <w:szCs w:val="21"/>
          <w:lang w:val="es-ES" w:eastAsia="zh-CN"/>
        </w:rPr>
      </w:pPr>
      <w:r>
        <w:drawing>
          <wp:inline distT="0" distB="0" distL="114300" distR="114300">
            <wp:extent cx="5480685" cy="732155"/>
            <wp:effectExtent l="0" t="0" r="5715" b="1079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5"/>
                    <a:stretch>
                      <a:fillRect/>
                    </a:stretch>
                  </pic:blipFill>
                  <pic:spPr>
                    <a:xfrm>
                      <a:off x="0" y="0"/>
                      <a:ext cx="5480685" cy="732155"/>
                    </a:xfrm>
                    <a:prstGeom prst="rect">
                      <a:avLst/>
                    </a:prstGeom>
                    <a:noFill/>
                    <a:ln>
                      <a:noFill/>
                    </a:ln>
                  </pic:spPr>
                </pic:pic>
              </a:graphicData>
            </a:graphic>
          </wp:inline>
        </w:drawing>
      </w:r>
    </w:p>
    <w:p w14:paraId="37ABA16F">
      <w:pPr>
        <w:jc w:val="both"/>
        <w:rPr>
          <w:rFonts w:hint="default" w:ascii="Arial" w:hAnsi="Arial" w:cs="Arial"/>
          <w:sz w:val="22"/>
          <w:szCs w:val="21"/>
          <w:lang w:val="es-ES" w:eastAsia="zh-CN"/>
        </w:rPr>
      </w:pPr>
      <w:r>
        <w:rPr>
          <w:rFonts w:hint="default" w:ascii="Arial" w:hAnsi="Arial" w:cs="Arial"/>
          <w:sz w:val="22"/>
          <w:szCs w:val="21"/>
          <w:lang w:val="es-ES" w:eastAsia="zh-CN"/>
        </w:rPr>
        <w:t>Análisis de la causa raíz del incumplimiento (experimento 2): data-service solo recibe una llamada de auditoría no crítica por cada transferencia, un volumen de tráfico bajo frente al endpoint /transfer de alto tráfico usado en el experimento 1. La ventana de rate(...[1m]) combinada con for: 30s tarda más en reflejar el error inyectado cuando el volumen de requests es bajo. Se documentó como acción de mejora (Módulo E, roadmap mes 1) reducir la ventana de agregación o aumentar el tráfico sintético hacia data-service.</w:t>
      </w:r>
    </w:p>
    <w:p w14:paraId="44151C9E">
      <w:pPr>
        <w:jc w:val="center"/>
        <w:rPr>
          <w:rFonts w:hint="default" w:ascii="Arial" w:hAnsi="Arial" w:cs="Arial"/>
          <w:sz w:val="20"/>
          <w:szCs w:val="20"/>
          <w:lang w:val="es-ES" w:eastAsia="zh-CN"/>
        </w:rPr>
      </w:pPr>
      <w:r>
        <w:drawing>
          <wp:inline distT="0" distB="0" distL="114300" distR="114300">
            <wp:extent cx="5481955" cy="1751330"/>
            <wp:effectExtent l="0" t="0" r="4445" b="127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6"/>
                    <a:stretch>
                      <a:fillRect/>
                    </a:stretch>
                  </pic:blipFill>
                  <pic:spPr>
                    <a:xfrm>
                      <a:off x="0" y="0"/>
                      <a:ext cx="5481955" cy="1751330"/>
                    </a:xfrm>
                    <a:prstGeom prst="rect">
                      <a:avLst/>
                    </a:prstGeom>
                    <a:noFill/>
                    <a:ln>
                      <a:noFill/>
                    </a:ln>
                  </pic:spPr>
                </pic:pic>
              </a:graphicData>
            </a:graphic>
          </wp:inline>
        </w:drawing>
      </w:r>
      <w:r>
        <w:rPr>
          <w:rFonts w:hint="default" w:ascii="Arial" w:hAnsi="Arial" w:cs="Arial"/>
          <w:b/>
          <w:bCs/>
          <w:i/>
          <w:iCs/>
          <w:sz w:val="20"/>
          <w:szCs w:val="20"/>
          <w:lang w:val="es-ES" w:eastAsia="zh-CN"/>
        </w:rPr>
        <w:t>Figura 5</w:t>
      </w:r>
      <w:r>
        <w:rPr>
          <w:rFonts w:hint="default" w:ascii="Arial" w:hAnsi="Arial" w:cs="Arial"/>
          <w:sz w:val="20"/>
          <w:szCs w:val="20"/>
          <w:lang w:val="es-ES" w:eastAsia="zh-CN"/>
        </w:rPr>
        <w:t>. Reglas de alerta de SLO y umbral estático cargadas en Prometheus.</w:t>
      </w:r>
    </w:p>
    <w:p w14:paraId="2014D5F9">
      <w:pPr>
        <w:jc w:val="both"/>
        <w:rPr>
          <w:rFonts w:hint="default" w:ascii="Arial" w:hAnsi="Arial" w:cs="Arial"/>
          <w:sz w:val="22"/>
          <w:szCs w:val="22"/>
          <w:lang w:val="es-ES" w:eastAsia="zh-CN"/>
        </w:rPr>
      </w:pPr>
      <w:r>
        <w:rPr>
          <w:rFonts w:hint="default" w:ascii="Arial" w:hAnsi="Arial" w:cs="Arial"/>
          <w:sz w:val="22"/>
          <w:szCs w:val="22"/>
          <w:lang w:val="es-ES" w:eastAsia="zh-CN"/>
        </w:rPr>
        <w:t>Tanto el SLO de latencia como el de error rate se degradaron durante cada experimento (por diseño), consumiendo error budget mensual de forma medible: el experimento de error rate consumió aproximadamente 0.07% del error budget mensual de un SLO de disponibilidad del 99%, para una inyección de ~180 segundos. El detalle completo de esta cuantificación está en chaos/chaos_experiments.md.</w:t>
      </w:r>
    </w:p>
    <w:p w14:paraId="4B1CF247">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6" w:name="_Toc27339"/>
      <w:r>
        <w:rPr>
          <w:rFonts w:hint="default" w:ascii="Arial" w:hAnsi="Arial" w:cs="Arial"/>
          <w:color w:val="000000" w:themeColor="text1"/>
          <w:sz w:val="24"/>
          <w:szCs w:val="24"/>
          <w:lang w:val="es-ES" w:eastAsia="zh-CN"/>
          <w14:textFill>
            <w14:solidFill>
              <w14:schemeClr w14:val="tx1"/>
            </w14:solidFill>
          </w14:textFill>
        </w:rPr>
        <w:t>Módulo D — Reporte de madurez de observabilidad.</w:t>
      </w:r>
      <w:bookmarkEnd w:id="6"/>
    </w:p>
    <w:p w14:paraId="6F688C43">
      <w:pPr>
        <w:jc w:val="both"/>
      </w:pPr>
      <w:r>
        <w:rPr>
          <w:rFonts w:hint="default" w:ascii="Arial" w:hAnsi="Arial" w:cs="Arial"/>
          <w:sz w:val="22"/>
          <w:szCs w:val="21"/>
          <w:lang w:val="es-ES" w:eastAsia="zh-CN"/>
        </w:rPr>
        <w:br w:type="textWrapping"/>
      </w:r>
      <w:r>
        <w:rPr>
          <w:rFonts w:hint="default" w:ascii="Arial" w:hAnsi="Arial" w:cs="Arial"/>
          <w:sz w:val="22"/>
          <w:szCs w:val="21"/>
          <w:lang w:val="es-ES" w:eastAsia="zh-CN"/>
        </w:rPr>
        <w:t>Autoevaluación contra el Observability Foundation Blueprint (8 dominios, escala 1-5). El detalle completo de la evidencia por dominio y el roadmap a 3 meses está en docs/madurez_observabilidad.md</w:t>
      </w:r>
      <w:r>
        <w:rPr>
          <w:rFonts w:hint="default" w:ascii="Arial" w:hAnsi="Arial" w:cs="Arial"/>
          <w:sz w:val="22"/>
          <w:szCs w:val="21"/>
          <w:lang w:val="es-ES" w:eastAsia="zh-CN"/>
        </w:rPr>
        <w:br w:type="textWrapping"/>
      </w:r>
      <w:r>
        <w:rPr>
          <w:rFonts w:hint="default" w:ascii="Arial" w:hAnsi="Arial" w:cs="Arial"/>
          <w:sz w:val="22"/>
          <w:szCs w:val="21"/>
          <w:lang w:val="es-ES" w:eastAsia="zh-CN"/>
        </w:rPr>
        <w:br w:type="textWrapping"/>
      </w:r>
      <w:r>
        <w:drawing>
          <wp:inline distT="0" distB="0" distL="114300" distR="114300">
            <wp:extent cx="5485130" cy="1097280"/>
            <wp:effectExtent l="0" t="0" r="1270" b="762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7"/>
                    <a:stretch>
                      <a:fillRect/>
                    </a:stretch>
                  </pic:blipFill>
                  <pic:spPr>
                    <a:xfrm>
                      <a:off x="0" y="0"/>
                      <a:ext cx="5485130" cy="1097280"/>
                    </a:xfrm>
                    <a:prstGeom prst="rect">
                      <a:avLst/>
                    </a:prstGeom>
                    <a:noFill/>
                    <a:ln>
                      <a:noFill/>
                    </a:ln>
                  </pic:spPr>
                </pic:pic>
              </a:graphicData>
            </a:graphic>
          </wp:inline>
        </w:drawing>
      </w:r>
    </w:p>
    <w:p w14:paraId="6E17CF34">
      <w:pPr>
        <w:jc w:val="both"/>
      </w:pPr>
    </w:p>
    <w:p w14:paraId="35609DE6">
      <w:pPr>
        <w:jc w:val="both"/>
      </w:pPr>
      <w:r>
        <w:drawing>
          <wp:inline distT="0" distB="0" distL="114300" distR="114300">
            <wp:extent cx="5485130" cy="1102995"/>
            <wp:effectExtent l="0" t="0" r="1270" b="190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8"/>
                    <a:stretch>
                      <a:fillRect/>
                    </a:stretch>
                  </pic:blipFill>
                  <pic:spPr>
                    <a:xfrm>
                      <a:off x="0" y="0"/>
                      <a:ext cx="5485130" cy="1102995"/>
                    </a:xfrm>
                    <a:prstGeom prst="rect">
                      <a:avLst/>
                    </a:prstGeom>
                    <a:noFill/>
                    <a:ln>
                      <a:noFill/>
                    </a:ln>
                  </pic:spPr>
                </pic:pic>
              </a:graphicData>
            </a:graphic>
          </wp:inline>
        </w:drawing>
      </w:r>
    </w:p>
    <w:p w14:paraId="722BD511">
      <w:pPr>
        <w:jc w:val="both"/>
        <w:rPr>
          <w:rFonts w:hint="default" w:ascii="Arial" w:hAnsi="Arial" w:cs="Arial"/>
          <w:sz w:val="22"/>
          <w:szCs w:val="21"/>
          <w:lang w:val="es-ES" w:eastAsia="zh-CN"/>
        </w:rPr>
      </w:pPr>
      <w:r>
        <w:rPr>
          <w:rFonts w:hint="default" w:ascii="Arial" w:hAnsi="Arial" w:cs="Arial"/>
          <w:b/>
          <w:bCs/>
          <w:sz w:val="22"/>
          <w:szCs w:val="21"/>
          <w:lang w:val="es-ES" w:eastAsia="zh-CN"/>
        </w:rPr>
        <w:t>Madurez promedio actual:</w:t>
      </w:r>
      <w:r>
        <w:rPr>
          <w:rFonts w:hint="default" w:ascii="Arial" w:hAnsi="Arial" w:cs="Arial"/>
          <w:sz w:val="22"/>
          <w:szCs w:val="21"/>
          <w:lang w:val="es-ES" w:eastAsia="zh-CN"/>
        </w:rPr>
        <w:t xml:space="preserve"> 2.9 / 5. Roadmap priorizado a 3 meses:</w:t>
      </w:r>
    </w:p>
    <w:p w14:paraId="60DB4A4A">
      <w:pPr>
        <w:jc w:val="both"/>
        <w:rPr>
          <w:rFonts w:hint="default" w:ascii="Arial" w:hAnsi="Arial" w:cs="Arial"/>
          <w:sz w:val="22"/>
          <w:szCs w:val="21"/>
          <w:lang w:val="es-ES" w:eastAsia="zh-CN"/>
        </w:rPr>
      </w:pPr>
      <w:r>
        <w:rPr>
          <w:rFonts w:hint="default" w:ascii="Arial" w:hAnsi="Arial" w:cs="Arial"/>
          <w:sz w:val="22"/>
          <w:szCs w:val="21"/>
          <w:lang w:val="es-ES" w:eastAsia="zh-CN"/>
        </w:rPr>
        <w:t xml:space="preserve">• </w:t>
      </w:r>
      <w:r>
        <w:rPr>
          <w:rFonts w:hint="default" w:ascii="Arial" w:hAnsi="Arial" w:cs="Arial"/>
          <w:b/>
          <w:bCs/>
          <w:sz w:val="22"/>
          <w:szCs w:val="21"/>
          <w:lang w:val="es-ES" w:eastAsia="zh-CN"/>
        </w:rPr>
        <w:t>Mes 1:</w:t>
      </w:r>
      <w:r>
        <w:rPr>
          <w:rFonts w:hint="default" w:ascii="Arial" w:hAnsi="Arial" w:cs="Arial"/>
          <w:sz w:val="22"/>
          <w:szCs w:val="21"/>
          <w:lang w:val="es-ES" w:eastAsia="zh-CN"/>
        </w:rPr>
        <w:t xml:space="preserve"> cerrar la brecha de MTTD del experimento de error rate; aplicar Terraform de network/security contra un proyecto GCP y cuenta AWS de sandbox reales; escribir runbooks por alerta.</w:t>
      </w:r>
    </w:p>
    <w:p w14:paraId="226864DA">
      <w:pPr>
        <w:jc w:val="both"/>
        <w:rPr>
          <w:rFonts w:hint="default" w:ascii="Arial" w:hAnsi="Arial" w:cs="Arial"/>
          <w:sz w:val="22"/>
          <w:szCs w:val="21"/>
          <w:lang w:val="es-ES" w:eastAsia="zh-CN"/>
        </w:rPr>
      </w:pPr>
      <w:r>
        <w:rPr>
          <w:rFonts w:hint="default" w:ascii="Arial" w:hAnsi="Arial" w:cs="Arial"/>
          <w:sz w:val="22"/>
          <w:szCs w:val="21"/>
          <w:lang w:val="es-ES" w:eastAsia="zh-CN"/>
        </w:rPr>
        <w:t xml:space="preserve">• </w:t>
      </w:r>
      <w:r>
        <w:rPr>
          <w:rFonts w:hint="default" w:ascii="Arial" w:hAnsi="Arial" w:cs="Arial"/>
          <w:b/>
          <w:bCs/>
          <w:sz w:val="22"/>
          <w:szCs w:val="21"/>
          <w:lang w:val="es-ES" w:eastAsia="zh-CN"/>
        </w:rPr>
        <w:t>Mes 2:</w:t>
      </w:r>
      <w:r>
        <w:rPr>
          <w:rFonts w:hint="default" w:ascii="Arial" w:hAnsi="Arial" w:cs="Arial"/>
          <w:sz w:val="22"/>
          <w:szCs w:val="21"/>
          <w:lang w:val="es-ES" w:eastAsia="zh-CN"/>
        </w:rPr>
        <w:t xml:space="preserve"> reemplazar el baseline media+2σ por un modelo con estacionalidad (Holt-Winters/STL); implementar burn-rate alerting multiventana y política formal de error budget.</w:t>
      </w:r>
    </w:p>
    <w:p w14:paraId="6A1949F7">
      <w:pPr>
        <w:jc w:val="both"/>
        <w:rPr>
          <w:rFonts w:hint="default" w:ascii="Arial" w:hAnsi="Arial" w:cs="Arial"/>
          <w:sz w:val="22"/>
          <w:szCs w:val="21"/>
          <w:lang w:val="es-ES" w:eastAsia="zh-CN"/>
        </w:rPr>
      </w:pPr>
      <w:r>
        <w:rPr>
          <w:rFonts w:hint="default" w:ascii="Arial" w:hAnsi="Arial" w:cs="Arial"/>
          <w:sz w:val="22"/>
          <w:szCs w:val="21"/>
          <w:lang w:val="es-ES" w:eastAsia="zh-CN"/>
        </w:rPr>
        <w:t xml:space="preserve">• </w:t>
      </w:r>
      <w:r>
        <w:rPr>
          <w:rFonts w:hint="default" w:ascii="Arial" w:hAnsi="Arial" w:cs="Arial"/>
          <w:b/>
          <w:bCs/>
          <w:sz w:val="22"/>
          <w:szCs w:val="21"/>
          <w:lang w:val="es-ES" w:eastAsia="zh-CN"/>
        </w:rPr>
        <w:t>Mes 3:</w:t>
      </w:r>
      <w:r>
        <w:rPr>
          <w:rFonts w:hint="default" w:ascii="Arial" w:hAnsi="Arial" w:cs="Arial"/>
          <w:sz w:val="22"/>
          <w:szCs w:val="21"/>
          <w:lang w:val="es-ES" w:eastAsia="zh-CN"/>
        </w:rPr>
        <w:t xml:space="preserve"> versionar el esquema de métricas custom con retención diferenciada; sampling basado en cola (tail-based) en el Collector priorizando trazas con error/latencia alta.</w:t>
      </w:r>
    </w:p>
    <w:p w14:paraId="4B584431">
      <w:pPr>
        <w:pStyle w:val="2"/>
        <w:numPr>
          <w:ilvl w:val="0"/>
          <w:numId w:val="7"/>
        </w:numPr>
        <w:bidi w:val="0"/>
        <w:rPr>
          <w:rFonts w:hint="default" w:ascii="Arial" w:hAnsi="Arial" w:cs="Arial"/>
          <w:b w:val="0"/>
          <w:bCs w:val="0"/>
          <w:color w:val="000000" w:themeColor="text1"/>
          <w:sz w:val="22"/>
          <w:szCs w:val="22"/>
          <w:lang w:val="es-ES" w:eastAsia="zh-CN"/>
          <w14:textFill>
            <w14:solidFill>
              <w14:schemeClr w14:val="tx1"/>
            </w14:solidFill>
          </w14:textFill>
        </w:rPr>
      </w:pPr>
      <w:bookmarkStart w:id="7" w:name="_Toc25354"/>
      <w:r>
        <w:rPr>
          <w:rFonts w:hint="default" w:ascii="Arial" w:hAnsi="Arial" w:cs="Arial"/>
          <w:color w:val="000000" w:themeColor="text1"/>
          <w:sz w:val="24"/>
          <w:szCs w:val="24"/>
          <w:lang w:val="es-ES" w:eastAsia="zh-CN"/>
          <w14:textFill>
            <w14:solidFill>
              <w14:schemeClr w14:val="tx1"/>
            </w14:solidFill>
          </w14:textFill>
        </w:rPr>
        <w:t>Conclusiones.</w:t>
      </w:r>
      <w:bookmarkEnd w:id="7"/>
    </w:p>
    <w:p w14:paraId="566F7756">
      <w:pPr>
        <w:rPr>
          <w:rFonts w:hint="default"/>
          <w:lang w:val="es-ES" w:eastAsia="zh-CN"/>
        </w:rPr>
      </w:pPr>
    </w:p>
    <w:p w14:paraId="41FD32D9">
      <w:pPr>
        <w:jc w:val="both"/>
        <w:rPr>
          <w:rFonts w:hint="default" w:ascii="Arial" w:hAnsi="Arial" w:cs="Arial"/>
          <w:sz w:val="22"/>
          <w:szCs w:val="21"/>
          <w:lang w:val="es-ES" w:eastAsia="zh-CN"/>
        </w:rPr>
      </w:pPr>
      <w:r>
        <w:rPr>
          <w:rFonts w:hint="default" w:ascii="Arial" w:hAnsi="Arial" w:cs="Arial"/>
          <w:sz w:val="22"/>
          <w:szCs w:val="21"/>
          <w:lang w:val="es-ES" w:eastAsia="zh-CN"/>
        </w:rPr>
        <w:t xml:space="preserve">• </w:t>
      </w:r>
      <w:r>
        <w:rPr>
          <w:rFonts w:hint="default" w:ascii="Arial" w:hAnsi="Arial" w:cs="Arial"/>
          <w:sz w:val="22"/>
          <w:szCs w:val="21"/>
          <w:lang w:val="es-ES" w:eastAsia="zh-CN"/>
        </w:rPr>
        <w:t>La arquitectura de 3 microservicios con service mesh local es completamente observable end-to-end: una sola traza permite reconstruir el camino de una transferencia a través de 2 saltos HTTP y 2 bases de datos, incluyendo los sidecars del mesh.</w:t>
      </w:r>
    </w:p>
    <w:p w14:paraId="6C6EFA41">
      <w:pPr>
        <w:jc w:val="both"/>
        <w:rPr>
          <w:rFonts w:hint="default" w:ascii="Arial" w:hAnsi="Arial" w:cs="Arial"/>
          <w:sz w:val="22"/>
          <w:szCs w:val="21"/>
          <w:lang w:val="es-ES" w:eastAsia="zh-CN"/>
        </w:rPr>
      </w:pPr>
      <w:r>
        <w:rPr>
          <w:rFonts w:hint="default" w:ascii="Arial" w:hAnsi="Arial" w:cs="Arial"/>
          <w:sz w:val="22"/>
          <w:szCs w:val="21"/>
          <w:lang w:val="es-ES" w:eastAsia="zh-CN"/>
        </w:rPr>
        <w:t>• La regla de correlación de AIOps (baseline+2σ + SLO + trace_id) demostró cuantitativamente su valor frente a umbrales estáticos: 66.7% menos alertas, cada una accionable con un enlace directo a la traza del fallo.</w:t>
      </w:r>
    </w:p>
    <w:p w14:paraId="20AC33FE">
      <w:pPr>
        <w:jc w:val="both"/>
        <w:rPr>
          <w:rFonts w:hint="default" w:ascii="Arial" w:hAnsi="Arial" w:cs="Arial"/>
          <w:sz w:val="22"/>
          <w:szCs w:val="21"/>
          <w:lang w:val="es-ES" w:eastAsia="zh-CN"/>
        </w:rPr>
      </w:pPr>
      <w:r>
        <w:rPr>
          <w:rFonts w:hint="default" w:ascii="Arial" w:hAnsi="Arial" w:cs="Arial"/>
          <w:sz w:val="22"/>
          <w:szCs w:val="21"/>
          <w:lang w:val="es-ES" w:eastAsia="zh-CN"/>
        </w:rPr>
        <w:t>• Los experimentos de chaos engineering no solo validaron el sistema de alertas — revelaron un hallazgo real y accionable: el MTTD depende del volumen de tráfico del servicio afectado, no solo de la configuración de las reglas, un aprendizaje que solo pudo confirmarse ejecutando el experimento contra el stack real.</w:t>
      </w:r>
    </w:p>
    <w:p w14:paraId="4F4AEAF8">
      <w:pPr>
        <w:jc w:val="both"/>
        <w:rPr>
          <w:rFonts w:hint="default" w:ascii="Arial" w:hAnsi="Arial" w:cs="Arial"/>
          <w:sz w:val="22"/>
          <w:szCs w:val="21"/>
          <w:lang w:val="es-ES" w:eastAsia="zh-CN"/>
        </w:rPr>
      </w:pPr>
      <w:r>
        <w:rPr>
          <w:rFonts w:hint="default" w:ascii="Arial" w:hAnsi="Arial" w:cs="Arial"/>
          <w:sz w:val="22"/>
          <w:szCs w:val="21"/>
          <w:lang w:val="es-ES" w:eastAsia="zh-CN"/>
        </w:rPr>
        <w:t>• Los dominios de observabilidad de red/seguridad en la nube real y de cultura/procesos organizacionales son los de menor madurez actual y los de mayor prioridad en el roadmap a 3 meses, ya que dependen de acceso a proyectos GCP/AWS reales más que de desarrollo adicional de código.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Helvetic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245F1DF6"/>
    <w:multiLevelType w:val="multilevel"/>
    <w:tmpl w:val="245F1DF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ascii="Arial" w:hAnsi="Arial" w:cs="Arial"/>
        <w:color w:val="auto"/>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581A"/>
    <w:rsid w:val="00326F90"/>
    <w:rsid w:val="00AA1D8D"/>
    <w:rsid w:val="00B47730"/>
    <w:rsid w:val="00CB0664"/>
    <w:rsid w:val="00FC4E8B"/>
    <w:rsid w:val="00FC693F"/>
    <w:rsid w:val="01826367"/>
    <w:rsid w:val="033D1ADE"/>
    <w:rsid w:val="041C5CEB"/>
    <w:rsid w:val="052F2CCD"/>
    <w:rsid w:val="06204CD3"/>
    <w:rsid w:val="06D529B0"/>
    <w:rsid w:val="079D0A9B"/>
    <w:rsid w:val="08786A77"/>
    <w:rsid w:val="094E634F"/>
    <w:rsid w:val="09945E9F"/>
    <w:rsid w:val="0A741DE5"/>
    <w:rsid w:val="0CA230CA"/>
    <w:rsid w:val="0D9C090E"/>
    <w:rsid w:val="0F0F194D"/>
    <w:rsid w:val="103F0B95"/>
    <w:rsid w:val="11D074E1"/>
    <w:rsid w:val="11DB761B"/>
    <w:rsid w:val="1254455E"/>
    <w:rsid w:val="14134351"/>
    <w:rsid w:val="14DB46AE"/>
    <w:rsid w:val="152C629E"/>
    <w:rsid w:val="16206A9D"/>
    <w:rsid w:val="18EF0876"/>
    <w:rsid w:val="19D738AD"/>
    <w:rsid w:val="1A371E92"/>
    <w:rsid w:val="1C7050C1"/>
    <w:rsid w:val="1F444335"/>
    <w:rsid w:val="210673C4"/>
    <w:rsid w:val="23771091"/>
    <w:rsid w:val="23B97CC3"/>
    <w:rsid w:val="243D103A"/>
    <w:rsid w:val="24CA12DE"/>
    <w:rsid w:val="25BA5860"/>
    <w:rsid w:val="26095D75"/>
    <w:rsid w:val="276368F4"/>
    <w:rsid w:val="2848266D"/>
    <w:rsid w:val="2ABB589D"/>
    <w:rsid w:val="2ADD43A3"/>
    <w:rsid w:val="2AFF673F"/>
    <w:rsid w:val="2DED531B"/>
    <w:rsid w:val="2E2972ED"/>
    <w:rsid w:val="2F2965ED"/>
    <w:rsid w:val="30C86099"/>
    <w:rsid w:val="36032AAE"/>
    <w:rsid w:val="366372FB"/>
    <w:rsid w:val="373547A4"/>
    <w:rsid w:val="37714421"/>
    <w:rsid w:val="37D44212"/>
    <w:rsid w:val="37EA0112"/>
    <w:rsid w:val="3A872C19"/>
    <w:rsid w:val="3B584782"/>
    <w:rsid w:val="3B7071B5"/>
    <w:rsid w:val="3C153CA2"/>
    <w:rsid w:val="3CAA2ACD"/>
    <w:rsid w:val="3F854CC8"/>
    <w:rsid w:val="4154383A"/>
    <w:rsid w:val="4279697B"/>
    <w:rsid w:val="43C94921"/>
    <w:rsid w:val="45D91EA3"/>
    <w:rsid w:val="478E1476"/>
    <w:rsid w:val="47D301DD"/>
    <w:rsid w:val="4B9B2D2E"/>
    <w:rsid w:val="4CEE0089"/>
    <w:rsid w:val="4D160DA1"/>
    <w:rsid w:val="4D2D2122"/>
    <w:rsid w:val="4DE232CC"/>
    <w:rsid w:val="4E3470F7"/>
    <w:rsid w:val="4E66166B"/>
    <w:rsid w:val="4ED92217"/>
    <w:rsid w:val="4F2B59F4"/>
    <w:rsid w:val="4F690B86"/>
    <w:rsid w:val="4F8B4F5C"/>
    <w:rsid w:val="53615C83"/>
    <w:rsid w:val="5428123A"/>
    <w:rsid w:val="542C4C76"/>
    <w:rsid w:val="569D1F29"/>
    <w:rsid w:val="57057040"/>
    <w:rsid w:val="58410D84"/>
    <w:rsid w:val="5B3D396C"/>
    <w:rsid w:val="5C472DE6"/>
    <w:rsid w:val="5D9873E7"/>
    <w:rsid w:val="5FA23B48"/>
    <w:rsid w:val="60126860"/>
    <w:rsid w:val="6069383E"/>
    <w:rsid w:val="625F273C"/>
    <w:rsid w:val="62643CF8"/>
    <w:rsid w:val="626C71D7"/>
    <w:rsid w:val="64DA2310"/>
    <w:rsid w:val="66CB752C"/>
    <w:rsid w:val="66F04148"/>
    <w:rsid w:val="670C0300"/>
    <w:rsid w:val="67871E57"/>
    <w:rsid w:val="6A4F6AA4"/>
    <w:rsid w:val="6C23532C"/>
    <w:rsid w:val="6DA437A6"/>
    <w:rsid w:val="6F345300"/>
    <w:rsid w:val="70B3757F"/>
    <w:rsid w:val="70D37325"/>
    <w:rsid w:val="71193BA7"/>
    <w:rsid w:val="76430A1D"/>
    <w:rsid w:val="765A05BC"/>
    <w:rsid w:val="779558B4"/>
    <w:rsid w:val="78D63C88"/>
    <w:rsid w:val="79886997"/>
    <w:rsid w:val="7DA5455D"/>
    <w:rsid w:val="7DB47F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0"/>
    <w:unhideWhenUsed/>
    <w:qFormat/>
    <w:uiPriority w:val="99"/>
    <w:pPr>
      <w:spacing w:after="120"/>
    </w:pPr>
  </w:style>
  <w:style w:type="paragraph" w:styleId="14">
    <w:name w:val="Body Text 2"/>
    <w:basedOn w:val="1"/>
    <w:link w:val="151"/>
    <w:unhideWhenUsed/>
    <w:qFormat/>
    <w:uiPriority w:val="99"/>
    <w:pPr>
      <w:spacing w:after="120" w:line="480" w:lineRule="auto"/>
    </w:pPr>
  </w:style>
  <w:style w:type="paragraph" w:styleId="15">
    <w:name w:val="Body Text 3"/>
    <w:basedOn w:val="1"/>
    <w:link w:val="152"/>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2"/>
    <w:unhideWhenUsed/>
    <w:qFormat/>
    <w:uiPriority w:val="99"/>
    <w:pPr>
      <w:tabs>
        <w:tab w:val="center" w:pos="4680"/>
        <w:tab w:val="right" w:pos="9360"/>
      </w:tabs>
      <w:spacing w:after="0" w:line="240" w:lineRule="auto"/>
    </w:pPr>
  </w:style>
  <w:style w:type="paragraph" w:styleId="19">
    <w:name w:val="header"/>
    <w:basedOn w:val="1"/>
    <w:link w:val="141"/>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semiHidden/>
    <w:unhideWhenUsed/>
    <w:qFormat/>
    <w:uiPriority w:val="39"/>
  </w:style>
  <w:style w:type="paragraph" w:styleId="41">
    <w:name w:val="toc 2"/>
    <w:basedOn w:val="1"/>
    <w:next w:val="1"/>
    <w:semiHidden/>
    <w:unhideWhenUsed/>
    <w:qFormat/>
    <w:uiPriority w:val="39"/>
    <w:pPr>
      <w:ind w:left="420" w:leftChars="200"/>
    </w:pPr>
  </w:style>
  <w:style w:type="paragraph" w:styleId="42">
    <w:name w:val="toc 3"/>
    <w:basedOn w:val="1"/>
    <w:next w:val="1"/>
    <w:semiHidden/>
    <w:unhideWhenUsed/>
    <w:qFormat/>
    <w:uiPriority w:val="39"/>
    <w:pPr>
      <w:ind w:left="840" w:leftChars="400"/>
    </w:pPr>
  </w:style>
  <w:style w:type="table" w:styleId="43">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qFormat/>
    <w:uiPriority w:val="99"/>
  </w:style>
  <w:style w:type="character" w:customStyle="1" w:styleId="151">
    <w:name w:val="Body Text 2 Char"/>
    <w:basedOn w:val="11"/>
    <w:link w:val="14"/>
    <w:qFormat/>
    <w:uiPriority w:val="99"/>
  </w:style>
  <w:style w:type="character" w:customStyle="1" w:styleId="152">
    <w:name w:val="Body Text 3 Char"/>
    <w:basedOn w:val="11"/>
    <w:link w:val="15"/>
    <w:qFormat/>
    <w:uiPriority w:val="99"/>
    <w:rPr>
      <w:sz w:val="16"/>
      <w:szCs w:val="16"/>
    </w:rPr>
  </w:style>
  <w:style w:type="character" w:customStyle="1" w:styleId="153">
    <w:name w:val="Macro Text Char"/>
    <w:basedOn w:val="11"/>
    <w:link w:val="34"/>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qFormat/>
    <w:uiPriority w:val="29"/>
    <w:rPr>
      <w:i/>
      <w:iCs/>
      <w:color w:val="000000" w:themeColor="text1"/>
      <w14:textFill>
        <w14:solidFill>
          <w14:schemeClr w14:val="tx1"/>
        </w14:solidFill>
      </w14:textFill>
    </w:rPr>
  </w:style>
  <w:style w:type="character" w:customStyle="1" w:styleId="156">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qFormat/>
    <w:uiPriority w:val="30"/>
    <w:rPr>
      <w:b/>
      <w:bCs/>
      <w:i/>
      <w:iCs/>
      <w:color w:val="4F81BD" w:themeColor="accent1"/>
      <w14:textFill>
        <w14:solidFill>
          <w14:schemeClr w14:val="accent1"/>
        </w14:solidFill>
      </w14:textFill>
    </w:rPr>
  </w:style>
  <w:style w:type="character" w:customStyle="1" w:styleId="1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1"/>
    <w:qFormat/>
    <w:uiPriority w:val="21"/>
    <w:rPr>
      <w:b/>
      <w:bCs/>
      <w:i/>
      <w:iCs/>
      <w:color w:val="4F81BD" w:themeColor="accent1"/>
      <w14:textFill>
        <w14:solidFill>
          <w14:schemeClr w14:val="accent1"/>
        </w14:solidFill>
      </w14:textFill>
    </w:rPr>
  </w:style>
  <w:style w:type="character" w:customStyle="1" w:styleId="166">
    <w:name w:val="Subtle Reference"/>
    <w:basedOn w:val="11"/>
    <w:qFormat/>
    <w:uiPriority w:val="31"/>
    <w:rPr>
      <w:smallCaps/>
      <w:color w:val="C0504D" w:themeColor="accent2"/>
      <w:u w:val="single"/>
      <w14:textFill>
        <w14:solidFill>
          <w14:schemeClr w14:val="accent2"/>
        </w14:solidFill>
      </w14:textFill>
    </w:rPr>
  </w:style>
  <w:style w:type="character" w:customStyle="1" w:styleId="1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1"/>
    <w:qFormat/>
    <w:uiPriority w:val="33"/>
    <w:rPr>
      <w:b/>
      <w:bCs/>
      <w:smallCaps/>
      <w:spacing w:val="5"/>
    </w:rPr>
  </w:style>
  <w:style w:type="paragraph" w:customStyle="1" w:styleId="169">
    <w:name w:val="TOC Heading"/>
    <w:basedOn w:val="2"/>
    <w:next w:val="1"/>
    <w:semiHidden/>
    <w:unhideWhenUsed/>
    <w:qFormat/>
    <w:uiPriority w:val="39"/>
    <w:pPr>
      <w:outlineLvl w:val="9"/>
    </w:pPr>
  </w:style>
  <w:style w:type="paragraph" w:customStyle="1" w:styleId="170">
    <w:name w:val="CodeBlock"/>
    <w:qFormat/>
    <w:uiPriority w:val="0"/>
    <w:pPr>
      <w:spacing w:after="200" w:line="276" w:lineRule="auto"/>
    </w:pPr>
    <w:rPr>
      <w:rFonts w:ascii="Courier New" w:hAnsi="Courier New" w:eastAsiaTheme="minorEastAsia"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1415</Words>
  <Characters>7914</Characters>
  <Lines>0</Lines>
  <Paragraphs>0</Paragraphs>
  <TotalTime>0</TotalTime>
  <ScaleCrop>false</ScaleCrop>
  <LinksUpToDate>false</LinksUpToDate>
  <CharactersWithSpaces>9272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leonardo perez</cp:lastModifiedBy>
  <dcterms:modified xsi:type="dcterms:W3CDTF">2026-08-30T22:35:07Z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FEB4078F1E87419BAB81ADB14B733B3F_13</vt:lpwstr>
  </property>
  <property fmtid="{D5CDD505-2E9C-101B-9397-08002B2CF9AE}" pid="4" name="KSOTemplateDocerSaveRecord">
    <vt:lpwstr>eyJoZGlkIjoiNTM2OGE4NGNiMDU0YzlhY2Y0OGI0NmUwNDM5YjZiZWIiLCJ1c2VySWQiOiIyMjE2ODQxNjMyNjQ4In0=</vt:lpwstr>
  </property>
</Properties>
</file>