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7694E" w14:textId="77777777" w:rsidR="009E65F6" w:rsidRPr="000D7EEA" w:rsidRDefault="009E65F6" w:rsidP="009E65F6">
      <w:pPr>
        <w:rPr>
          <w:i/>
          <w:iCs/>
        </w:rPr>
      </w:pPr>
      <w:bookmarkStart w:id="0" w:name="_Toc100844059"/>
      <w:r>
        <w:rPr>
          <w:rStyle w:val="Heading1Char"/>
        </w:rPr>
        <w:t xml:space="preserve">2. </w:t>
      </w:r>
      <w:bookmarkEnd w:id="0"/>
      <w:r w:rsidRPr="5939DA62">
        <w:rPr>
          <w:rStyle w:val="Heading1Char"/>
        </w:rPr>
        <w:t>Onderwijsleeromgeving</w:t>
      </w:r>
      <w:r>
        <w:br/>
      </w:r>
      <w:r w:rsidRPr="000D7EEA">
        <w:rPr>
          <w:i/>
          <w:iCs/>
        </w:rPr>
        <w:t>Het programma, de onderwijsleeromgeving en de kwaliteit van het docententeam maken het voor de instromende studenten mogelijk de beoogde leerresultaten te realiseren.</w:t>
      </w:r>
    </w:p>
    <w:p w14:paraId="05AF76D5" w14:textId="77777777" w:rsidR="009E65F6" w:rsidRDefault="009E65F6" w:rsidP="009E65F6"/>
    <w:p w14:paraId="3DD0DB11" w14:textId="1070EB94" w:rsidR="00000997" w:rsidRDefault="00000997" w:rsidP="009E65F6">
      <w:pPr>
        <w:pStyle w:val="Heading2"/>
      </w:pPr>
      <w:bookmarkStart w:id="1" w:name="_Toc100844060"/>
    </w:p>
    <w:p w14:paraId="71DA26AA" w14:textId="7600F11C" w:rsidR="00000997" w:rsidRDefault="00000997" w:rsidP="00000997">
      <w:pPr>
        <w:rPr>
          <w:b/>
          <w:bCs/>
          <w:sz w:val="22"/>
          <w:szCs w:val="22"/>
        </w:rPr>
      </w:pPr>
      <w:r w:rsidRPr="00000997">
        <w:rPr>
          <w:b/>
          <w:bCs/>
          <w:sz w:val="22"/>
          <w:szCs w:val="22"/>
        </w:rPr>
        <w:t>Ons onderwijs</w:t>
      </w:r>
    </w:p>
    <w:p w14:paraId="2179E55A" w14:textId="77777777" w:rsidR="00000997" w:rsidRDefault="00000997" w:rsidP="00000997">
      <w:pPr>
        <w:pStyle w:val="Heading2"/>
      </w:pPr>
      <w:r>
        <w:t>2.1 Onderwijsvisie en didactiek</w:t>
      </w:r>
    </w:p>
    <w:p w14:paraId="742D68A0" w14:textId="77777777" w:rsidR="00752499" w:rsidRDefault="00000997" w:rsidP="00000997">
      <w:r>
        <w:t xml:space="preserve">CMD Amsterdam is een bacheloropleiding en neemt een leidende rol in de digitale interactieve ontwerp-industrie en haar toekomst. Dit doen we door onze expertise en educatieve aanpak zo te ontwikkelen, dat de huidige en toekomstige ontwerpers de planetaire behoefte, c.q. waarden, ondersteunen en bevorderen met digitale interactieve technologie. Wij inspireren onze studenten om een betere (digitale) wereld te ontwerpen en te realiseren. Daarbij staan vijf waarden centraal </w:t>
      </w:r>
      <w:r w:rsidRPr="006B2E80">
        <w:rPr>
          <w:highlight w:val="yellow"/>
        </w:rPr>
        <w:t>(</w:t>
      </w:r>
      <w:r w:rsidRPr="00FD748A">
        <w:rPr>
          <w:highlight w:val="yellow"/>
        </w:rPr>
        <w:t>zie ook</w:t>
      </w:r>
      <w:r w:rsidR="00FD748A">
        <w:rPr>
          <w:highlight w:val="yellow"/>
        </w:rPr>
        <w:t>:</w:t>
      </w:r>
      <w:r w:rsidRPr="00FD748A">
        <w:rPr>
          <w:highlight w:val="yellow"/>
        </w:rPr>
        <w:t xml:space="preserve"> visie </w:t>
      </w:r>
      <w:r w:rsidR="00FD748A" w:rsidRPr="00FD748A">
        <w:rPr>
          <w:highlight w:val="yellow"/>
        </w:rPr>
        <w:t xml:space="preserve">op </w:t>
      </w:r>
      <w:r w:rsidR="00FD748A" w:rsidRPr="00840E8A">
        <w:rPr>
          <w:highlight w:val="yellow"/>
        </w:rPr>
        <w:t>onderwijs</w:t>
      </w:r>
      <w:r w:rsidR="00840E8A" w:rsidRPr="00840E8A">
        <w:rPr>
          <w:highlight w:val="yellow"/>
        </w:rPr>
        <w:t xml:space="preserve"> p.9 e.v.</w:t>
      </w:r>
      <w:r w:rsidRPr="00840E8A">
        <w:rPr>
          <w:highlight w:val="yellow"/>
        </w:rPr>
        <w:t>):</w:t>
      </w:r>
      <w:r>
        <w:t xml:space="preserve"> creativiteit, </w:t>
      </w:r>
      <w:proofErr w:type="spellStart"/>
      <w:r>
        <w:t>humanity</w:t>
      </w:r>
      <w:proofErr w:type="spellEnd"/>
      <w:r>
        <w:t xml:space="preserve"> </w:t>
      </w:r>
      <w:proofErr w:type="spellStart"/>
      <w:r>
        <w:t>centred</w:t>
      </w:r>
      <w:proofErr w:type="spellEnd"/>
      <w:r>
        <w:t xml:space="preserve"> design, </w:t>
      </w:r>
      <w:proofErr w:type="spellStart"/>
      <w:r>
        <w:t>reflective</w:t>
      </w:r>
      <w:proofErr w:type="spellEnd"/>
      <w:r>
        <w:t xml:space="preserve"> </w:t>
      </w:r>
      <w:proofErr w:type="spellStart"/>
      <w:r>
        <w:t>practice</w:t>
      </w:r>
      <w:proofErr w:type="spellEnd"/>
      <w:r>
        <w:t>, betrokkenheid en ethisch bewustzijn.</w:t>
      </w:r>
      <w:r w:rsidR="00752499">
        <w:t xml:space="preserve"> </w:t>
      </w:r>
    </w:p>
    <w:p w14:paraId="45D73318" w14:textId="77777777" w:rsidR="00752499" w:rsidRDefault="00752499" w:rsidP="00000997"/>
    <w:p w14:paraId="414DD339" w14:textId="08C7A9B6" w:rsidR="00000997" w:rsidRDefault="00752499" w:rsidP="00000997">
      <w:r>
        <w:t xml:space="preserve">Daarnaast is een belangrijk </w:t>
      </w:r>
      <w:r w:rsidR="00093515">
        <w:t>kenmerk</w:t>
      </w:r>
      <w:r>
        <w:t xml:space="preserve"> </w:t>
      </w:r>
      <w:r w:rsidR="00093515">
        <w:t xml:space="preserve">van CMD Amsterdam de community. Deze bestaat uit </w:t>
      </w:r>
      <w:r>
        <w:t xml:space="preserve">o.a. uit </w:t>
      </w:r>
      <w:r w:rsidR="00093515">
        <w:t xml:space="preserve">studenten, </w:t>
      </w:r>
      <w:r>
        <w:t xml:space="preserve">alumni, </w:t>
      </w:r>
      <w:r w:rsidR="00093515">
        <w:t xml:space="preserve">docenten/onderzoekers, </w:t>
      </w:r>
      <w:r>
        <w:t xml:space="preserve">ondersteunend personeel, samenwerkingspartners en lectoraten. In deze community leren we van elkaar en werken we samen aan projecten om onze visie te realiseren. De onderwijsaanpak die we hiervoor hanteren </w:t>
      </w:r>
      <w:r w:rsidR="00000997">
        <w:t>is gebaseerd op het ontwerpstudio-model. Studenten krijgen contextrijke problemen aangeboden om op te lossen en werken aan projecten uit de praktijk. Ze leren beroepsmatig handelen waarbij we de volgende uitgangspunten hebben (</w:t>
      </w:r>
      <w:r w:rsidR="00000997" w:rsidRPr="00840E8A">
        <w:rPr>
          <w:highlight w:val="yellow"/>
        </w:rPr>
        <w:t xml:space="preserve">zie </w:t>
      </w:r>
      <w:r w:rsidR="00840E8A" w:rsidRPr="00840E8A">
        <w:rPr>
          <w:highlight w:val="yellow"/>
        </w:rPr>
        <w:t>ook: visie op onderwijs p.16 e.v.)</w:t>
      </w:r>
    </w:p>
    <w:p w14:paraId="61AD0DA4" w14:textId="77777777" w:rsidR="00000997" w:rsidRDefault="00000997" w:rsidP="00000997">
      <w:pPr>
        <w:pStyle w:val="ListParagraph"/>
        <w:numPr>
          <w:ilvl w:val="0"/>
          <w:numId w:val="1"/>
        </w:numPr>
        <w:ind w:left="567" w:hanging="349"/>
      </w:pPr>
      <w:r>
        <w:t xml:space="preserve">Iedereen in onze community leert en leren staat centraal </w:t>
      </w:r>
    </w:p>
    <w:p w14:paraId="46F147E9" w14:textId="2DBB72D4" w:rsidR="00000997" w:rsidRDefault="00000997" w:rsidP="00000997">
      <w:pPr>
        <w:pStyle w:val="ListParagraph"/>
        <w:numPr>
          <w:ilvl w:val="0"/>
          <w:numId w:val="1"/>
        </w:numPr>
        <w:ind w:left="567" w:hanging="349"/>
      </w:pPr>
      <w:r>
        <w:t>De inhoud definieert onze aanpak en zorgt voor cohesie</w:t>
      </w:r>
      <w:r w:rsidR="00840E8A">
        <w:t xml:space="preserve">: het kader digital </w:t>
      </w:r>
      <w:proofErr w:type="spellStart"/>
      <w:r w:rsidR="00840E8A">
        <w:t>interactive</w:t>
      </w:r>
      <w:proofErr w:type="spellEnd"/>
      <w:r w:rsidR="00840E8A">
        <w:t xml:space="preserve"> design zorgt voor een gemeenschappelijke taal die de community verbindt.</w:t>
      </w:r>
    </w:p>
    <w:p w14:paraId="31608EBC" w14:textId="1DD28F0B" w:rsidR="00000997" w:rsidRDefault="00000997" w:rsidP="00000997">
      <w:pPr>
        <w:pStyle w:val="ListParagraph"/>
        <w:numPr>
          <w:ilvl w:val="0"/>
          <w:numId w:val="1"/>
        </w:numPr>
        <w:ind w:left="567" w:hanging="349"/>
      </w:pPr>
      <w:r>
        <w:t xml:space="preserve">We zijn praktijkgericht en gebruiken theorie om </w:t>
      </w:r>
      <w:r w:rsidR="00D60CF0">
        <w:t xml:space="preserve">deze </w:t>
      </w:r>
      <w:r>
        <w:t xml:space="preserve">praktijk </w:t>
      </w:r>
      <w:r w:rsidR="00D60CF0">
        <w:t>te ondersteunen</w:t>
      </w:r>
    </w:p>
    <w:p w14:paraId="60509B03" w14:textId="77777777" w:rsidR="00000997" w:rsidRDefault="00000997" w:rsidP="00000997">
      <w:pPr>
        <w:pStyle w:val="ListParagraph"/>
        <w:numPr>
          <w:ilvl w:val="0"/>
          <w:numId w:val="1"/>
        </w:numPr>
        <w:ind w:left="567" w:hanging="349"/>
      </w:pPr>
      <w:r>
        <w:t xml:space="preserve">We zorgen voor een veilige en stimulerende </w:t>
      </w:r>
      <w:proofErr w:type="spellStart"/>
      <w:r>
        <w:t>learning</w:t>
      </w:r>
      <w:proofErr w:type="spellEnd"/>
      <w:r>
        <w:t xml:space="preserve"> community</w:t>
      </w:r>
    </w:p>
    <w:p w14:paraId="0F579E54" w14:textId="035B3E02" w:rsidR="00000997" w:rsidRDefault="00000997" w:rsidP="00000997">
      <w:pPr>
        <w:pStyle w:val="ListParagraph"/>
        <w:numPr>
          <w:ilvl w:val="0"/>
          <w:numId w:val="1"/>
        </w:numPr>
        <w:ind w:left="567" w:hanging="349"/>
      </w:pPr>
      <w:r>
        <w:t xml:space="preserve">Beoordelingen </w:t>
      </w:r>
      <w:r w:rsidR="00D60CF0">
        <w:t>zijn</w:t>
      </w:r>
      <w:r>
        <w:t xml:space="preserve"> </w:t>
      </w:r>
      <w:r w:rsidR="00D60CF0">
        <w:t xml:space="preserve">veelal </w:t>
      </w:r>
      <w:r>
        <w:t>holistisch en reflectie</w:t>
      </w:r>
      <w:r w:rsidR="00D60CF0">
        <w:t xml:space="preserve"> van de student is hierin een belangrijk onderdeel </w:t>
      </w:r>
    </w:p>
    <w:p w14:paraId="2F61C6FF" w14:textId="198AC506" w:rsidR="00000997" w:rsidRDefault="00000997" w:rsidP="00000997">
      <w:pPr>
        <w:pStyle w:val="ListParagraph"/>
        <w:numPr>
          <w:ilvl w:val="0"/>
          <w:numId w:val="1"/>
        </w:numPr>
        <w:ind w:left="567" w:hanging="349"/>
      </w:pPr>
      <w:r>
        <w:t xml:space="preserve">Experimenten en onderzoek vormen de basis van de dialoog die </w:t>
      </w:r>
      <w:r w:rsidR="00D60CF0">
        <w:t>de community</w:t>
      </w:r>
      <w:r>
        <w:t xml:space="preserve"> </w:t>
      </w:r>
      <w:r w:rsidR="00D00BDC">
        <w:t>vooruitbrengt</w:t>
      </w:r>
    </w:p>
    <w:p w14:paraId="551BED3E" w14:textId="77777777" w:rsidR="00000997" w:rsidRDefault="00000997" w:rsidP="00000997"/>
    <w:p w14:paraId="2B693DBD" w14:textId="672F58A5" w:rsidR="00000997" w:rsidRDefault="00000997" w:rsidP="00000997">
      <w:pPr>
        <w:pStyle w:val="Heading2"/>
      </w:pPr>
      <w:bookmarkStart w:id="2" w:name="_Toc100844061"/>
      <w:r>
        <w:t>2.2 Curriculumopbouw</w:t>
      </w:r>
      <w:bookmarkEnd w:id="2"/>
    </w:p>
    <w:p w14:paraId="7F7249CF" w14:textId="1896E7D3" w:rsidR="00000997" w:rsidRDefault="006B2E80" w:rsidP="00000997">
      <w:r>
        <w:t>D</w:t>
      </w:r>
      <w:r w:rsidR="00000997" w:rsidRPr="00F9280C">
        <w:t xml:space="preserve">e opleiding </w:t>
      </w:r>
      <w:r>
        <w:t xml:space="preserve">is </w:t>
      </w:r>
      <w:r w:rsidR="00000997" w:rsidRPr="00F9280C">
        <w:t>in drie fasen verdeeld</w:t>
      </w:r>
      <w:r w:rsidR="00000997">
        <w:t xml:space="preserve"> </w:t>
      </w:r>
      <w:r w:rsidR="001A4155">
        <w:t>die op elkaar voortbouwen</w:t>
      </w:r>
      <w:r>
        <w:t xml:space="preserve"> </w:t>
      </w:r>
      <w:r w:rsidR="00000997">
        <w:t>(</w:t>
      </w:r>
      <w:r w:rsidR="00000997" w:rsidRPr="00B167EE">
        <w:rPr>
          <w:highlight w:val="yellow"/>
        </w:rPr>
        <w:t>zie</w:t>
      </w:r>
      <w:r w:rsidR="00000997" w:rsidRPr="006B2E80">
        <w:rPr>
          <w:highlight w:val="yellow"/>
        </w:rPr>
        <w:t xml:space="preserve"> </w:t>
      </w:r>
      <w:r w:rsidR="00D60CF0">
        <w:rPr>
          <w:highlight w:val="yellow"/>
        </w:rPr>
        <w:t xml:space="preserve">ook: </w:t>
      </w:r>
      <w:r w:rsidR="00000997" w:rsidRPr="006B2E80">
        <w:rPr>
          <w:highlight w:val="yellow"/>
        </w:rPr>
        <w:t>gedetailleerd overzicht van het curriculum</w:t>
      </w:r>
      <w:r w:rsidR="001A4155">
        <w:t>):</w:t>
      </w:r>
    </w:p>
    <w:p w14:paraId="5E867558" w14:textId="77777777" w:rsidR="00000997" w:rsidRDefault="00000997" w:rsidP="00000997">
      <w:pPr>
        <w:pStyle w:val="ListParagraph"/>
        <w:numPr>
          <w:ilvl w:val="0"/>
          <w:numId w:val="2"/>
        </w:numPr>
        <w:ind w:left="567"/>
      </w:pPr>
      <w:r>
        <w:t xml:space="preserve">Het fundament - 1,5 jaar – Iedere student krijgt dezelfde basiskennis door vakken op het gebied van interactie, techniek, vormgeving en ontwerpen te volgen. Naast de vakken voeren onze studenten projecten uit waar zowel nieuwe kennis een vaardigheden worden opgedaan als ook het geleerde in een praktijkprobleem wordt toegepast. </w:t>
      </w:r>
    </w:p>
    <w:p w14:paraId="6750A794" w14:textId="3E9EB1B4" w:rsidR="00000997" w:rsidRDefault="00000997" w:rsidP="00000997">
      <w:pPr>
        <w:pStyle w:val="ListParagraph"/>
        <w:numPr>
          <w:ilvl w:val="0"/>
          <w:numId w:val="2"/>
        </w:numPr>
        <w:ind w:left="567"/>
      </w:pPr>
      <w:r>
        <w:t xml:space="preserve">De profilering - 1,5 jaar - De profilering begint met de keuze voor één van de profileringsprojecten (Tech, Visual, </w:t>
      </w:r>
      <w:proofErr w:type="spellStart"/>
      <w:r>
        <w:t>Interaction</w:t>
      </w:r>
      <w:proofErr w:type="spellEnd"/>
      <w:r>
        <w:t xml:space="preserve"> of Design </w:t>
      </w:r>
      <w:proofErr w:type="spellStart"/>
      <w:r>
        <w:t>across</w:t>
      </w:r>
      <w:proofErr w:type="spellEnd"/>
      <w:r>
        <w:t xml:space="preserve"> borders). Daarna volgt de korte stage of </w:t>
      </w:r>
      <w:r w:rsidRPr="001A4155">
        <w:rPr>
          <w:highlight w:val="yellow"/>
        </w:rPr>
        <w:t>CMD Agency</w:t>
      </w:r>
      <w:r w:rsidR="006B2E80">
        <w:t xml:space="preserve"> </w:t>
      </w:r>
      <w:r>
        <w:t xml:space="preserve">waarin studenten hun identiteit als ontwerper verder gaan ontwikkelen. In de profilering zijn de inhoudelijke modules expliciet gekoppeld aan de projecten. In het derde jaar volgen studenten twee </w:t>
      </w:r>
      <w:proofErr w:type="spellStart"/>
      <w:r>
        <w:t>minoren</w:t>
      </w:r>
      <w:proofErr w:type="spellEnd"/>
      <w:r>
        <w:t xml:space="preserve"> naar keuze (waarvan minimaal een CMD-eigen minor).  </w:t>
      </w:r>
    </w:p>
    <w:p w14:paraId="1C39C736" w14:textId="5AA9C95C" w:rsidR="00000997" w:rsidRPr="00000997" w:rsidRDefault="00000997" w:rsidP="00000997">
      <w:pPr>
        <w:pStyle w:val="ListParagraph"/>
        <w:numPr>
          <w:ilvl w:val="0"/>
          <w:numId w:val="2"/>
        </w:numPr>
        <w:ind w:left="567"/>
        <w:rPr>
          <w:b/>
          <w:bCs/>
        </w:rPr>
      </w:pPr>
      <w:r>
        <w:t xml:space="preserve">Het afstuderen - 1 jaar - De lange stage begint </w:t>
      </w:r>
      <w:r w:rsidR="001A4155">
        <w:t>in de regel</w:t>
      </w:r>
      <w:r>
        <w:t xml:space="preserve"> voorafgaand aan het afstudeerproject. Met het oog op studeerbaarheid en flexibiliteit mag deze aangevangen worden na afronding van het tweede studiejaar.</w:t>
      </w:r>
      <w:r w:rsidRPr="573AF587">
        <w:rPr>
          <w:rStyle w:val="CommentReference"/>
        </w:rPr>
        <w:t xml:space="preserve"> </w:t>
      </w:r>
      <w:r>
        <w:t xml:space="preserve">De studie wordt afgesloten met het afstudeerproject, de Meesterproef. Studenten gaan vaak aan de slag met een opdracht bij het bedrijf waar ze stage hebben gelopen. Er zijn ook studenten die op eigen initiatief een </w:t>
      </w:r>
      <w:r>
        <w:lastRenderedPageBreak/>
        <w:t xml:space="preserve">maatschappelijk probleem aanpakken en daarbij een belanghebbende uit de praktijk betrekken. </w:t>
      </w:r>
    </w:p>
    <w:p w14:paraId="24DCAF63" w14:textId="77777777" w:rsidR="00000997" w:rsidRPr="006E6BE2" w:rsidRDefault="00000997" w:rsidP="00000997">
      <w:pPr>
        <w:pStyle w:val="ListParagraph"/>
        <w:ind w:left="567"/>
        <w:rPr>
          <w:b/>
          <w:bCs/>
        </w:rPr>
      </w:pPr>
    </w:p>
    <w:p w14:paraId="7DDC00C0" w14:textId="558F76D0" w:rsidR="00000997" w:rsidRDefault="00000997" w:rsidP="00000997">
      <w:pPr>
        <w:pStyle w:val="Heading2"/>
      </w:pPr>
      <w:bookmarkStart w:id="3" w:name="_Toc100844067"/>
      <w:r>
        <w:t>2.</w:t>
      </w:r>
      <w:r w:rsidR="006B2E80">
        <w:t>3</w:t>
      </w:r>
      <w:r>
        <w:t xml:space="preserve"> Borging onderwijskwaliteit</w:t>
      </w:r>
      <w:bookmarkEnd w:id="3"/>
    </w:p>
    <w:p w14:paraId="7C15B6E3" w14:textId="691413B7" w:rsidR="00000997" w:rsidRDefault="00000997" w:rsidP="00000997">
      <w:pPr>
        <w:rPr>
          <w:rFonts w:eastAsia="Calibri"/>
          <w:color w:val="000000" w:themeColor="text1"/>
        </w:rPr>
      </w:pPr>
      <w:r w:rsidRPr="573AF587">
        <w:rPr>
          <w:rFonts w:eastAsia="Calibri"/>
          <w:color w:val="000000" w:themeColor="text1"/>
        </w:rPr>
        <w:t xml:space="preserve">De kwaliteit van het onderwijs en van de opleiding wordt op verschillende manieren gewaarborgd. Elk vak wordt door studenten geëvalueerd </w:t>
      </w:r>
      <w:r w:rsidR="006B2E80">
        <w:rPr>
          <w:rFonts w:eastAsia="Calibri"/>
          <w:color w:val="000000" w:themeColor="text1"/>
        </w:rPr>
        <w:t>met</w:t>
      </w:r>
      <w:r w:rsidRPr="573AF587">
        <w:rPr>
          <w:rFonts w:eastAsia="Calibri"/>
          <w:color w:val="000000" w:themeColor="text1"/>
        </w:rPr>
        <w:t xml:space="preserve"> een </w:t>
      </w:r>
      <w:r>
        <w:rPr>
          <w:rFonts w:eastAsia="Calibri"/>
          <w:color w:val="000000" w:themeColor="text1"/>
        </w:rPr>
        <w:t xml:space="preserve">anonieme </w:t>
      </w:r>
      <w:r w:rsidRPr="573AF587">
        <w:rPr>
          <w:rFonts w:eastAsia="Calibri"/>
          <w:color w:val="000000" w:themeColor="text1"/>
        </w:rPr>
        <w:t>vragenlijst, waarin wordt gevraagd naar onder meer de verwachtingen, de sfeer, de kwaliteit van de feedback, de toetsing en de</w:t>
      </w:r>
      <w:r>
        <w:rPr>
          <w:rFonts w:eastAsia="Calibri"/>
          <w:color w:val="000000" w:themeColor="text1"/>
        </w:rPr>
        <w:t xml:space="preserve"> didactische vaardigheden</w:t>
      </w:r>
      <w:r w:rsidRPr="573AF587">
        <w:rPr>
          <w:rFonts w:eastAsia="Calibri"/>
          <w:color w:val="000000" w:themeColor="text1"/>
        </w:rPr>
        <w:t xml:space="preserve"> van de docent. Ook krijgen studenten de ruimte om te vertellen wat ze goed en minder goed aan het vak vinden. Door ook naar gegevens over studierendement en slagingspercentages te kijken, </w:t>
      </w:r>
      <w:r w:rsidR="006B2E80">
        <w:rPr>
          <w:rFonts w:eastAsia="Calibri"/>
          <w:color w:val="000000" w:themeColor="text1"/>
        </w:rPr>
        <w:t>krijgen we een</w:t>
      </w:r>
      <w:r w:rsidRPr="573AF587">
        <w:rPr>
          <w:rFonts w:eastAsia="Calibri"/>
          <w:color w:val="000000" w:themeColor="text1"/>
        </w:rPr>
        <w:t xml:space="preserve"> goed </w:t>
      </w:r>
      <w:r w:rsidR="006B2E80">
        <w:rPr>
          <w:rFonts w:eastAsia="Calibri"/>
          <w:color w:val="000000" w:themeColor="text1"/>
        </w:rPr>
        <w:t xml:space="preserve">beeld </w:t>
      </w:r>
      <w:r w:rsidRPr="573AF587">
        <w:rPr>
          <w:rFonts w:eastAsia="Calibri"/>
          <w:color w:val="000000" w:themeColor="text1"/>
        </w:rPr>
        <w:t xml:space="preserve">hoe het de studenten vergaat tijdens de opleiding. </w:t>
      </w:r>
      <w:r>
        <w:rPr>
          <w:rFonts w:eastAsia="Calibri"/>
          <w:color w:val="000000" w:themeColor="text1"/>
        </w:rPr>
        <w:t>Deze gegevens worden meegenomen in de vak/project evaluaties die gebruikt worden ter verbetering van de onderwijsmodules.</w:t>
      </w:r>
    </w:p>
    <w:p w14:paraId="68162D74" w14:textId="77777777" w:rsidR="00000997" w:rsidRPr="00F9280C" w:rsidRDefault="00000997" w:rsidP="00000997"/>
    <w:p w14:paraId="09D60808" w14:textId="17A8651A" w:rsidR="00000997" w:rsidRDefault="00000997" w:rsidP="006B2E80">
      <w:pPr>
        <w:rPr>
          <w:rFonts w:eastAsia="Calibri"/>
          <w:color w:val="000000" w:themeColor="text1"/>
        </w:rPr>
      </w:pPr>
      <w:r w:rsidRPr="0E9C335C">
        <w:rPr>
          <w:rFonts w:eastAsia="Calibri"/>
          <w:color w:val="000000" w:themeColor="text1"/>
        </w:rPr>
        <w:t xml:space="preserve">Naast de </w:t>
      </w:r>
      <w:proofErr w:type="spellStart"/>
      <w:r w:rsidRPr="0E9C335C">
        <w:rPr>
          <w:rFonts w:eastAsia="Calibri"/>
          <w:color w:val="000000" w:themeColor="text1"/>
        </w:rPr>
        <w:t>vakevaluaties</w:t>
      </w:r>
      <w:proofErr w:type="spellEnd"/>
      <w:r w:rsidRPr="0E9C335C">
        <w:rPr>
          <w:rFonts w:eastAsia="Calibri"/>
          <w:color w:val="000000" w:themeColor="text1"/>
        </w:rPr>
        <w:t xml:space="preserve"> vullen studenten ook enkele bredere enquêtes in</w:t>
      </w:r>
      <w:r w:rsidR="006B2E80">
        <w:rPr>
          <w:rFonts w:eastAsia="Calibri"/>
          <w:color w:val="000000" w:themeColor="text1"/>
        </w:rPr>
        <w:t xml:space="preserve">; </w:t>
      </w:r>
      <w:r w:rsidRPr="0E9C335C">
        <w:rPr>
          <w:rFonts w:eastAsia="Calibri"/>
          <w:color w:val="000000" w:themeColor="text1"/>
        </w:rPr>
        <w:t xml:space="preserve">de NSE (Nationale Studentenenquête), de 100dagenmonitor voor eerstejaars, de EXIT-monitor voor studenten die stoppen met de opleiding en de HBO-monitor voor alumni. Al deze evaluaties </w:t>
      </w:r>
      <w:r w:rsidR="006B2E80">
        <w:rPr>
          <w:rFonts w:eastAsia="Calibri"/>
          <w:color w:val="000000" w:themeColor="text1"/>
        </w:rPr>
        <w:t>zijn</w:t>
      </w:r>
      <w:r w:rsidRPr="0E9C335C">
        <w:rPr>
          <w:rFonts w:eastAsia="Calibri"/>
          <w:color w:val="000000" w:themeColor="text1"/>
        </w:rPr>
        <w:t xml:space="preserve"> waardevolle bronnen voor de opleiding. </w:t>
      </w:r>
      <w:r w:rsidRPr="00F9280C">
        <w:rPr>
          <w:rFonts w:eastAsia="Calibri"/>
          <w:color w:val="000000" w:themeColor="text1"/>
        </w:rPr>
        <w:t xml:space="preserve">Naast deze grotendeels kwantitatieve bronnen van informatie </w:t>
      </w:r>
      <w:r w:rsidR="006B2E80">
        <w:rPr>
          <w:rFonts w:eastAsia="Calibri"/>
          <w:color w:val="000000" w:themeColor="text1"/>
        </w:rPr>
        <w:t>gebruiken we ook</w:t>
      </w:r>
      <w:r w:rsidRPr="00F9280C">
        <w:rPr>
          <w:rFonts w:eastAsia="Calibri"/>
          <w:color w:val="000000" w:themeColor="text1"/>
        </w:rPr>
        <w:t xml:space="preserve"> kwalitatieve data. Dit gebeurt onder andere door zogenoemde sense-making sessies met studenten en docenten en door de ruime mogelijkheden van studenten om open feedback te geven. Daarnaast </w:t>
      </w:r>
      <w:r>
        <w:rPr>
          <w:rFonts w:eastAsia="Calibri"/>
          <w:color w:val="000000" w:themeColor="text1"/>
        </w:rPr>
        <w:t>zijn we</w:t>
      </w:r>
      <w:r w:rsidRPr="00F9280C">
        <w:rPr>
          <w:rFonts w:eastAsia="Calibri"/>
          <w:color w:val="000000" w:themeColor="text1"/>
        </w:rPr>
        <w:t xml:space="preserve"> van plan om (meer) panelgesprekken met studenten te organiseren en peerfeedback onder docenten te faciliteren.</w:t>
      </w:r>
    </w:p>
    <w:p w14:paraId="72FEDEA3" w14:textId="77777777" w:rsidR="00000997" w:rsidRDefault="00000997" w:rsidP="00000997">
      <w:pPr>
        <w:pStyle w:val="paragraph"/>
        <w:spacing w:before="0" w:beforeAutospacing="0" w:after="0" w:afterAutospacing="0"/>
        <w:textAlignment w:val="baseline"/>
        <w:rPr>
          <w:rFonts w:ascii="Open Sans" w:eastAsia="Calibri" w:hAnsi="Open Sans" w:cs="Open Sans"/>
          <w:color w:val="000000" w:themeColor="text1"/>
          <w:sz w:val="20"/>
          <w:szCs w:val="20"/>
        </w:rPr>
      </w:pPr>
    </w:p>
    <w:p w14:paraId="36B01B36" w14:textId="77777777" w:rsidR="00000997" w:rsidRPr="00F9280C" w:rsidRDefault="00000997" w:rsidP="00000997">
      <w:pPr>
        <w:pStyle w:val="paragraph"/>
        <w:spacing w:before="0" w:beforeAutospacing="0" w:after="0" w:afterAutospacing="0"/>
        <w:textAlignment w:val="baseline"/>
        <w:rPr>
          <w:rStyle w:val="eop"/>
          <w:rFonts w:ascii="Open Sans" w:hAnsi="Open Sans" w:cs="Open Sans"/>
          <w:sz w:val="20"/>
          <w:szCs w:val="20"/>
        </w:rPr>
      </w:pPr>
      <w:r w:rsidRPr="0E9C335C">
        <w:rPr>
          <w:rFonts w:ascii="Open Sans" w:eastAsia="Calibri" w:hAnsi="Open Sans" w:cs="Open Sans"/>
          <w:color w:val="000000" w:themeColor="text1"/>
          <w:sz w:val="20"/>
          <w:szCs w:val="20"/>
        </w:rPr>
        <w:t>Docenten evalueren in teams hun onderwijseenheden waarbij de feedback van studenten meegenomen wordt in aanpassingen voor volgende keer. Daarnaast blijven docenten up-to-date door het bezoeken van conferenties, andere opleidingen in binnen- en buitenland, workshops, en opleidingen. Ook werken veel docenten parttime bij CMD en daarnaast in het werkveld. Op deze manier blijft ook de inhoud van de vakken en projecten up-to-date.</w:t>
      </w:r>
    </w:p>
    <w:p w14:paraId="5D66E8C1" w14:textId="77777777" w:rsidR="00000997" w:rsidRPr="00000997" w:rsidRDefault="00000997" w:rsidP="00000997">
      <w:pPr>
        <w:rPr>
          <w:b/>
          <w:bCs/>
          <w:sz w:val="22"/>
          <w:szCs w:val="22"/>
        </w:rPr>
      </w:pPr>
    </w:p>
    <w:bookmarkEnd w:id="1"/>
    <w:p w14:paraId="6FEEC5C7" w14:textId="26CC0E51" w:rsidR="009E65F6" w:rsidRPr="00AC5842" w:rsidRDefault="00000997" w:rsidP="009E65F6">
      <w:pPr>
        <w:rPr>
          <w:b/>
          <w:bCs/>
          <w:sz w:val="22"/>
          <w:szCs w:val="22"/>
        </w:rPr>
      </w:pPr>
      <w:r>
        <w:rPr>
          <w:b/>
          <w:bCs/>
          <w:sz w:val="22"/>
          <w:szCs w:val="22"/>
        </w:rPr>
        <w:t>Partners en samenwerking</w:t>
      </w:r>
    </w:p>
    <w:p w14:paraId="36264F6A" w14:textId="370F4BD5" w:rsidR="009E65F6" w:rsidRDefault="009E65F6" w:rsidP="009E65F6">
      <w:pPr>
        <w:pStyle w:val="Heading2"/>
      </w:pPr>
      <w:bookmarkStart w:id="4" w:name="_Toc100844062"/>
      <w:r>
        <w:t>2.</w:t>
      </w:r>
      <w:r w:rsidR="00AC5842">
        <w:t>4</w:t>
      </w:r>
      <w:r>
        <w:t xml:space="preserve"> Onderwijs en praktijk</w:t>
      </w:r>
      <w:bookmarkEnd w:id="4"/>
    </w:p>
    <w:p w14:paraId="76C1738A" w14:textId="77777777" w:rsidR="009E65F6" w:rsidRDefault="009E65F6" w:rsidP="009E65F6">
      <w:r w:rsidRPr="00F9280C">
        <w:t>De relatie met de praktijk is essentieel voor CMD Amsterdam. Ontwikkelingen in ons vakgebied gaan snel en het is daarom noodzakelijk regelmatig te toetsen of wij nog studenten afleveren met relevante kennis en vaardigheden. Samenwerken met het beroepenveld doen wij op verschillende manieren</w:t>
      </w:r>
      <w:r>
        <w:t xml:space="preserve"> (</w:t>
      </w:r>
      <w:r w:rsidRPr="00D9111E">
        <w:rPr>
          <w:highlight w:val="yellow"/>
        </w:rPr>
        <w:t>alle manieren zijn uit te klappen</w:t>
      </w:r>
      <w:r>
        <w:t xml:space="preserve"> </w:t>
      </w:r>
      <w:r w:rsidRPr="00D9111E">
        <w:rPr>
          <w:highlight w:val="yellow"/>
        </w:rPr>
        <w:t>voor meer info</w:t>
      </w:r>
      <w:r>
        <w:t>)</w:t>
      </w:r>
      <w:r w:rsidRPr="00F9280C">
        <w:t xml:space="preserve">: </w:t>
      </w:r>
    </w:p>
    <w:p w14:paraId="767A73C2" w14:textId="77777777" w:rsidR="009E65F6" w:rsidRDefault="009E65F6" w:rsidP="009E65F6">
      <w:pPr>
        <w:rPr>
          <w:i/>
          <w:iCs/>
        </w:rPr>
      </w:pPr>
    </w:p>
    <w:p w14:paraId="52B7D8C7" w14:textId="0C9A6A64" w:rsidR="009E65F6" w:rsidRPr="008E5F41" w:rsidRDefault="00AC5842" w:rsidP="009E65F6">
      <w:pPr>
        <w:rPr>
          <w:i/>
          <w:iCs/>
        </w:rPr>
      </w:pPr>
      <w:r>
        <w:rPr>
          <w:i/>
          <w:iCs/>
        </w:rPr>
        <w:t>O</w:t>
      </w:r>
      <w:r w:rsidR="009E65F6" w:rsidRPr="008E5F41">
        <w:rPr>
          <w:i/>
          <w:iCs/>
        </w:rPr>
        <w:t>rganisaties als opdrachtgever voor projecten, stages</w:t>
      </w:r>
      <w:r w:rsidR="000E073F">
        <w:rPr>
          <w:i/>
          <w:iCs/>
        </w:rPr>
        <w:t xml:space="preserve"> en afstudeerprojecten</w:t>
      </w:r>
    </w:p>
    <w:p w14:paraId="6B8D078F" w14:textId="77777777" w:rsidR="00AC5842" w:rsidRDefault="009E65F6" w:rsidP="009E65F6">
      <w:r w:rsidRPr="00CB0AED">
        <w:t xml:space="preserve">Vanaf het tweede jaar wordt bij projecten vaak samengewerkt met externe projectpartners. In de meeste gevallen komen projectpartners uit het netwerk van de bij het vak betrokken docenten, maar het komt ook voor dat ze worden aangedragen door lectoraten, kenniscentra, </w:t>
      </w:r>
      <w:r w:rsidR="00AC5842">
        <w:t xml:space="preserve">bedrijven, en </w:t>
      </w:r>
      <w:r w:rsidRPr="00CB0AED">
        <w:t xml:space="preserve">de coördinator externe samenwerking. </w:t>
      </w:r>
    </w:p>
    <w:p w14:paraId="36B77886" w14:textId="77777777" w:rsidR="00AC5842" w:rsidRDefault="00AC5842" w:rsidP="009E65F6"/>
    <w:p w14:paraId="72043B82" w14:textId="7035DEFA" w:rsidR="009E65F6" w:rsidRDefault="00BF0E9D" w:rsidP="009E65F6">
      <w:r>
        <w:t xml:space="preserve">Studenten komen naast projectopdrachten ook door </w:t>
      </w:r>
      <w:r w:rsidR="009E65F6" w:rsidRPr="00CB0AED">
        <w:t>twee stageperiodes</w:t>
      </w:r>
      <w:r>
        <w:t xml:space="preserve"> in aanraking met het werkveld. Er is e</w:t>
      </w:r>
      <w:r w:rsidR="009E65F6" w:rsidRPr="00CB0AED">
        <w:t xml:space="preserve">en korte </w:t>
      </w:r>
      <w:r w:rsidR="009E65F6">
        <w:t xml:space="preserve">oriënterende </w:t>
      </w:r>
      <w:r w:rsidR="009E65F6" w:rsidRPr="00CB0AED">
        <w:t xml:space="preserve">stage van 10 weken aan het eind van het fundament </w:t>
      </w:r>
      <w:r>
        <w:t>waarin de studenten</w:t>
      </w:r>
      <w:r w:rsidR="009E65F6">
        <w:t xml:space="preserve"> d</w:t>
      </w:r>
      <w:r w:rsidR="009E65F6" w:rsidRPr="00CB0AED">
        <w:t>e in het fundament verworven competenties in de praktijk</w:t>
      </w:r>
      <w:r>
        <w:t xml:space="preserve"> toetsen</w:t>
      </w:r>
      <w:r w:rsidR="009E65F6" w:rsidRPr="00CB0AED">
        <w:t>. Studenten werken in principe aan alle competenties, maar de nadruk ligt op vier competenties. Eén competentie, multidisciplinair samenwerken, is verplicht, de andere drie kiest de student zelf. Voor de vier competenties formuleren studenten zelf de leerdoelen.</w:t>
      </w:r>
      <w:r w:rsidR="009E65F6">
        <w:t xml:space="preserve"> </w:t>
      </w:r>
      <w:r w:rsidR="009E65F6" w:rsidRPr="00CB0AED">
        <w:t xml:space="preserve">Tijdens de lange stage werken studenten aan de beroepsidentiteit en het (door)ontwikkelen van CMD-competenties. Bij de lange stage zijn de competenties multidisciplinair samenwerken en één van de </w:t>
      </w:r>
      <w:r>
        <w:t>vakgebied c</w:t>
      </w:r>
      <w:r w:rsidR="009E65F6" w:rsidRPr="00CB0AED">
        <w:t>ompetenties verplicht. In totaal werken studenten aan tenminste vijf competenties.</w:t>
      </w:r>
    </w:p>
    <w:p w14:paraId="276BD5AD" w14:textId="77777777" w:rsidR="009E65F6" w:rsidRDefault="009E65F6" w:rsidP="009E65F6"/>
    <w:p w14:paraId="6EF1139A" w14:textId="77777777" w:rsidR="009E65F6" w:rsidRDefault="009E65F6" w:rsidP="009E65F6">
      <w:r>
        <w:rPr>
          <w:i/>
          <w:iCs/>
        </w:rPr>
        <w:lastRenderedPageBreak/>
        <w:t>C</w:t>
      </w:r>
      <w:r w:rsidRPr="00213B57">
        <w:rPr>
          <w:i/>
          <w:iCs/>
        </w:rPr>
        <w:t>MD Agency</w:t>
      </w:r>
    </w:p>
    <w:p w14:paraId="3189FF45" w14:textId="3BB7C143" w:rsidR="009E65F6" w:rsidRDefault="009E65F6" w:rsidP="009E65F6">
      <w:r w:rsidRPr="00CB0AED">
        <w:t xml:space="preserve">Hoewel de korte stage een belangrijke functie heeft in de beroepsvorming van studenten, geven bedrijven aan dat de periode </w:t>
      </w:r>
      <w:r w:rsidR="00BF0E9D">
        <w:t>erg</w:t>
      </w:r>
      <w:r w:rsidRPr="00CB0AED">
        <w:t xml:space="preserve"> kort is om zinvol te zijn. Daarnaast merkten we dat het voor sommige studenten minder toegevoegde waarde heeft. Bijvoorbeeld omdat ze al kennis hebben gemaakt met het bedrijfsleven tijdens de vooropleiding of omdat ze de ambitie hebben om als zelfstandige aan de slag te gaan. Voor deze studenten is CMD Agency opgericht. Studenten kunnen kiezen tussen de korte stage of in teams werken aan echte opdrachten van echte opdrachtgevers. Er is een sollicitatieprocedure waarbij gekeken wordt naar het vermogen om zelfstandig te werken, communicatieve vaardigheden en uiteraard inhoudelijke kennis en skills. </w:t>
      </w:r>
      <w:r w:rsidRPr="00CB0AED">
        <w:br/>
        <w:t xml:space="preserve">De teams zijn grotendeels zelfsturend en zelf verantwoordelijk voor planning en communicatie met de opdrachtgever. Ter ondersteuning van het project, krijgen de studenten een inleiding in SCRUM, daarna overleggen ze met de opdrachtgever die als Product </w:t>
      </w:r>
      <w:proofErr w:type="spellStart"/>
      <w:r w:rsidRPr="00CB0AED">
        <w:t>Owner</w:t>
      </w:r>
      <w:proofErr w:type="spellEnd"/>
      <w:r w:rsidRPr="00CB0AED">
        <w:t xml:space="preserve"> fungeert. Teams krijgen een teamcoach van CMD toegewezen én een individuele docentbegeleider. Verder zijn studentassistenten beschikbaar.</w:t>
      </w:r>
    </w:p>
    <w:p w14:paraId="1612CB84" w14:textId="77777777" w:rsidR="009E65F6" w:rsidRDefault="009E65F6" w:rsidP="009E65F6"/>
    <w:p w14:paraId="6A164B6F" w14:textId="77777777" w:rsidR="009E65F6" w:rsidRPr="008E5F41" w:rsidRDefault="009E65F6" w:rsidP="009E65F6">
      <w:pPr>
        <w:rPr>
          <w:i/>
          <w:iCs/>
        </w:rPr>
      </w:pPr>
      <w:proofErr w:type="gramStart"/>
      <w:r w:rsidRPr="008E5F41">
        <w:rPr>
          <w:i/>
          <w:iCs/>
        </w:rPr>
        <w:t>gastcolleges</w:t>
      </w:r>
      <w:proofErr w:type="gramEnd"/>
      <w:r w:rsidRPr="008E5F41">
        <w:rPr>
          <w:i/>
          <w:iCs/>
        </w:rPr>
        <w:t xml:space="preserve">, </w:t>
      </w:r>
    </w:p>
    <w:p w14:paraId="7458E246" w14:textId="108930C7" w:rsidR="009E65F6" w:rsidRDefault="009E65F6" w:rsidP="009E65F6">
      <w:pPr>
        <w:rPr>
          <w:rFonts w:ascii="Arial" w:hAnsi="Arial" w:cs="Arial"/>
          <w:shd w:val="clear" w:color="auto" w:fill="FAF9F8"/>
        </w:rPr>
      </w:pPr>
      <w:r w:rsidRPr="00CB0AED">
        <w:t xml:space="preserve">Naast projecten en stages worden regelmatig experts uit het vakgebied </w:t>
      </w:r>
      <w:r w:rsidR="00BF0E9D">
        <w:t xml:space="preserve">uitgenodigd </w:t>
      </w:r>
      <w:r w:rsidRPr="00CB0AED">
        <w:t xml:space="preserve">om een gastcollege te verzorgen. Ook </w:t>
      </w:r>
      <w:r w:rsidR="00BF0E9D">
        <w:t xml:space="preserve">organiseren docenten ICONS: </w:t>
      </w:r>
      <w:r w:rsidRPr="00CB0AED">
        <w:t>een lezingenreeks door kopstukken uit de industrie voor studenten, docenten en vakgenoten</w:t>
      </w:r>
      <w:r>
        <w:rPr>
          <w:rFonts w:ascii="Arial" w:hAnsi="Arial" w:cs="Arial"/>
          <w:shd w:val="clear" w:color="auto" w:fill="FAF9F8"/>
        </w:rPr>
        <w:t>.</w:t>
      </w:r>
    </w:p>
    <w:p w14:paraId="10ED886D" w14:textId="77777777" w:rsidR="009E65F6" w:rsidRDefault="009E65F6" w:rsidP="009E65F6"/>
    <w:p w14:paraId="03976DC8" w14:textId="77777777" w:rsidR="009E65F6" w:rsidRPr="008E5F41" w:rsidRDefault="009E65F6" w:rsidP="009E65F6">
      <w:pPr>
        <w:rPr>
          <w:i/>
          <w:iCs/>
        </w:rPr>
      </w:pPr>
      <w:r w:rsidRPr="008E5F41">
        <w:rPr>
          <w:i/>
          <w:iCs/>
        </w:rPr>
        <w:t>Opleidingsadviesraad</w:t>
      </w:r>
    </w:p>
    <w:p w14:paraId="635B3D43" w14:textId="60A20196" w:rsidR="009E65F6" w:rsidRPr="002177E0" w:rsidRDefault="009E65F6" w:rsidP="009E65F6">
      <w:r w:rsidRPr="002177E0">
        <w:t>Een belangrijke schakel met het beroepenveld is de Opleidingsadviesraad (OAR). De OAR heeft een adviserende rol op strategisch</w:t>
      </w:r>
      <w:r>
        <w:t xml:space="preserve"> </w:t>
      </w:r>
      <w:r w:rsidRPr="002177E0">
        <w:t>(bijv. ontwikkelingen in het vakgebieden daarbuiten) en inhoudelijk</w:t>
      </w:r>
      <w:r w:rsidR="00613985">
        <w:t xml:space="preserve"> gebied</w:t>
      </w:r>
      <w:r>
        <w:t xml:space="preserve"> </w:t>
      </w:r>
      <w:r w:rsidRPr="002177E0">
        <w:t>(bijv. eindkwalificaties van CMD studenten, invulling curriculum). Na de vorige accreditatie is, samen met docenten en de huidige leden, gekeken naar de opzet van de OAR, wat leidde tot een nieuwe vorm en aangepaste samenstelling. Voor wat betreft de samenstelling zijn strategische keuzes gemaakt. Van een aantal leden is afscheid genomen, daarvoor in de plaats zijn organisaties gekomen die meer aansluiten en die bij voorkeur affiniteit hebben met de kernwaarden van de HvA. De huidige samenstelling van de OAR is &lt;</w:t>
      </w:r>
      <w:r w:rsidRPr="00613985">
        <w:rPr>
          <w:highlight w:val="yellow"/>
        </w:rPr>
        <w:t>tabel invoegen</w:t>
      </w:r>
      <w:r w:rsidRPr="002177E0">
        <w:t>&gt;. Er is nog ruimte voor 1 of 2, bij voorkeur non-profit, organisaties.</w:t>
      </w:r>
    </w:p>
    <w:p w14:paraId="3E4A289A" w14:textId="77777777" w:rsidR="009E65F6" w:rsidRDefault="009E65F6" w:rsidP="009E65F6"/>
    <w:p w14:paraId="3E04800D" w14:textId="77777777" w:rsidR="009E65F6" w:rsidRPr="008E5F41" w:rsidRDefault="009E65F6" w:rsidP="009E65F6">
      <w:pPr>
        <w:rPr>
          <w:i/>
          <w:iCs/>
        </w:rPr>
      </w:pPr>
      <w:proofErr w:type="spellStart"/>
      <w:r w:rsidRPr="008E5F41">
        <w:rPr>
          <w:i/>
          <w:iCs/>
        </w:rPr>
        <w:t>PiE</w:t>
      </w:r>
      <w:proofErr w:type="spellEnd"/>
    </w:p>
    <w:p w14:paraId="4DB13FF9" w14:textId="7738A8F1" w:rsidR="009E65F6" w:rsidRPr="0008507D" w:rsidRDefault="000C407F" w:rsidP="009E65F6">
      <w:r>
        <w:t>De wens van e</w:t>
      </w:r>
      <w:r w:rsidR="009E65F6">
        <w:t xml:space="preserve">en </w:t>
      </w:r>
      <w:r w:rsidR="009E65F6" w:rsidRPr="6D0B05AD">
        <w:t xml:space="preserve">aantal bedrijven </w:t>
      </w:r>
      <w:r>
        <w:t>om</w:t>
      </w:r>
      <w:r w:rsidR="009E65F6" w:rsidRPr="6D0B05AD">
        <w:t xml:space="preserve"> een meer structurele en </w:t>
      </w:r>
      <w:r w:rsidR="009E65F6" w:rsidRPr="5F7DB6A1">
        <w:t>langdurige samenwerking met CMD Amsterdam</w:t>
      </w:r>
      <w:r>
        <w:t xml:space="preserve"> te hebben heeft geleid tot een nieuw initiatief: Partners in </w:t>
      </w:r>
      <w:proofErr w:type="spellStart"/>
      <w:r>
        <w:t>Education</w:t>
      </w:r>
      <w:proofErr w:type="spellEnd"/>
      <w:r>
        <w:t xml:space="preserve"> (</w:t>
      </w:r>
      <w:proofErr w:type="spellStart"/>
      <w:r>
        <w:t>PiE</w:t>
      </w:r>
      <w:proofErr w:type="spellEnd"/>
      <w:r>
        <w:t xml:space="preserve">). </w:t>
      </w:r>
      <w:r w:rsidR="009E65F6" w:rsidRPr="5F7DB6A1">
        <w:t xml:space="preserve">De missie van </w:t>
      </w:r>
      <w:proofErr w:type="spellStart"/>
      <w:r w:rsidR="009E65F6" w:rsidRPr="5F7DB6A1">
        <w:t>PiE</w:t>
      </w:r>
      <w:proofErr w:type="spellEnd"/>
      <w:r w:rsidR="009E65F6" w:rsidRPr="5F7DB6A1">
        <w:t xml:space="preserve"> is om de samenwerking met (internationale) externe partijen en interne stakeholders op</w:t>
      </w:r>
      <w:r w:rsidR="009E65F6">
        <w:t xml:space="preserve"> </w:t>
      </w:r>
      <w:r w:rsidR="009E65F6" w:rsidRPr="5F7DB6A1">
        <w:t xml:space="preserve">een professionele, efficiënte en duurzame wijze vorm te geven. We willen externe partijen (o.a. werkveld en onderwijspartners) laten zien dat wij (duurzame) samenwerking hoog op de agenda hebben staan. Door </w:t>
      </w:r>
      <w:r w:rsidR="001105AC">
        <w:t xml:space="preserve">vanuit </w:t>
      </w:r>
      <w:proofErr w:type="spellStart"/>
      <w:r w:rsidR="001105AC">
        <w:t>PiE</w:t>
      </w:r>
      <w:proofErr w:type="spellEnd"/>
      <w:r w:rsidR="001105AC">
        <w:t xml:space="preserve"> organisatorische en administratieve </w:t>
      </w:r>
      <w:r w:rsidR="009E65F6" w:rsidRPr="5F7DB6A1">
        <w:t xml:space="preserve">ondersteuning te bieden aan interne stakeholders (o.a. docenten en medewerkers) </w:t>
      </w:r>
      <w:r w:rsidR="001105AC">
        <w:t>krijgen zij meer tijd</w:t>
      </w:r>
      <w:r w:rsidR="009E65F6" w:rsidRPr="5F7DB6A1">
        <w:t xml:space="preserve"> om inhoudelijk hun onderwijs vorm te geven.</w:t>
      </w:r>
    </w:p>
    <w:p w14:paraId="23F017B7" w14:textId="77777777" w:rsidR="009E65F6" w:rsidRDefault="009E65F6" w:rsidP="009E65F6"/>
    <w:p w14:paraId="4CCA7C4E" w14:textId="77777777" w:rsidR="009E65F6" w:rsidRDefault="009E65F6" w:rsidP="009E65F6"/>
    <w:p w14:paraId="0F0F985A" w14:textId="7308657D" w:rsidR="009E65F6" w:rsidRPr="00C5354B" w:rsidRDefault="009E65F6" w:rsidP="009E65F6">
      <w:pPr>
        <w:pStyle w:val="Heading2"/>
      </w:pPr>
      <w:bookmarkStart w:id="5" w:name="_Toc100844063"/>
      <w:r w:rsidRPr="00C5354B">
        <w:t>2.</w:t>
      </w:r>
      <w:r w:rsidR="00613985">
        <w:t>5</w:t>
      </w:r>
      <w:r w:rsidRPr="00C5354B">
        <w:t xml:space="preserve"> Onderwijs en onderzoek</w:t>
      </w:r>
      <w:bookmarkEnd w:id="5"/>
    </w:p>
    <w:p w14:paraId="157DAE0A" w14:textId="5909E0E0" w:rsidR="009E65F6" w:rsidRDefault="009E65F6" w:rsidP="009E65F6">
      <w:r>
        <w:t xml:space="preserve">Onderzoek en onderzoekend vermogen zijn belangrijk </w:t>
      </w:r>
      <w:r w:rsidR="00613985">
        <w:t xml:space="preserve">vaardigheden voor </w:t>
      </w:r>
      <w:proofErr w:type="spellStart"/>
      <w:r>
        <w:t>humanity-centered</w:t>
      </w:r>
      <w:proofErr w:type="spellEnd"/>
      <w:r>
        <w:t xml:space="preserve"> ontwerpers. De basis wordt gelegd bij vakken in het </w:t>
      </w:r>
      <w:r w:rsidR="00613985">
        <w:t>fundament zoals</w:t>
      </w:r>
      <w:r>
        <w:t xml:space="preserve"> </w:t>
      </w:r>
      <w:r w:rsidRPr="00613985">
        <w:t xml:space="preserve">ontwerponderzoek </w:t>
      </w:r>
      <w:r w:rsidR="00613985">
        <w:t>wat</w:t>
      </w:r>
      <w:r>
        <w:t xml:space="preserve"> gaa</w:t>
      </w:r>
      <w:r w:rsidR="00613985">
        <w:t>t</w:t>
      </w:r>
      <w:r>
        <w:t xml:space="preserve"> over </w:t>
      </w:r>
      <w:proofErr w:type="spellStart"/>
      <w:r>
        <w:t>onderzoeksvaardigheden</w:t>
      </w:r>
      <w:proofErr w:type="spellEnd"/>
      <w:r>
        <w:t xml:space="preserve"> en -vermogen. Hierbij gaat het niet over wetenschappelijk onderzoek, maar over research </w:t>
      </w:r>
      <w:proofErr w:type="spellStart"/>
      <w:r>
        <w:t>through</w:t>
      </w:r>
      <w:proofErr w:type="spellEnd"/>
      <w:r>
        <w:t xml:space="preserve"> design</w:t>
      </w:r>
      <w:r w:rsidR="00613985">
        <w:t xml:space="preserve">. </w:t>
      </w:r>
      <w:r>
        <w:t xml:space="preserve">Bij projecten en </w:t>
      </w:r>
      <w:proofErr w:type="spellStart"/>
      <w:r>
        <w:t>minoren</w:t>
      </w:r>
      <w:proofErr w:type="spellEnd"/>
      <w:r>
        <w:t xml:space="preserve"> in de profilering en afstuderen wordt hierop voortgeborduurd. Een belangrijke tool die in het verleden door CMD Amsterdam samen met de HAN is ontwikkeld, is de </w:t>
      </w:r>
      <w:r w:rsidRPr="00E121D6">
        <w:rPr>
          <w:highlight w:val="yellow"/>
        </w:rPr>
        <w:t xml:space="preserve">CMD </w:t>
      </w:r>
      <w:proofErr w:type="spellStart"/>
      <w:r w:rsidRPr="00E121D6">
        <w:rPr>
          <w:highlight w:val="yellow"/>
        </w:rPr>
        <w:t>methods</w:t>
      </w:r>
      <w:proofErr w:type="spellEnd"/>
      <w:r w:rsidRPr="00E121D6">
        <w:rPr>
          <w:highlight w:val="yellow"/>
        </w:rPr>
        <w:t xml:space="preserve"> pack</w:t>
      </w:r>
      <w:r>
        <w:t xml:space="preserve">. </w:t>
      </w:r>
    </w:p>
    <w:p w14:paraId="6B04E92F" w14:textId="77777777" w:rsidR="00784686" w:rsidRDefault="00784686" w:rsidP="009E65F6"/>
    <w:p w14:paraId="118A685D" w14:textId="2BDFD9EC" w:rsidR="009E65F6" w:rsidRPr="00F9280C" w:rsidRDefault="009E65F6" w:rsidP="009E65F6">
      <w:r>
        <w:lastRenderedPageBreak/>
        <w:t>De afgelopen jaren zijn CMD docenten succesvol geweest in het aanvragen van o.a. Comenius projecten (</w:t>
      </w:r>
      <w:r w:rsidR="00784686">
        <w:rPr>
          <w:highlight w:val="yellow"/>
        </w:rPr>
        <w:t xml:space="preserve">zie ook: </w:t>
      </w:r>
      <w:r w:rsidRPr="573AF587">
        <w:rPr>
          <w:highlight w:val="yellow"/>
        </w:rPr>
        <w:t xml:space="preserve">website </w:t>
      </w:r>
      <w:r w:rsidRPr="00784686">
        <w:rPr>
          <w:highlight w:val="yellow"/>
        </w:rPr>
        <w:t>NRO</w:t>
      </w:r>
      <w:r w:rsidR="00784686" w:rsidRPr="00784686">
        <w:rPr>
          <w:highlight w:val="yellow"/>
        </w:rPr>
        <w:t xml:space="preserve"> jaar 2020, 2021, 2022</w:t>
      </w:r>
      <w:r>
        <w:t xml:space="preserve">): in totaal 6 docenten hebben een Comenius Teaching </w:t>
      </w:r>
      <w:r w:rsidR="00784686">
        <w:t>F</w:t>
      </w:r>
      <w:r>
        <w:t xml:space="preserve">ellow ontvangen. Daarnaast werken docenten bij verschillende lectoraten en draaien mee in ofwel korte onderzoeksprojecten of meer structureel als onderdeel van </w:t>
      </w:r>
      <w:r w:rsidR="00784686">
        <w:t>een</w:t>
      </w:r>
      <w:r>
        <w:t xml:space="preserve"> lectoraat. Hierdoor ontstaat een betere binding met de lectoraten in de kenniscentra</w:t>
      </w:r>
      <w:r w:rsidR="00613985">
        <w:t xml:space="preserve"> waardoor deze kennis in de opleiding terecht komt. </w:t>
      </w:r>
    </w:p>
    <w:p w14:paraId="05D26A24" w14:textId="77777777" w:rsidR="009E65F6" w:rsidRDefault="009E65F6" w:rsidP="009E65F6">
      <w:pPr>
        <w:rPr>
          <w:b/>
          <w:bCs/>
        </w:rPr>
      </w:pPr>
    </w:p>
    <w:p w14:paraId="743E9CF3" w14:textId="6363F1F3" w:rsidR="009E65F6" w:rsidRDefault="009E65F6" w:rsidP="009E65F6">
      <w:pPr>
        <w:pStyle w:val="Heading2"/>
      </w:pPr>
      <w:bookmarkStart w:id="6" w:name="_Toc100844064"/>
      <w:r>
        <w:t>2</w:t>
      </w:r>
      <w:r w:rsidR="00613985">
        <w:t>.6</w:t>
      </w:r>
      <w:r>
        <w:t xml:space="preserve"> Internationalisering</w:t>
      </w:r>
      <w:bookmarkEnd w:id="6"/>
    </w:p>
    <w:p w14:paraId="642401EB" w14:textId="5B9D709E" w:rsidR="00000997" w:rsidRDefault="009E65F6" w:rsidP="009E65F6">
      <w:pPr>
        <w:rPr>
          <w:b/>
          <w:bCs/>
        </w:rPr>
      </w:pPr>
      <w:r>
        <w:t>Onze studenten werken in toenemende mate in een dynamische setting aan internationale projecten met inspirerende collega’s uit verschillende landen. Het is daarom van belang hier tijdens de opleiding aandacht aan te besteden en de studenten in staat te stellen internationale ervaring op te doen. Bij de afgelopen accreditatie werd duidelijk dat we dit niet genoeg (naar studenten) uitdragen.  We hebben de activiteiten ten behoeve van de internationalisering in kaart gebracht</w:t>
      </w:r>
      <w:r w:rsidR="0095159A">
        <w:t xml:space="preserve"> en ook bij de </w:t>
      </w:r>
      <w:r w:rsidR="0095159A" w:rsidRPr="00646099">
        <w:rPr>
          <w:highlight w:val="yellow"/>
        </w:rPr>
        <w:t>OAR nagevraagd waar precies behoefte</w:t>
      </w:r>
      <w:r w:rsidR="0095159A">
        <w:t xml:space="preserve"> aan is</w:t>
      </w:r>
      <w:r w:rsidR="00646099">
        <w:t>.</w:t>
      </w:r>
      <w:r>
        <w:t xml:space="preserve"> </w:t>
      </w:r>
      <w:r w:rsidR="0095159A">
        <w:t>Belangrijk voor onze studenten is dat ze zich mondeling en schriftelijk kunnen uitdrukken in een internationale omgeving en dat ze zich bewust zijn van culturele verschillen zodat hiervoor</w:t>
      </w:r>
      <w:r w:rsidR="00646099">
        <w:t xml:space="preserve"> en -binnen</w:t>
      </w:r>
      <w:r w:rsidR="0095159A">
        <w:t xml:space="preserve"> kunnen ontwerpen.</w:t>
      </w:r>
    </w:p>
    <w:p w14:paraId="17AD3EC2" w14:textId="3AD3CFFD" w:rsidR="00000997" w:rsidRDefault="00000997" w:rsidP="009E65F6">
      <w:pPr>
        <w:rPr>
          <w:b/>
          <w:bCs/>
        </w:rPr>
      </w:pPr>
    </w:p>
    <w:p w14:paraId="6ADEEF41" w14:textId="33C478D1" w:rsidR="00000997" w:rsidRDefault="00000997" w:rsidP="009E65F6">
      <w:pPr>
        <w:rPr>
          <w:b/>
          <w:bCs/>
        </w:rPr>
      </w:pPr>
    </w:p>
    <w:p w14:paraId="4B0CA4A8" w14:textId="77777777" w:rsidR="00000997" w:rsidRDefault="00000997" w:rsidP="00000997">
      <w:pPr>
        <w:rPr>
          <w:b/>
          <w:bCs/>
          <w:sz w:val="22"/>
          <w:szCs w:val="22"/>
        </w:rPr>
      </w:pPr>
      <w:r>
        <w:rPr>
          <w:b/>
          <w:bCs/>
          <w:sz w:val="22"/>
          <w:szCs w:val="22"/>
        </w:rPr>
        <w:t>Ondersteuning en begeleiding</w:t>
      </w:r>
    </w:p>
    <w:p w14:paraId="78BEF69A" w14:textId="5C33EFA6" w:rsidR="009E65F6" w:rsidRDefault="009E65F6" w:rsidP="009E65F6">
      <w:pPr>
        <w:pStyle w:val="Heading2"/>
      </w:pPr>
      <w:bookmarkStart w:id="7" w:name="_Toc100844065"/>
      <w:r>
        <w:t>2.</w:t>
      </w:r>
      <w:r w:rsidR="0095159A">
        <w:t>7</w:t>
      </w:r>
      <w:r>
        <w:t xml:space="preserve"> Studentenbegeleiding</w:t>
      </w:r>
      <w:bookmarkEnd w:id="7"/>
    </w:p>
    <w:p w14:paraId="51075E37" w14:textId="70B69DFE" w:rsidR="009E65F6" w:rsidRDefault="00D00BDC" w:rsidP="009E65F6">
      <w:pPr>
        <w:rPr>
          <w:rFonts w:eastAsia="Times New Roman"/>
        </w:rPr>
      </w:pPr>
      <w:r>
        <w:rPr>
          <w:rFonts w:eastAsiaTheme="minorEastAsia"/>
        </w:rPr>
        <w:t>Een belangrijk</w:t>
      </w:r>
      <w:r w:rsidR="009E65F6" w:rsidRPr="0E9C335C">
        <w:rPr>
          <w:rFonts w:eastAsiaTheme="minorEastAsia"/>
        </w:rPr>
        <w:t xml:space="preserve"> uitgangspunt</w:t>
      </w:r>
      <w:r>
        <w:rPr>
          <w:rFonts w:eastAsiaTheme="minorEastAsia"/>
        </w:rPr>
        <w:t xml:space="preserve"> is</w:t>
      </w:r>
      <w:r w:rsidR="009E65F6" w:rsidRPr="0E9C335C">
        <w:rPr>
          <w:rFonts w:eastAsiaTheme="minorEastAsia"/>
        </w:rPr>
        <w:t xml:space="preserve"> om studenten een leeromgeving te bieden waarin</w:t>
      </w:r>
      <w:r w:rsidR="009E65F6">
        <w:rPr>
          <w:rFonts w:eastAsiaTheme="minorEastAsia"/>
        </w:rPr>
        <w:t xml:space="preserve"> </w:t>
      </w:r>
      <w:r w:rsidR="009E65F6" w:rsidRPr="0E9C335C">
        <w:rPr>
          <w:rFonts w:eastAsiaTheme="minorEastAsia"/>
        </w:rPr>
        <w:t>zij zich veilig voelen om te zijn wie ze zijn en zich kunnen ontwikkelen tot autonoom denkende ontwerpers.</w:t>
      </w:r>
      <w:r w:rsidR="009A4204">
        <w:rPr>
          <w:rFonts w:eastAsiaTheme="minorEastAsia"/>
        </w:rPr>
        <w:t xml:space="preserve"> Uit de meest recente NSE blijkt dat</w:t>
      </w:r>
      <w:r w:rsidR="00F36449">
        <w:rPr>
          <w:rFonts w:eastAsiaTheme="minorEastAsia"/>
        </w:rPr>
        <w:t xml:space="preserve"> we daar goed in slagen:</w:t>
      </w:r>
      <w:r w:rsidR="009A4204">
        <w:rPr>
          <w:rFonts w:eastAsiaTheme="minorEastAsia"/>
        </w:rPr>
        <w:t xml:space="preserve"> 87,5% van onze studenten </w:t>
      </w:r>
      <w:r w:rsidR="00F36449">
        <w:rPr>
          <w:rFonts w:eastAsiaTheme="minorEastAsia"/>
        </w:rPr>
        <w:t xml:space="preserve">is </w:t>
      </w:r>
      <w:r w:rsidR="009A4204">
        <w:rPr>
          <w:rFonts w:eastAsiaTheme="minorEastAsia"/>
        </w:rPr>
        <w:t>het (zeer) eens is met de stelling “ik voel me veilig om mezelf te zijn op de instelling waar ik studeer</w:t>
      </w:r>
      <w:r w:rsidR="00F36449">
        <w:rPr>
          <w:rFonts w:eastAsiaTheme="minorEastAsia"/>
        </w:rPr>
        <w:t>”</w:t>
      </w:r>
      <w:r w:rsidR="009A4204">
        <w:rPr>
          <w:rFonts w:eastAsiaTheme="minorEastAsia"/>
        </w:rPr>
        <w:t>.</w:t>
      </w:r>
      <w:r w:rsidR="009E65F6">
        <w:br/>
      </w:r>
      <w:r w:rsidR="009E65F6">
        <w:br/>
      </w:r>
      <w:r w:rsidR="009E65F6" w:rsidRPr="0E9C335C">
        <w:rPr>
          <w:rFonts w:eastAsiaTheme="minorEastAsia"/>
        </w:rPr>
        <w:t>Dat doen wij door een open, informele en collegiale sfeer te creëren met veel ruimte voor interactie tussen docenten en studenten. Studenten kunnen tussen de lessen door of als ze een plek zoeken om samen te werken gebruikmaken van onze medialounge. Rondom de medialounge zijn de docentenkamers ingericht. De meeste docentenkamers zijn “open” voor studenten. Doordat de medialounge en docentenkamers een open karakter hebben is de drempel laag om elkaar aan te spreken om hulp te vragen of materialen te lenen.</w:t>
      </w:r>
      <w:r w:rsidR="009E65F6">
        <w:br/>
      </w:r>
      <w:r w:rsidR="009E65F6">
        <w:br/>
      </w:r>
      <w:r w:rsidR="009E65F6" w:rsidRPr="0E9C335C">
        <w:rPr>
          <w:rFonts w:eastAsiaTheme="minorEastAsia"/>
        </w:rPr>
        <w:t>Studenten worden op verschillende manieren begeleid in hun studieloopbaan, zowel klassikaal als individueel, vanuit een krachtgerichte benadering</w:t>
      </w:r>
      <w:r w:rsidR="009E65F6" w:rsidRPr="5939DA62">
        <w:rPr>
          <w:rFonts w:eastAsiaTheme="minorEastAsia"/>
        </w:rPr>
        <w:t xml:space="preserve">. Krachtgericht coachen </w:t>
      </w:r>
      <w:r w:rsidR="0095159A">
        <w:rPr>
          <w:rFonts w:eastAsiaTheme="minorEastAsia"/>
        </w:rPr>
        <w:t>focust op de</w:t>
      </w:r>
      <w:r w:rsidR="009E65F6" w:rsidRPr="5939DA62">
        <w:rPr>
          <w:rFonts w:eastAsiaTheme="minorEastAsia"/>
        </w:rPr>
        <w:t xml:space="preserve"> al aanwezige talenten en “krachten” </w:t>
      </w:r>
      <w:r w:rsidR="0095159A">
        <w:rPr>
          <w:rFonts w:eastAsiaTheme="minorEastAsia"/>
        </w:rPr>
        <w:t xml:space="preserve">en deze </w:t>
      </w:r>
      <w:r w:rsidR="009E65F6" w:rsidRPr="5939DA62">
        <w:rPr>
          <w:rFonts w:eastAsiaTheme="minorEastAsia"/>
        </w:rPr>
        <w:t>te. Daarmee draagt het bij aan een autonoom denkende en zelfstandig werkende student</w:t>
      </w:r>
      <w:r w:rsidR="009E65F6" w:rsidRPr="0E9C335C">
        <w:rPr>
          <w:rFonts w:eastAsiaTheme="minorEastAsia"/>
        </w:rPr>
        <w:t xml:space="preserve">. Binnen CMD Amsterdam kennen we Studieloopbaanbegeleiding (SLB), Studieloopbaanadvies (SLA) en </w:t>
      </w:r>
      <w:proofErr w:type="spellStart"/>
      <w:r w:rsidR="009E65F6" w:rsidRPr="0E9C335C">
        <w:rPr>
          <w:rFonts w:eastAsiaTheme="minorEastAsia"/>
        </w:rPr>
        <w:t>Studieloopbaancoaching</w:t>
      </w:r>
      <w:proofErr w:type="spellEnd"/>
      <w:r w:rsidR="009E65F6" w:rsidRPr="0E9C335C">
        <w:rPr>
          <w:rFonts w:eastAsiaTheme="minorEastAsia"/>
        </w:rPr>
        <w:t xml:space="preserve"> (SLC)</w:t>
      </w:r>
      <w:r w:rsidR="009E65F6" w:rsidRPr="0E9C335C">
        <w:rPr>
          <w:rFonts w:eastAsia="Times New Roman"/>
        </w:rPr>
        <w:t xml:space="preserve">. </w:t>
      </w:r>
    </w:p>
    <w:p w14:paraId="22B64FF4" w14:textId="77777777" w:rsidR="009E65F6" w:rsidRDefault="009E65F6" w:rsidP="009E65F6">
      <w:pPr>
        <w:rPr>
          <w:rFonts w:eastAsia="Times New Roman"/>
        </w:rPr>
      </w:pPr>
    </w:p>
    <w:p w14:paraId="1ACD3A4D" w14:textId="1D14E529" w:rsidR="009E65F6" w:rsidRPr="0095159A" w:rsidRDefault="009E65F6" w:rsidP="009E65F6">
      <w:pPr>
        <w:rPr>
          <w:rFonts w:eastAsiaTheme="minorEastAsia"/>
        </w:rPr>
      </w:pPr>
      <w:r w:rsidRPr="008E5F41">
        <w:rPr>
          <w:b/>
          <w:bCs/>
        </w:rPr>
        <w:t>SLB</w:t>
      </w:r>
      <w:r>
        <w:br/>
      </w:r>
      <w:r w:rsidRPr="055B212C">
        <w:rPr>
          <w:rFonts w:eastAsiaTheme="minorEastAsia"/>
        </w:rPr>
        <w:t xml:space="preserve">Bij studieloopbaanbegeleiding krijgen studenten belangrijke informatie over de studie, de planning doorgenomen en wordt het onderwijs geëvalueerd. In de eerste twee jaar heeft iedere klas een eigen studieloopbaanbegeleider die klassikale bijeenkomsten en individuele gesprekken verzorgd. Studenten kunnen ook bij de </w:t>
      </w:r>
      <w:proofErr w:type="spellStart"/>
      <w:r w:rsidRPr="055B212C">
        <w:rPr>
          <w:rFonts w:eastAsiaTheme="minorEastAsia"/>
        </w:rPr>
        <w:t>SLB’er</w:t>
      </w:r>
      <w:proofErr w:type="spellEnd"/>
      <w:r w:rsidRPr="055B212C">
        <w:rPr>
          <w:rFonts w:eastAsiaTheme="minorEastAsia"/>
        </w:rPr>
        <w:t xml:space="preserve"> terecht met persoonlijke dingen. Waar nodig kan de </w:t>
      </w:r>
      <w:proofErr w:type="spellStart"/>
      <w:r w:rsidRPr="055B212C">
        <w:rPr>
          <w:rFonts w:eastAsiaTheme="minorEastAsia"/>
        </w:rPr>
        <w:t>SLB’er</w:t>
      </w:r>
      <w:proofErr w:type="spellEnd"/>
      <w:r w:rsidRPr="055B212C">
        <w:rPr>
          <w:rFonts w:eastAsiaTheme="minorEastAsia"/>
        </w:rPr>
        <w:t xml:space="preserve"> studenten doorverwijzen naar SLA, SLC of de studentendecaan.</w:t>
      </w:r>
      <w:r>
        <w:br/>
      </w:r>
      <w:r w:rsidRPr="055B212C">
        <w:rPr>
          <w:rFonts w:eastAsiaTheme="minorEastAsia"/>
        </w:rPr>
        <w:t>Vanaf het derde jaar is SLB voornamelijk op individuele basis.</w:t>
      </w:r>
      <w:r>
        <w:br/>
      </w:r>
      <w:r>
        <w:br/>
      </w:r>
      <w:r w:rsidRPr="055B212C">
        <w:rPr>
          <w:rFonts w:eastAsiaTheme="minorEastAsia"/>
        </w:rPr>
        <w:t xml:space="preserve">Vanaf studiejaar 21/22 werken studenten in de propedeuse met het </w:t>
      </w:r>
      <w:r w:rsidRPr="0091452E">
        <w:rPr>
          <w:rFonts w:eastAsiaTheme="minorEastAsia"/>
          <w:highlight w:val="yellow"/>
        </w:rPr>
        <w:t>werkboek jaarkompas</w:t>
      </w:r>
      <w:r w:rsidRPr="055B212C">
        <w:rPr>
          <w:rFonts w:eastAsiaTheme="minorEastAsia"/>
        </w:rPr>
        <w:t xml:space="preserve">, met per blok een thema en bijbehorende opdrachten. Blok 1 staat in het teken van studievaardigheden in het hoger beroepsonderwijs, blok 2 gaat over motivatie, blok 3 richt zich op loopbaanoriëntatie en in blok 4 evalueren studenten zichzelf en het onderwijs. Het </w:t>
      </w:r>
      <w:r w:rsidRPr="055B212C">
        <w:rPr>
          <w:rFonts w:eastAsiaTheme="minorEastAsia"/>
        </w:rPr>
        <w:lastRenderedPageBreak/>
        <w:t xml:space="preserve">belangrijkste doel is dat studenten zich aan het eind van de propedeuse bewust zijn van de eigen ontwerphouding in relatie tot de ontwerpgemeenschap. </w:t>
      </w:r>
      <w:r>
        <w:br/>
      </w:r>
      <w:r>
        <w:br/>
      </w:r>
      <w:r w:rsidRPr="008E5F41">
        <w:rPr>
          <w:b/>
          <w:bCs/>
        </w:rPr>
        <w:t>SLC</w:t>
      </w:r>
      <w:r>
        <w:br/>
      </w:r>
      <w:r w:rsidRPr="055B212C">
        <w:rPr>
          <w:rFonts w:eastAsiaTheme="minorEastAsia"/>
        </w:rPr>
        <w:t xml:space="preserve">Studenten die last hebben van bijvoorbeeld </w:t>
      </w:r>
      <w:r w:rsidR="0091452E">
        <w:rPr>
          <w:rFonts w:eastAsiaTheme="minorEastAsia"/>
        </w:rPr>
        <w:t>uitstelgedrag</w:t>
      </w:r>
      <w:r w:rsidRPr="055B212C">
        <w:rPr>
          <w:rFonts w:eastAsiaTheme="minorEastAsia"/>
        </w:rPr>
        <w:t xml:space="preserve">, gebrek aan motivatie, stress kunnen terecht bij onze studieloopbaancoaches. Dit zijn problemen die vaak wat meer tijd en aandacht vragen. De coaches zijn docenten die hiervoor uren </w:t>
      </w:r>
      <w:r w:rsidR="009A4204">
        <w:rPr>
          <w:rFonts w:eastAsiaTheme="minorEastAsia"/>
        </w:rPr>
        <w:t>hebben</w:t>
      </w:r>
      <w:r w:rsidRPr="055B212C">
        <w:rPr>
          <w:rFonts w:eastAsiaTheme="minorEastAsia"/>
        </w:rPr>
        <w:t xml:space="preserve"> in de formatie. Coaching is gericht op de korte termijn en vaak oplossingsgericht. Als blijkt dat het probleem erg diepgeworteld is of de student niet geholpen is met een </w:t>
      </w:r>
      <w:proofErr w:type="gramStart"/>
      <w:r w:rsidRPr="055B212C">
        <w:rPr>
          <w:rFonts w:eastAsiaTheme="minorEastAsia"/>
        </w:rPr>
        <w:t>korte termijnoplossing</w:t>
      </w:r>
      <w:proofErr w:type="gramEnd"/>
      <w:r w:rsidRPr="055B212C">
        <w:rPr>
          <w:rFonts w:eastAsiaTheme="minorEastAsia"/>
        </w:rPr>
        <w:t>, kan de student worden doorverwezen naar de studentendecaan</w:t>
      </w:r>
    </w:p>
    <w:p w14:paraId="4E4251C5" w14:textId="77777777" w:rsidR="009E65F6" w:rsidRDefault="009E65F6" w:rsidP="009E65F6">
      <w:pPr>
        <w:rPr>
          <w:rFonts w:eastAsia="Calibri"/>
        </w:rPr>
      </w:pPr>
    </w:p>
    <w:p w14:paraId="1CE0A7C8" w14:textId="4B9371A1" w:rsidR="009E65F6" w:rsidRDefault="009E65F6" w:rsidP="009E65F6">
      <w:pPr>
        <w:rPr>
          <w:rFonts w:eastAsiaTheme="minorEastAsia"/>
          <w:b/>
          <w:bCs/>
        </w:rPr>
      </w:pPr>
      <w:r w:rsidRPr="008E5F41">
        <w:rPr>
          <w:b/>
          <w:bCs/>
        </w:rPr>
        <w:t>SLA</w:t>
      </w:r>
      <w:r>
        <w:br/>
      </w:r>
      <w:r w:rsidRPr="055B212C">
        <w:rPr>
          <w:rFonts w:eastAsiaTheme="minorEastAsia"/>
        </w:rPr>
        <w:t xml:space="preserve">Wanneer een student meerdere modules niet heeft gehaald en een flinke studieachterstand heeft, kunnen studenten een studieplan opstellen met de studieloopbaanadviseur. </w:t>
      </w:r>
      <w:r w:rsidR="009A4204">
        <w:rPr>
          <w:rFonts w:eastAsiaTheme="minorEastAsia"/>
        </w:rPr>
        <w:t>Deze</w:t>
      </w:r>
      <w:r w:rsidRPr="055B212C">
        <w:rPr>
          <w:rFonts w:eastAsiaTheme="minorEastAsia"/>
        </w:rPr>
        <w:t xml:space="preserve"> hebben overzicht over het curriculum en </w:t>
      </w:r>
      <w:r w:rsidR="009A4204">
        <w:rPr>
          <w:rFonts w:eastAsiaTheme="minorEastAsia"/>
        </w:rPr>
        <w:t>kunnen</w:t>
      </w:r>
      <w:r w:rsidRPr="055B212C">
        <w:rPr>
          <w:rFonts w:eastAsiaTheme="minorEastAsia"/>
        </w:rPr>
        <w:t xml:space="preserve"> samen met de student bekijken wat een werkbare, logische volgorde is om de achterstand weg te werken.</w:t>
      </w:r>
      <w:r>
        <w:br/>
      </w:r>
      <w:r>
        <w:br/>
      </w:r>
      <w:r w:rsidRPr="0095159A">
        <w:rPr>
          <w:rFonts w:eastAsiaTheme="minorEastAsia"/>
          <w:b/>
          <w:bCs/>
        </w:rPr>
        <w:t>Studentendecaan</w:t>
      </w:r>
    </w:p>
    <w:p w14:paraId="727B0959" w14:textId="49EF7CF3" w:rsidR="009A4204" w:rsidRDefault="009A4204" w:rsidP="009E65F6">
      <w:pPr>
        <w:rPr>
          <w:rFonts w:eastAsiaTheme="minorEastAsia"/>
        </w:rPr>
      </w:pPr>
      <w:r w:rsidRPr="055B212C">
        <w:rPr>
          <w:rFonts w:eastAsiaTheme="minorEastAsia"/>
        </w:rPr>
        <w:t>De studentendecanen zijn er voor vertrouwelijke gesprekken over persoonlijke kwesties die de studievoortgang kunnen belemmeren. Met name op het gebied van studeren met een functiebeperking, studiefinanciering en studiekeuzes, kunnen zij veel betekenen voor studenten. Naar aanleiding van de gesprekken kunnen zij studenten doorverwijzen naar meer gespecialiseerde ondersteuners (studentenarts, studentenpsycholoog, maatschappelijk werker, et cetera) en/of de opleiding adviseren over bijzondere omstandigheden, aanpassingen aan faciliteiten of andere zaken.</w:t>
      </w:r>
    </w:p>
    <w:p w14:paraId="039955AA" w14:textId="77777777" w:rsidR="009A4204" w:rsidRPr="009A4204" w:rsidRDefault="009A4204" w:rsidP="009E65F6">
      <w:pPr>
        <w:rPr>
          <w:rFonts w:eastAsiaTheme="minorEastAsia"/>
        </w:rPr>
      </w:pPr>
    </w:p>
    <w:p w14:paraId="6FC88505" w14:textId="77777777" w:rsidR="009E65F6" w:rsidRDefault="009E65F6" w:rsidP="009E65F6">
      <w:pPr>
        <w:rPr>
          <w:b/>
          <w:bCs/>
        </w:rPr>
      </w:pPr>
    </w:p>
    <w:p w14:paraId="7AA410B7" w14:textId="2C45CC9C" w:rsidR="009E65F6" w:rsidRDefault="009E65F6" w:rsidP="009E65F6">
      <w:pPr>
        <w:pStyle w:val="Heading2"/>
      </w:pPr>
      <w:bookmarkStart w:id="8" w:name="_Toc100844066"/>
      <w:r>
        <w:t>2.</w:t>
      </w:r>
      <w:r w:rsidR="00D94D35">
        <w:t>8</w:t>
      </w:r>
      <w:r>
        <w:t xml:space="preserve"> Digitale en analoge voorzieningen</w:t>
      </w:r>
      <w:bookmarkEnd w:id="8"/>
    </w:p>
    <w:p w14:paraId="03223F16" w14:textId="77777777" w:rsidR="009E65F6" w:rsidRPr="0095159A" w:rsidRDefault="009E65F6" w:rsidP="009E65F6">
      <w:pPr>
        <w:pStyle w:val="paragraph"/>
        <w:spacing w:before="0" w:beforeAutospacing="0" w:after="0" w:afterAutospacing="0"/>
        <w:textAlignment w:val="baseline"/>
        <w:rPr>
          <w:rFonts w:ascii="Open Sans" w:eastAsiaTheme="minorEastAsia" w:hAnsi="Open Sans" w:cs="Open Sans"/>
          <w:b/>
          <w:bCs/>
          <w:sz w:val="20"/>
          <w:szCs w:val="20"/>
          <w:lang w:eastAsia="en-US"/>
        </w:rPr>
      </w:pPr>
      <w:r w:rsidRPr="0095159A">
        <w:rPr>
          <w:rFonts w:ascii="Open Sans" w:eastAsiaTheme="minorEastAsia" w:hAnsi="Open Sans" w:cs="Open Sans"/>
          <w:b/>
          <w:bCs/>
          <w:sz w:val="20"/>
          <w:szCs w:val="20"/>
          <w:shd w:val="clear" w:color="auto" w:fill="E6E6E6"/>
          <w:lang w:eastAsia="en-US"/>
        </w:rPr>
        <w:t>DLO en Teams</w:t>
      </w:r>
    </w:p>
    <w:p w14:paraId="53DAD32F" w14:textId="35A7773E" w:rsidR="009E65F6" w:rsidRDefault="009E65F6" w:rsidP="009E65F6">
      <w:pPr>
        <w:pStyle w:val="paragraph"/>
        <w:spacing w:before="0" w:beforeAutospacing="0" w:after="0" w:afterAutospacing="0"/>
        <w:textAlignment w:val="baseline"/>
        <w:rPr>
          <w:rFonts w:ascii="Open Sans" w:eastAsiaTheme="minorEastAsia" w:hAnsi="Open Sans" w:cs="Open Sans"/>
          <w:sz w:val="20"/>
          <w:szCs w:val="20"/>
          <w:lang w:eastAsia="en-US"/>
        </w:rPr>
      </w:pPr>
      <w:r w:rsidRPr="573AF587">
        <w:rPr>
          <w:rFonts w:ascii="Open Sans" w:eastAsiaTheme="minorEastAsia" w:hAnsi="Open Sans" w:cs="Open Sans"/>
          <w:sz w:val="20"/>
          <w:szCs w:val="20"/>
          <w:lang w:eastAsia="en-US"/>
        </w:rPr>
        <w:t>In 2020 is het gebruik van digitale middelen</w:t>
      </w:r>
      <w:r w:rsidR="00F36449">
        <w:rPr>
          <w:rFonts w:ascii="Open Sans" w:eastAsiaTheme="minorEastAsia" w:hAnsi="Open Sans" w:cs="Open Sans"/>
          <w:sz w:val="20"/>
          <w:szCs w:val="20"/>
          <w:lang w:eastAsia="en-US"/>
        </w:rPr>
        <w:t xml:space="preserve"> door met name de pandemie sterk toegenomen</w:t>
      </w:r>
      <w:r w:rsidRPr="573AF587">
        <w:rPr>
          <w:rFonts w:ascii="Open Sans" w:eastAsiaTheme="minorEastAsia" w:hAnsi="Open Sans" w:cs="Open Sans"/>
          <w:sz w:val="20"/>
          <w:szCs w:val="20"/>
          <w:lang w:eastAsia="en-US"/>
        </w:rPr>
        <w:t xml:space="preserve">. We bevinden ons op dit moment nog in een overgangsfase waarin </w:t>
      </w:r>
      <w:r>
        <w:rPr>
          <w:rFonts w:ascii="Open Sans" w:eastAsiaTheme="minorEastAsia" w:hAnsi="Open Sans" w:cs="Open Sans"/>
          <w:sz w:val="20"/>
          <w:szCs w:val="20"/>
          <w:lang w:eastAsia="en-US"/>
        </w:rPr>
        <w:t xml:space="preserve">we </w:t>
      </w:r>
      <w:r w:rsidRPr="573AF587">
        <w:rPr>
          <w:rFonts w:ascii="Open Sans" w:eastAsiaTheme="minorEastAsia" w:hAnsi="Open Sans" w:cs="Open Sans"/>
          <w:sz w:val="20"/>
          <w:szCs w:val="20"/>
          <w:lang w:eastAsia="en-US"/>
        </w:rPr>
        <w:t xml:space="preserve">bepalen wat we </w:t>
      </w:r>
      <w:r w:rsidR="00F36449">
        <w:rPr>
          <w:rFonts w:ascii="Open Sans" w:eastAsiaTheme="minorEastAsia" w:hAnsi="Open Sans" w:cs="Open Sans"/>
          <w:sz w:val="20"/>
          <w:szCs w:val="20"/>
          <w:lang w:eastAsia="en-US"/>
        </w:rPr>
        <w:t xml:space="preserve">hiervan </w:t>
      </w:r>
      <w:r w:rsidRPr="573AF587">
        <w:rPr>
          <w:rFonts w:ascii="Open Sans" w:eastAsiaTheme="minorEastAsia" w:hAnsi="Open Sans" w:cs="Open Sans"/>
          <w:sz w:val="20"/>
          <w:szCs w:val="20"/>
          <w:lang w:eastAsia="en-US"/>
        </w:rPr>
        <w:t xml:space="preserve">willen behouden en waar we mee stoppen. Alle formele informatie zoals inleverpunten, feedback, studiehandleidingen, mededelingen, literatuur etc. wordt gedeeld op DLO – Brightspace. Dit is meteen ons archief. Daarnaast gebruiken we Teams voor informele communicatie en eventueel online lessen. Ook </w:t>
      </w:r>
      <w:proofErr w:type="spellStart"/>
      <w:r w:rsidRPr="573AF587">
        <w:rPr>
          <w:rFonts w:ascii="Open Sans" w:eastAsiaTheme="minorEastAsia" w:hAnsi="Open Sans" w:cs="Open Sans"/>
          <w:sz w:val="20"/>
          <w:szCs w:val="20"/>
          <w:lang w:eastAsia="en-US"/>
        </w:rPr>
        <w:t>Miro</w:t>
      </w:r>
      <w:proofErr w:type="spellEnd"/>
      <w:r w:rsidRPr="573AF587">
        <w:rPr>
          <w:rFonts w:ascii="Open Sans" w:eastAsiaTheme="minorEastAsia" w:hAnsi="Open Sans" w:cs="Open Sans"/>
          <w:sz w:val="20"/>
          <w:szCs w:val="20"/>
          <w:lang w:eastAsia="en-US"/>
        </w:rPr>
        <w:t xml:space="preserve"> is de afgelopen jaren veelvuldig (en vaak naar tevredenheid) gebruikt. </w:t>
      </w:r>
    </w:p>
    <w:p w14:paraId="0CE481A7" w14:textId="77777777" w:rsidR="009E65F6" w:rsidRDefault="009E65F6" w:rsidP="009E65F6">
      <w:pPr>
        <w:pStyle w:val="paragraph"/>
        <w:spacing w:before="0" w:beforeAutospacing="0" w:after="0" w:afterAutospacing="0"/>
        <w:textAlignment w:val="baseline"/>
        <w:rPr>
          <w:rFonts w:ascii="Open Sans" w:eastAsiaTheme="minorHAnsi" w:hAnsi="Open Sans" w:cs="Open Sans"/>
          <w:sz w:val="20"/>
          <w:szCs w:val="20"/>
          <w:lang w:eastAsia="en-US"/>
        </w:rPr>
      </w:pPr>
    </w:p>
    <w:p w14:paraId="354EAA67" w14:textId="77777777" w:rsidR="009E65F6" w:rsidRPr="0095159A" w:rsidRDefault="009E65F6" w:rsidP="009E65F6">
      <w:pPr>
        <w:pStyle w:val="paragraph"/>
        <w:spacing w:before="0" w:beforeAutospacing="0" w:after="0" w:afterAutospacing="0"/>
        <w:textAlignment w:val="baseline"/>
        <w:rPr>
          <w:rFonts w:ascii="Open Sans" w:eastAsiaTheme="minorEastAsia" w:hAnsi="Open Sans" w:cs="Open Sans"/>
          <w:b/>
          <w:bCs/>
          <w:sz w:val="20"/>
          <w:szCs w:val="20"/>
          <w:lang w:eastAsia="en-US"/>
        </w:rPr>
      </w:pPr>
      <w:r w:rsidRPr="0095159A">
        <w:rPr>
          <w:rFonts w:ascii="Open Sans" w:eastAsiaTheme="minorEastAsia" w:hAnsi="Open Sans" w:cs="Open Sans"/>
          <w:b/>
          <w:bCs/>
          <w:sz w:val="20"/>
          <w:szCs w:val="20"/>
          <w:shd w:val="clear" w:color="auto" w:fill="E6E6E6"/>
          <w:lang w:eastAsia="en-US"/>
        </w:rPr>
        <w:t>Labs</w:t>
      </w:r>
    </w:p>
    <w:p w14:paraId="25EBF6E1" w14:textId="4F7C23AD" w:rsidR="009E65F6" w:rsidRDefault="009E65F6" w:rsidP="009E65F6">
      <w:pPr>
        <w:pStyle w:val="paragraph"/>
        <w:spacing w:before="0" w:beforeAutospacing="0" w:after="0" w:afterAutospacing="0"/>
        <w:textAlignment w:val="baseline"/>
        <w:rPr>
          <w:rFonts w:ascii="Open Sans" w:eastAsiaTheme="minorEastAsia" w:hAnsi="Open Sans" w:cs="Open Sans"/>
          <w:sz w:val="20"/>
          <w:szCs w:val="20"/>
          <w:lang w:eastAsia="en-US"/>
        </w:rPr>
      </w:pPr>
      <w:r w:rsidRPr="573AF587">
        <w:rPr>
          <w:rFonts w:ascii="Open Sans" w:eastAsiaTheme="minorEastAsia" w:hAnsi="Open Sans" w:cs="Open Sans"/>
          <w:sz w:val="20"/>
          <w:szCs w:val="20"/>
          <w:lang w:eastAsia="en-US"/>
        </w:rPr>
        <w:t>Bij CMD Amsterdam vinden we het belangrijk dat studenten leren ontwerpen met gangbare en opkomende technologieën.</w:t>
      </w:r>
      <w:r>
        <w:rPr>
          <w:rFonts w:ascii="Open Sans" w:eastAsiaTheme="minorEastAsia" w:hAnsi="Open Sans" w:cs="Open Sans"/>
          <w:sz w:val="20"/>
          <w:szCs w:val="20"/>
          <w:lang w:eastAsia="en-US"/>
        </w:rPr>
        <w:t xml:space="preserve"> </w:t>
      </w:r>
      <w:r w:rsidRPr="008E5F41">
        <w:rPr>
          <w:rFonts w:ascii="Open Sans" w:eastAsiaTheme="minorEastAsia" w:hAnsi="Open Sans" w:cs="Open Sans"/>
          <w:sz w:val="20"/>
          <w:szCs w:val="20"/>
          <w:lang w:eastAsia="en-US"/>
        </w:rPr>
        <w:t xml:space="preserve">Zo wordt het vak </w:t>
      </w:r>
      <w:proofErr w:type="spellStart"/>
      <w:r w:rsidRPr="008E5F41">
        <w:rPr>
          <w:rFonts w:ascii="Open Sans" w:eastAsiaTheme="minorEastAsia" w:hAnsi="Open Sans" w:cs="Open Sans"/>
          <w:sz w:val="20"/>
          <w:szCs w:val="20"/>
          <w:lang w:eastAsia="en-US"/>
        </w:rPr>
        <w:t>Emerging</w:t>
      </w:r>
      <w:proofErr w:type="spellEnd"/>
      <w:r w:rsidRPr="008E5F41">
        <w:rPr>
          <w:rFonts w:ascii="Open Sans" w:eastAsiaTheme="minorEastAsia" w:hAnsi="Open Sans" w:cs="Open Sans"/>
          <w:sz w:val="20"/>
          <w:szCs w:val="20"/>
          <w:lang w:eastAsia="en-US"/>
        </w:rPr>
        <w:t xml:space="preserve"> Technologies (ET) vanaf studiejaar 22/23 een </w:t>
      </w:r>
      <w:r w:rsidRPr="00CF259A">
        <w:rPr>
          <w:rFonts w:ascii="Open Sans" w:eastAsiaTheme="minorEastAsia" w:hAnsi="Open Sans" w:cs="Open Sans"/>
          <w:sz w:val="20"/>
          <w:szCs w:val="20"/>
          <w:lang w:eastAsia="en-US"/>
        </w:rPr>
        <w:t>propedeusevak</w:t>
      </w:r>
      <w:r w:rsidRPr="008E5F41">
        <w:rPr>
          <w:rFonts w:ascii="Open Sans" w:eastAsiaTheme="minorEastAsia" w:hAnsi="Open Sans" w:cs="Open Sans"/>
          <w:sz w:val="20"/>
          <w:szCs w:val="20"/>
          <w:lang w:eastAsia="en-US"/>
        </w:rPr>
        <w:t xml:space="preserve"> geïnspireerd op de minor </w:t>
      </w:r>
      <w:proofErr w:type="spellStart"/>
      <w:r>
        <w:rPr>
          <w:rFonts w:ascii="Open Sans" w:eastAsiaTheme="minorEastAsia" w:hAnsi="Open Sans" w:cs="Open Sans"/>
          <w:sz w:val="20"/>
          <w:szCs w:val="20"/>
          <w:lang w:eastAsia="en-US"/>
        </w:rPr>
        <w:t>Designing</w:t>
      </w:r>
      <w:proofErr w:type="spellEnd"/>
      <w:r>
        <w:rPr>
          <w:rFonts w:ascii="Open Sans" w:eastAsiaTheme="minorEastAsia" w:hAnsi="Open Sans" w:cs="Open Sans"/>
          <w:sz w:val="20"/>
          <w:szCs w:val="20"/>
          <w:lang w:eastAsia="en-US"/>
        </w:rPr>
        <w:t xml:space="preserve"> </w:t>
      </w:r>
      <w:proofErr w:type="spellStart"/>
      <w:r>
        <w:rPr>
          <w:rFonts w:ascii="Open Sans" w:eastAsiaTheme="minorEastAsia" w:hAnsi="Open Sans" w:cs="Open Sans"/>
          <w:sz w:val="20"/>
          <w:szCs w:val="20"/>
          <w:lang w:eastAsia="en-US"/>
        </w:rPr>
        <w:t>for</w:t>
      </w:r>
      <w:proofErr w:type="spellEnd"/>
      <w:r w:rsidRPr="573AF587">
        <w:rPr>
          <w:rFonts w:ascii="Open Sans" w:eastAsiaTheme="minorEastAsia" w:hAnsi="Open Sans" w:cs="Open Sans"/>
          <w:sz w:val="20"/>
          <w:szCs w:val="20"/>
          <w:lang w:eastAsia="en-US"/>
        </w:rPr>
        <w:t xml:space="preserve"> </w:t>
      </w:r>
      <w:proofErr w:type="spellStart"/>
      <w:r w:rsidRPr="573AF587">
        <w:rPr>
          <w:rFonts w:ascii="Open Sans" w:eastAsiaTheme="minorEastAsia" w:hAnsi="Open Sans" w:cs="Open Sans"/>
          <w:sz w:val="20"/>
          <w:szCs w:val="20"/>
          <w:lang w:eastAsia="en-US"/>
        </w:rPr>
        <w:t>Emerging</w:t>
      </w:r>
      <w:proofErr w:type="spellEnd"/>
      <w:r w:rsidRPr="573AF587">
        <w:rPr>
          <w:rFonts w:ascii="Open Sans" w:eastAsiaTheme="minorEastAsia" w:hAnsi="Open Sans" w:cs="Open Sans"/>
          <w:sz w:val="20"/>
          <w:szCs w:val="20"/>
          <w:lang w:eastAsia="en-US"/>
        </w:rPr>
        <w:t xml:space="preserve"> Technologies. Maar ook in andere modules is er aandacht voor technologische ontwikkelingen en het ontwerpen van producten daarmee. Om het verwerven van kennis en vaardigheden te ondersteunen heeft CMD Amsterdam een aantal “labs” waar docenten en studenten met verschillende technologieën kunnen oefenen, leren en experimenteren. CMD beschikt over een </w:t>
      </w:r>
      <w:proofErr w:type="spellStart"/>
      <w:r w:rsidRPr="573AF587">
        <w:rPr>
          <w:rFonts w:ascii="Open Sans" w:eastAsiaTheme="minorEastAsia" w:hAnsi="Open Sans" w:cs="Open Sans"/>
          <w:sz w:val="20"/>
          <w:szCs w:val="20"/>
          <w:lang w:eastAsia="en-US"/>
        </w:rPr>
        <w:t>Usability</w:t>
      </w:r>
      <w:proofErr w:type="spellEnd"/>
      <w:r w:rsidRPr="573AF587">
        <w:rPr>
          <w:rFonts w:ascii="Open Sans" w:eastAsiaTheme="minorEastAsia" w:hAnsi="Open Sans" w:cs="Open Sans"/>
          <w:sz w:val="20"/>
          <w:szCs w:val="20"/>
          <w:lang w:eastAsia="en-US"/>
        </w:rPr>
        <w:t xml:space="preserve"> Lab, een AR- en een VR-lab en een Sound Design Lab</w:t>
      </w:r>
      <w:r>
        <w:rPr>
          <w:rFonts w:ascii="Open Sans" w:eastAsiaTheme="minorEastAsia" w:hAnsi="Open Sans" w:cs="Open Sans"/>
          <w:sz w:val="20"/>
          <w:szCs w:val="20"/>
          <w:lang w:eastAsia="en-US"/>
        </w:rPr>
        <w:t xml:space="preserve"> en een Makerslab</w:t>
      </w:r>
      <w:r w:rsidR="0095159A">
        <w:rPr>
          <w:rFonts w:ascii="Open Sans" w:eastAsiaTheme="minorEastAsia" w:hAnsi="Open Sans" w:cs="Open Sans"/>
          <w:sz w:val="20"/>
          <w:szCs w:val="20"/>
          <w:lang w:eastAsia="en-US"/>
        </w:rPr>
        <w:t>.</w:t>
      </w:r>
      <w:r>
        <w:rPr>
          <w:rFonts w:ascii="Open Sans" w:eastAsiaTheme="minorEastAsia" w:hAnsi="Open Sans" w:cs="Open Sans"/>
          <w:sz w:val="20"/>
          <w:szCs w:val="20"/>
          <w:lang w:eastAsia="en-US"/>
        </w:rPr>
        <w:t xml:space="preserve"> </w:t>
      </w:r>
      <w:r w:rsidRPr="573AF587">
        <w:rPr>
          <w:rFonts w:ascii="Open Sans" w:eastAsiaTheme="minorEastAsia" w:hAnsi="Open Sans" w:cs="Open Sans"/>
          <w:sz w:val="20"/>
          <w:szCs w:val="20"/>
          <w:lang w:eastAsia="en-US"/>
        </w:rPr>
        <w:t xml:space="preserve"> </w:t>
      </w:r>
    </w:p>
    <w:p w14:paraId="5AE5CCBC" w14:textId="77777777" w:rsidR="009E65F6" w:rsidRDefault="009E65F6" w:rsidP="009E65F6">
      <w:pPr>
        <w:pStyle w:val="Heading2"/>
      </w:pPr>
    </w:p>
    <w:p w14:paraId="3CEC3937" w14:textId="77777777" w:rsidR="009E65F6" w:rsidRDefault="009E65F6" w:rsidP="009E65F6">
      <w:pPr>
        <w:pStyle w:val="Heading2"/>
      </w:pPr>
      <w:r>
        <w:t>Soft- en hardware</w:t>
      </w:r>
    </w:p>
    <w:p w14:paraId="4D5BC28E" w14:textId="77777777" w:rsidR="009E65F6" w:rsidRPr="008E5F41" w:rsidRDefault="009E65F6" w:rsidP="009E65F6">
      <w:pPr>
        <w:pStyle w:val="Heading2"/>
        <w:rPr>
          <w:rFonts w:eastAsia="Calibri"/>
          <w:b w:val="0"/>
          <w:bCs w:val="0"/>
        </w:rPr>
      </w:pPr>
      <w:r>
        <w:rPr>
          <w:b w:val="0"/>
          <w:bCs w:val="0"/>
        </w:rPr>
        <w:t xml:space="preserve">Veel software is voor studenten goedkoop of gratis beschikbaar via de HvA. Opvallend is dat studenten eenvoudig de meest gangbare en moderne software – zoals </w:t>
      </w:r>
      <w:proofErr w:type="spellStart"/>
      <w:r>
        <w:rPr>
          <w:b w:val="0"/>
          <w:bCs w:val="0"/>
        </w:rPr>
        <w:t>Figma</w:t>
      </w:r>
      <w:proofErr w:type="spellEnd"/>
      <w:r>
        <w:rPr>
          <w:b w:val="0"/>
          <w:bCs w:val="0"/>
        </w:rPr>
        <w:t xml:space="preserve"> – aanleren en gebruiken. </w:t>
      </w:r>
      <w:r w:rsidRPr="008E5F41">
        <w:rPr>
          <w:rFonts w:eastAsia="Calibri"/>
          <w:b w:val="0"/>
          <w:bCs w:val="0"/>
        </w:rPr>
        <w:t xml:space="preserve">Binnen de HvA is diverse </w:t>
      </w:r>
      <w:proofErr w:type="gramStart"/>
      <w:r w:rsidRPr="008E5F41">
        <w:rPr>
          <w:rFonts w:eastAsia="Calibri"/>
          <w:b w:val="0"/>
          <w:bCs w:val="0"/>
        </w:rPr>
        <w:t>audio visuele</w:t>
      </w:r>
      <w:proofErr w:type="gramEnd"/>
      <w:r w:rsidRPr="008E5F41">
        <w:rPr>
          <w:rFonts w:eastAsia="Calibri"/>
          <w:b w:val="0"/>
          <w:bCs w:val="0"/>
        </w:rPr>
        <w:t xml:space="preserve"> apparatuur te leen via de AV uitleen.</w:t>
      </w:r>
    </w:p>
    <w:p w14:paraId="7EB548D1" w14:textId="0CC74C06" w:rsidR="009E65F6" w:rsidRPr="00D94D35" w:rsidRDefault="009E65F6" w:rsidP="00D94D35">
      <w:pPr>
        <w:pStyle w:val="Heading2"/>
      </w:pPr>
      <w:r>
        <w:lastRenderedPageBreak/>
        <w:br/>
      </w:r>
    </w:p>
    <w:p w14:paraId="7C43EB09" w14:textId="77777777" w:rsidR="006F5EDC" w:rsidRDefault="006F5EDC" w:rsidP="006F5EDC">
      <w:pPr>
        <w:pStyle w:val="Heading2"/>
      </w:pPr>
      <w:bookmarkStart w:id="9" w:name="_Toc100844068"/>
      <w:r>
        <w:t>2.9 Ambities en dilemma’s</w:t>
      </w:r>
      <w:bookmarkEnd w:id="9"/>
    </w:p>
    <w:p w14:paraId="549CAA4F" w14:textId="77777777" w:rsidR="006F5EDC" w:rsidRPr="00D42660" w:rsidRDefault="006F5EDC" w:rsidP="006F5EDC">
      <w:pPr>
        <w:rPr>
          <w:i/>
          <w:iCs/>
        </w:rPr>
      </w:pPr>
      <w:r w:rsidRPr="00D42660">
        <w:rPr>
          <w:b/>
          <w:bCs/>
        </w:rPr>
        <w:t>Ambities</w:t>
      </w:r>
      <w:r w:rsidRPr="00D42660">
        <w:rPr>
          <w:i/>
          <w:iCs/>
        </w:rPr>
        <w:t xml:space="preserve"> verbeterpunten met bijbehorende veranderingen die we in gang hebben gezet of op korte termijn gaan ontwikkelen en doorvoeren.</w:t>
      </w:r>
    </w:p>
    <w:p w14:paraId="193E8439" w14:textId="77777777" w:rsidR="006F5EDC" w:rsidRPr="00B93666" w:rsidRDefault="006F5EDC" w:rsidP="006F5EDC">
      <w:pPr>
        <w:pStyle w:val="ListParagraph"/>
        <w:numPr>
          <w:ilvl w:val="0"/>
          <w:numId w:val="3"/>
        </w:numPr>
        <w:spacing w:after="160" w:line="259" w:lineRule="auto"/>
        <w:ind w:left="426"/>
        <w:rPr>
          <w:b/>
          <w:bCs/>
        </w:rPr>
      </w:pPr>
      <w:r w:rsidRPr="573AF587">
        <w:rPr>
          <w:rFonts w:eastAsia="Calibri"/>
          <w:color w:val="000000" w:themeColor="text1"/>
        </w:rPr>
        <w:t xml:space="preserve">Partners in </w:t>
      </w:r>
      <w:proofErr w:type="spellStart"/>
      <w:r w:rsidRPr="573AF587">
        <w:rPr>
          <w:rFonts w:eastAsia="Calibri"/>
          <w:color w:val="000000" w:themeColor="text1"/>
        </w:rPr>
        <w:t>Education</w:t>
      </w:r>
      <w:proofErr w:type="spellEnd"/>
      <w:r w:rsidRPr="573AF587">
        <w:rPr>
          <w:rFonts w:eastAsia="Calibri"/>
          <w:color w:val="000000" w:themeColor="text1"/>
        </w:rPr>
        <w:t xml:space="preserve"> staat nog in de kinderschoenen. De ambitie is om dit uit te bouwen en te implementeren binnen CMD</w:t>
      </w:r>
      <w:r>
        <w:rPr>
          <w:rFonts w:eastAsia="Calibri"/>
          <w:color w:val="000000" w:themeColor="text1"/>
        </w:rPr>
        <w:t xml:space="preserve"> zodat er duurzame relaties aangegaan kunnen worden met partners</w:t>
      </w:r>
      <w:r w:rsidRPr="573AF587">
        <w:rPr>
          <w:rFonts w:eastAsia="Calibri"/>
          <w:color w:val="000000" w:themeColor="text1"/>
        </w:rPr>
        <w:t xml:space="preserve">. </w:t>
      </w:r>
    </w:p>
    <w:p w14:paraId="0E634B49" w14:textId="77777777" w:rsidR="006F5EDC" w:rsidRPr="002B03B3" w:rsidRDefault="006F5EDC" w:rsidP="006F5EDC">
      <w:pPr>
        <w:pStyle w:val="ListParagraph"/>
        <w:numPr>
          <w:ilvl w:val="0"/>
          <w:numId w:val="3"/>
        </w:numPr>
        <w:spacing w:after="160" w:line="259" w:lineRule="auto"/>
        <w:ind w:left="426"/>
        <w:rPr>
          <w:b/>
          <w:bCs/>
        </w:rPr>
      </w:pPr>
      <w:r>
        <w:t>Wat betreft de borging van de onderwijskwaliteit zouden we m</w:t>
      </w:r>
      <w:r w:rsidRPr="00F9280C">
        <w:t>eer kwalitatieve bronnen van informatie ter evaluatie (panelgesprekken, peerfeedback onder docenten)</w:t>
      </w:r>
      <w:r>
        <w:t xml:space="preserve"> willen invoeren.</w:t>
      </w:r>
    </w:p>
    <w:p w14:paraId="124BFB6D" w14:textId="77777777" w:rsidR="006F5EDC" w:rsidRPr="00F9280C" w:rsidRDefault="006F5EDC" w:rsidP="006F5EDC">
      <w:pPr>
        <w:pStyle w:val="ListParagraph"/>
        <w:numPr>
          <w:ilvl w:val="0"/>
          <w:numId w:val="3"/>
        </w:numPr>
        <w:ind w:left="426"/>
      </w:pPr>
      <w:r>
        <w:t xml:space="preserve">Zoals ook bij standaard 1 genoemd, willen we de zelfstandigheid van studenten stimuleren en zelfregulatie ontwikkelen. Dit kan, naast een andere manier van toetsen </w:t>
      </w:r>
      <w:r w:rsidRPr="00F36449">
        <w:rPr>
          <w:highlight w:val="yellow"/>
        </w:rPr>
        <w:t>(zie ook</w:t>
      </w:r>
      <w:r>
        <w:rPr>
          <w:highlight w:val="yellow"/>
        </w:rPr>
        <w:t>:</w:t>
      </w:r>
      <w:r w:rsidRPr="00F36449">
        <w:rPr>
          <w:highlight w:val="yellow"/>
        </w:rPr>
        <w:t xml:space="preserve"> standaard 3</w:t>
      </w:r>
      <w:r>
        <w:t xml:space="preserve">), ook door te reflecteren op de eigen identiteit als ontwerper. Aan het einde van het fundament wordt een formatief assessment afgenomen. Dit reflectiegesprek is een van twee momenten waarop onze studenten de gelegenheid krijgen zichzelf te presenteren als CMD-ontwerper. Door samen met vakdocenten te reflecteren op hun rol als ontwerper zouden onze studenten beter begeleid kunnen worden bij het maken van hun eigen keuzes. De krachtgerichte benadering van SLB zoals nu in de propedeuse, wordt doorgezet naar jaar 2 en 3. </w:t>
      </w:r>
    </w:p>
    <w:p w14:paraId="07F93827" w14:textId="77777777" w:rsidR="006F5EDC" w:rsidRDefault="006F5EDC" w:rsidP="006F5EDC">
      <w:pPr>
        <w:pStyle w:val="ListParagraph"/>
        <w:spacing w:after="160" w:line="259" w:lineRule="auto"/>
        <w:ind w:left="426"/>
        <w:rPr>
          <w:b/>
          <w:bCs/>
        </w:rPr>
      </w:pPr>
    </w:p>
    <w:p w14:paraId="7EEBE271" w14:textId="77777777" w:rsidR="006F5EDC" w:rsidRPr="00D42660" w:rsidRDefault="006F5EDC" w:rsidP="006F5EDC">
      <w:pPr>
        <w:rPr>
          <w:i/>
          <w:iCs/>
        </w:rPr>
      </w:pPr>
      <w:r w:rsidRPr="00D42660">
        <w:rPr>
          <w:b/>
          <w:bCs/>
        </w:rPr>
        <w:t>Dilemma’s</w:t>
      </w:r>
      <w:r w:rsidRPr="00D42660">
        <w:rPr>
          <w:i/>
          <w:iCs/>
        </w:rPr>
        <w:t xml:space="preserve"> vragen waarover we graag met het panel in gesprek zouden willen.</w:t>
      </w:r>
    </w:p>
    <w:p w14:paraId="3A5B04AF" w14:textId="77777777" w:rsidR="006F5EDC" w:rsidRPr="00BB6BCB" w:rsidRDefault="006F5EDC" w:rsidP="006F5EDC">
      <w:pPr>
        <w:pStyle w:val="ListParagraph"/>
        <w:numPr>
          <w:ilvl w:val="0"/>
          <w:numId w:val="3"/>
        </w:numPr>
        <w:spacing w:after="160" w:line="259" w:lineRule="auto"/>
        <w:ind w:left="426"/>
        <w:rPr>
          <w:b/>
          <w:bCs/>
        </w:rPr>
      </w:pPr>
      <w:r>
        <w:t xml:space="preserve">De feedback uit de vorige accreditatie dat we internationalisering niet voldoende uitdragen blijft een dilemma: </w:t>
      </w:r>
      <w:r w:rsidRPr="00AF3ECC">
        <w:rPr>
          <w:i/>
          <w:iCs/>
        </w:rPr>
        <w:t>moeten</w:t>
      </w:r>
      <w:r>
        <w:t xml:space="preserve"> alle studenten internationale ervaringen opdoen tijdens hun studie? En waaruit zou dit dan minimaal moeten bestaan? Of is het voldoende als er mogelijkheden zijn voor die studenten die willen?</w:t>
      </w:r>
    </w:p>
    <w:p w14:paraId="23EBB023" w14:textId="77777777" w:rsidR="00B951C7" w:rsidRPr="009E65F6" w:rsidRDefault="00000000" w:rsidP="009E65F6"/>
    <w:sectPr w:rsidR="00B951C7" w:rsidRPr="009E65F6" w:rsidSect="000C403E">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64D4"/>
    <w:multiLevelType w:val="multilevel"/>
    <w:tmpl w:val="C5364A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303543"/>
    <w:multiLevelType w:val="multilevel"/>
    <w:tmpl w:val="2A9046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5962A83"/>
    <w:multiLevelType w:val="hybridMultilevel"/>
    <w:tmpl w:val="701EC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6809B7"/>
    <w:multiLevelType w:val="multilevel"/>
    <w:tmpl w:val="A6C2D5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B443FFC"/>
    <w:multiLevelType w:val="multilevel"/>
    <w:tmpl w:val="BF62CE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4026107"/>
    <w:multiLevelType w:val="hybridMultilevel"/>
    <w:tmpl w:val="231E9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11575F"/>
    <w:multiLevelType w:val="multilevel"/>
    <w:tmpl w:val="58F4F4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8C8094A"/>
    <w:multiLevelType w:val="multilevel"/>
    <w:tmpl w:val="07A0EC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DD5687"/>
    <w:multiLevelType w:val="multilevel"/>
    <w:tmpl w:val="621067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6393A1B"/>
    <w:multiLevelType w:val="multilevel"/>
    <w:tmpl w:val="C8C6FD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8AE7C2F"/>
    <w:multiLevelType w:val="hybridMultilevel"/>
    <w:tmpl w:val="CD326F78"/>
    <w:lvl w:ilvl="0" w:tplc="0809000F">
      <w:start w:val="1"/>
      <w:numFmt w:val="decimal"/>
      <w:lvlText w:val="%1."/>
      <w:lvlJc w:val="left"/>
      <w:pPr>
        <w:ind w:left="1650" w:hanging="360"/>
      </w:pPr>
    </w:lvl>
    <w:lvl w:ilvl="1" w:tplc="08090019" w:tentative="1">
      <w:start w:val="1"/>
      <w:numFmt w:val="lowerLetter"/>
      <w:lvlText w:val="%2."/>
      <w:lvlJc w:val="left"/>
      <w:pPr>
        <w:ind w:left="2370" w:hanging="360"/>
      </w:pPr>
    </w:lvl>
    <w:lvl w:ilvl="2" w:tplc="0809001B" w:tentative="1">
      <w:start w:val="1"/>
      <w:numFmt w:val="lowerRoman"/>
      <w:lvlText w:val="%3."/>
      <w:lvlJc w:val="right"/>
      <w:pPr>
        <w:ind w:left="3090" w:hanging="180"/>
      </w:pPr>
    </w:lvl>
    <w:lvl w:ilvl="3" w:tplc="0809000F" w:tentative="1">
      <w:start w:val="1"/>
      <w:numFmt w:val="decimal"/>
      <w:lvlText w:val="%4."/>
      <w:lvlJc w:val="left"/>
      <w:pPr>
        <w:ind w:left="3810" w:hanging="360"/>
      </w:pPr>
    </w:lvl>
    <w:lvl w:ilvl="4" w:tplc="08090019" w:tentative="1">
      <w:start w:val="1"/>
      <w:numFmt w:val="lowerLetter"/>
      <w:lvlText w:val="%5."/>
      <w:lvlJc w:val="left"/>
      <w:pPr>
        <w:ind w:left="4530" w:hanging="360"/>
      </w:pPr>
    </w:lvl>
    <w:lvl w:ilvl="5" w:tplc="0809001B" w:tentative="1">
      <w:start w:val="1"/>
      <w:numFmt w:val="lowerRoman"/>
      <w:lvlText w:val="%6."/>
      <w:lvlJc w:val="right"/>
      <w:pPr>
        <w:ind w:left="5250" w:hanging="180"/>
      </w:pPr>
    </w:lvl>
    <w:lvl w:ilvl="6" w:tplc="0809000F" w:tentative="1">
      <w:start w:val="1"/>
      <w:numFmt w:val="decimal"/>
      <w:lvlText w:val="%7."/>
      <w:lvlJc w:val="left"/>
      <w:pPr>
        <w:ind w:left="5970" w:hanging="360"/>
      </w:pPr>
    </w:lvl>
    <w:lvl w:ilvl="7" w:tplc="08090019" w:tentative="1">
      <w:start w:val="1"/>
      <w:numFmt w:val="lowerLetter"/>
      <w:lvlText w:val="%8."/>
      <w:lvlJc w:val="left"/>
      <w:pPr>
        <w:ind w:left="6690" w:hanging="360"/>
      </w:pPr>
    </w:lvl>
    <w:lvl w:ilvl="8" w:tplc="0809001B" w:tentative="1">
      <w:start w:val="1"/>
      <w:numFmt w:val="lowerRoman"/>
      <w:lvlText w:val="%9."/>
      <w:lvlJc w:val="right"/>
      <w:pPr>
        <w:ind w:left="7410" w:hanging="180"/>
      </w:pPr>
    </w:lvl>
  </w:abstractNum>
  <w:abstractNum w:abstractNumId="11" w15:restartNumberingAfterBreak="0">
    <w:nsid w:val="7999247E"/>
    <w:multiLevelType w:val="hybridMultilevel"/>
    <w:tmpl w:val="0A6C2F02"/>
    <w:lvl w:ilvl="0" w:tplc="5472FC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379802">
    <w:abstractNumId w:val="11"/>
  </w:num>
  <w:num w:numId="2" w16cid:durableId="1523587706">
    <w:abstractNumId w:val="5"/>
  </w:num>
  <w:num w:numId="3" w16cid:durableId="2021539876">
    <w:abstractNumId w:val="2"/>
  </w:num>
  <w:num w:numId="4" w16cid:durableId="1423915249">
    <w:abstractNumId w:val="8"/>
  </w:num>
  <w:num w:numId="5" w16cid:durableId="788015422">
    <w:abstractNumId w:val="1"/>
  </w:num>
  <w:num w:numId="6" w16cid:durableId="1509364586">
    <w:abstractNumId w:val="4"/>
  </w:num>
  <w:num w:numId="7" w16cid:durableId="1859614169">
    <w:abstractNumId w:val="9"/>
  </w:num>
  <w:num w:numId="8" w16cid:durableId="1216114398">
    <w:abstractNumId w:val="6"/>
  </w:num>
  <w:num w:numId="9" w16cid:durableId="222257951">
    <w:abstractNumId w:val="3"/>
  </w:num>
  <w:num w:numId="10" w16cid:durableId="2039314657">
    <w:abstractNumId w:val="0"/>
  </w:num>
  <w:num w:numId="11" w16cid:durableId="489489408">
    <w:abstractNumId w:val="7"/>
  </w:num>
  <w:num w:numId="12" w16cid:durableId="1046925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5FB"/>
    <w:rsid w:val="00000997"/>
    <w:rsid w:val="00084EA4"/>
    <w:rsid w:val="00093515"/>
    <w:rsid w:val="000C403E"/>
    <w:rsid w:val="000C407F"/>
    <w:rsid w:val="000D76AA"/>
    <w:rsid w:val="000E073F"/>
    <w:rsid w:val="001105AC"/>
    <w:rsid w:val="00151713"/>
    <w:rsid w:val="001A4155"/>
    <w:rsid w:val="00266B0F"/>
    <w:rsid w:val="002A3CE7"/>
    <w:rsid w:val="003005FB"/>
    <w:rsid w:val="00387DAD"/>
    <w:rsid w:val="00453D15"/>
    <w:rsid w:val="004C7696"/>
    <w:rsid w:val="006137E9"/>
    <w:rsid w:val="00613985"/>
    <w:rsid w:val="00646099"/>
    <w:rsid w:val="00662DF0"/>
    <w:rsid w:val="006B2E80"/>
    <w:rsid w:val="006F5EDC"/>
    <w:rsid w:val="00752499"/>
    <w:rsid w:val="00770FED"/>
    <w:rsid w:val="00784686"/>
    <w:rsid w:val="00796547"/>
    <w:rsid w:val="00840E8A"/>
    <w:rsid w:val="0091452E"/>
    <w:rsid w:val="0095159A"/>
    <w:rsid w:val="009A4204"/>
    <w:rsid w:val="009E65F6"/>
    <w:rsid w:val="00AC5842"/>
    <w:rsid w:val="00B64F2D"/>
    <w:rsid w:val="00B87474"/>
    <w:rsid w:val="00BF0E9D"/>
    <w:rsid w:val="00C864C5"/>
    <w:rsid w:val="00D00BDC"/>
    <w:rsid w:val="00D60CF0"/>
    <w:rsid w:val="00D94D35"/>
    <w:rsid w:val="00E121D6"/>
    <w:rsid w:val="00E92047"/>
    <w:rsid w:val="00F36449"/>
    <w:rsid w:val="00F72711"/>
    <w:rsid w:val="00F8001C"/>
    <w:rsid w:val="00FD748A"/>
    <w:rsid w:val="00FE7C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4FD045D"/>
  <w14:defaultImageDpi w14:val="32767"/>
  <w15:chartTrackingRefBased/>
  <w15:docId w15:val="{17B23830-E892-EF42-A1C0-E3762A72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05FB"/>
    <w:rPr>
      <w:rFonts w:ascii="Open Sans" w:hAnsi="Open Sans" w:cs="Open Sans"/>
      <w:sz w:val="20"/>
      <w:szCs w:val="20"/>
      <w:lang w:val="nl-NL"/>
    </w:rPr>
  </w:style>
  <w:style w:type="paragraph" w:styleId="Heading1">
    <w:name w:val="heading 1"/>
    <w:basedOn w:val="Normal"/>
    <w:next w:val="Normal"/>
    <w:link w:val="Heading1Char"/>
    <w:uiPriority w:val="9"/>
    <w:qFormat/>
    <w:rsid w:val="003005FB"/>
    <w:pPr>
      <w:keepNext/>
      <w:keepLines/>
      <w:spacing w:before="24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3005FB"/>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5FB"/>
    <w:rPr>
      <w:rFonts w:ascii="Open Sans" w:eastAsiaTheme="majorEastAsia" w:hAnsi="Open Sans" w:cs="Open Sans"/>
      <w:color w:val="000000" w:themeColor="text1"/>
      <w:sz w:val="32"/>
      <w:szCs w:val="32"/>
      <w:lang w:val="nl-NL"/>
    </w:rPr>
  </w:style>
  <w:style w:type="character" w:customStyle="1" w:styleId="Heading2Char">
    <w:name w:val="Heading 2 Char"/>
    <w:basedOn w:val="DefaultParagraphFont"/>
    <w:link w:val="Heading2"/>
    <w:uiPriority w:val="9"/>
    <w:rsid w:val="003005FB"/>
    <w:rPr>
      <w:rFonts w:ascii="Open Sans" w:hAnsi="Open Sans" w:cs="Open Sans"/>
      <w:b/>
      <w:bCs/>
      <w:sz w:val="20"/>
      <w:szCs w:val="20"/>
      <w:lang w:val="nl-NL"/>
    </w:rPr>
  </w:style>
  <w:style w:type="paragraph" w:styleId="ListParagraph">
    <w:name w:val="List Paragraph"/>
    <w:basedOn w:val="Normal"/>
    <w:uiPriority w:val="34"/>
    <w:qFormat/>
    <w:rsid w:val="003005FB"/>
    <w:pPr>
      <w:ind w:left="720"/>
      <w:contextualSpacing/>
    </w:pPr>
  </w:style>
  <w:style w:type="paragraph" w:styleId="CommentText">
    <w:name w:val="annotation text"/>
    <w:basedOn w:val="Normal"/>
    <w:link w:val="CommentTextChar"/>
    <w:uiPriority w:val="99"/>
    <w:unhideWhenUsed/>
    <w:rsid w:val="003005FB"/>
    <w:pPr>
      <w:spacing w:after="160"/>
    </w:pPr>
    <w:rPr>
      <w:rFonts w:asciiTheme="minorHAnsi" w:hAnsiTheme="minorHAnsi" w:cstheme="minorBidi"/>
    </w:rPr>
  </w:style>
  <w:style w:type="character" w:customStyle="1" w:styleId="CommentTextChar">
    <w:name w:val="Comment Text Char"/>
    <w:basedOn w:val="DefaultParagraphFont"/>
    <w:link w:val="CommentText"/>
    <w:uiPriority w:val="99"/>
    <w:rsid w:val="003005FB"/>
    <w:rPr>
      <w:sz w:val="20"/>
      <w:szCs w:val="20"/>
      <w:lang w:val="nl-NL"/>
    </w:rPr>
  </w:style>
  <w:style w:type="character" w:styleId="CommentReference">
    <w:name w:val="annotation reference"/>
    <w:basedOn w:val="DefaultParagraphFont"/>
    <w:uiPriority w:val="99"/>
    <w:semiHidden/>
    <w:unhideWhenUsed/>
    <w:rsid w:val="003005FB"/>
    <w:rPr>
      <w:sz w:val="16"/>
      <w:szCs w:val="16"/>
    </w:rPr>
  </w:style>
  <w:style w:type="character" w:styleId="Hyperlink">
    <w:name w:val="Hyperlink"/>
    <w:basedOn w:val="DefaultParagraphFont"/>
    <w:uiPriority w:val="99"/>
    <w:unhideWhenUsed/>
    <w:rsid w:val="003005FB"/>
    <w:rPr>
      <w:color w:val="0563C1" w:themeColor="hyperlink"/>
      <w:u w:val="single"/>
    </w:rPr>
  </w:style>
  <w:style w:type="paragraph" w:customStyle="1" w:styleId="paragraph">
    <w:name w:val="paragraph"/>
    <w:basedOn w:val="Normal"/>
    <w:rsid w:val="003005FB"/>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eop">
    <w:name w:val="eop"/>
    <w:basedOn w:val="DefaultParagraphFont"/>
    <w:rsid w:val="003005FB"/>
  </w:style>
  <w:style w:type="character" w:styleId="Mention">
    <w:name w:val="Mention"/>
    <w:basedOn w:val="DefaultParagraphFont"/>
    <w:uiPriority w:val="99"/>
    <w:unhideWhenUsed/>
    <w:rsid w:val="003005FB"/>
    <w:rPr>
      <w:color w:val="2B579A"/>
      <w:shd w:val="clear" w:color="auto" w:fill="E6E6E6"/>
    </w:rPr>
  </w:style>
  <w:style w:type="character" w:styleId="FollowedHyperlink">
    <w:name w:val="FollowedHyperlink"/>
    <w:basedOn w:val="DefaultParagraphFont"/>
    <w:uiPriority w:val="99"/>
    <w:semiHidden/>
    <w:unhideWhenUsed/>
    <w:rsid w:val="003005FB"/>
    <w:rPr>
      <w:color w:val="954F72" w:themeColor="followedHyperlink"/>
      <w:u w:val="single"/>
    </w:rPr>
  </w:style>
  <w:style w:type="character" w:customStyle="1" w:styleId="normaltextrun">
    <w:name w:val="normaltextrun"/>
    <w:basedOn w:val="DefaultParagraphFont"/>
    <w:rsid w:val="00B64F2D"/>
  </w:style>
  <w:style w:type="character" w:customStyle="1" w:styleId="scxw12967260">
    <w:name w:val="scxw12967260"/>
    <w:basedOn w:val="DefaultParagraphFont"/>
    <w:rsid w:val="00B6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72877">
      <w:bodyDiv w:val="1"/>
      <w:marLeft w:val="0"/>
      <w:marRight w:val="0"/>
      <w:marTop w:val="0"/>
      <w:marBottom w:val="0"/>
      <w:divBdr>
        <w:top w:val="none" w:sz="0" w:space="0" w:color="auto"/>
        <w:left w:val="none" w:sz="0" w:space="0" w:color="auto"/>
        <w:bottom w:val="none" w:sz="0" w:space="0" w:color="auto"/>
        <w:right w:val="none" w:sz="0" w:space="0" w:color="auto"/>
      </w:divBdr>
      <w:divsChild>
        <w:div w:id="1832746663">
          <w:marLeft w:val="0"/>
          <w:marRight w:val="0"/>
          <w:marTop w:val="0"/>
          <w:marBottom w:val="0"/>
          <w:divBdr>
            <w:top w:val="none" w:sz="0" w:space="0" w:color="auto"/>
            <w:left w:val="none" w:sz="0" w:space="0" w:color="auto"/>
            <w:bottom w:val="none" w:sz="0" w:space="0" w:color="auto"/>
            <w:right w:val="none" w:sz="0" w:space="0" w:color="auto"/>
          </w:divBdr>
        </w:div>
        <w:div w:id="840781764">
          <w:marLeft w:val="0"/>
          <w:marRight w:val="0"/>
          <w:marTop w:val="0"/>
          <w:marBottom w:val="0"/>
          <w:divBdr>
            <w:top w:val="none" w:sz="0" w:space="0" w:color="auto"/>
            <w:left w:val="none" w:sz="0" w:space="0" w:color="auto"/>
            <w:bottom w:val="none" w:sz="0" w:space="0" w:color="auto"/>
            <w:right w:val="none" w:sz="0" w:space="0" w:color="auto"/>
          </w:divBdr>
        </w:div>
        <w:div w:id="1067342523">
          <w:marLeft w:val="0"/>
          <w:marRight w:val="0"/>
          <w:marTop w:val="0"/>
          <w:marBottom w:val="0"/>
          <w:divBdr>
            <w:top w:val="none" w:sz="0" w:space="0" w:color="auto"/>
            <w:left w:val="none" w:sz="0" w:space="0" w:color="auto"/>
            <w:bottom w:val="none" w:sz="0" w:space="0" w:color="auto"/>
            <w:right w:val="none" w:sz="0" w:space="0" w:color="auto"/>
          </w:divBdr>
        </w:div>
        <w:div w:id="1361972441">
          <w:marLeft w:val="0"/>
          <w:marRight w:val="0"/>
          <w:marTop w:val="0"/>
          <w:marBottom w:val="0"/>
          <w:divBdr>
            <w:top w:val="none" w:sz="0" w:space="0" w:color="auto"/>
            <w:left w:val="none" w:sz="0" w:space="0" w:color="auto"/>
            <w:bottom w:val="none" w:sz="0" w:space="0" w:color="auto"/>
            <w:right w:val="none" w:sz="0" w:space="0" w:color="auto"/>
          </w:divBdr>
        </w:div>
        <w:div w:id="2015111857">
          <w:marLeft w:val="0"/>
          <w:marRight w:val="0"/>
          <w:marTop w:val="0"/>
          <w:marBottom w:val="0"/>
          <w:divBdr>
            <w:top w:val="none" w:sz="0" w:space="0" w:color="auto"/>
            <w:left w:val="none" w:sz="0" w:space="0" w:color="auto"/>
            <w:bottom w:val="none" w:sz="0" w:space="0" w:color="auto"/>
            <w:right w:val="none" w:sz="0" w:space="0" w:color="auto"/>
          </w:divBdr>
        </w:div>
        <w:div w:id="1377192760">
          <w:marLeft w:val="0"/>
          <w:marRight w:val="0"/>
          <w:marTop w:val="0"/>
          <w:marBottom w:val="0"/>
          <w:divBdr>
            <w:top w:val="none" w:sz="0" w:space="0" w:color="auto"/>
            <w:left w:val="none" w:sz="0" w:space="0" w:color="auto"/>
            <w:bottom w:val="none" w:sz="0" w:space="0" w:color="auto"/>
            <w:right w:val="none" w:sz="0" w:space="0" w:color="auto"/>
          </w:divBdr>
        </w:div>
        <w:div w:id="708259919">
          <w:marLeft w:val="0"/>
          <w:marRight w:val="0"/>
          <w:marTop w:val="0"/>
          <w:marBottom w:val="0"/>
          <w:divBdr>
            <w:top w:val="none" w:sz="0" w:space="0" w:color="auto"/>
            <w:left w:val="none" w:sz="0" w:space="0" w:color="auto"/>
            <w:bottom w:val="none" w:sz="0" w:space="0" w:color="auto"/>
            <w:right w:val="none" w:sz="0" w:space="0" w:color="auto"/>
          </w:divBdr>
        </w:div>
        <w:div w:id="1358196818">
          <w:marLeft w:val="0"/>
          <w:marRight w:val="0"/>
          <w:marTop w:val="0"/>
          <w:marBottom w:val="0"/>
          <w:divBdr>
            <w:top w:val="none" w:sz="0" w:space="0" w:color="auto"/>
            <w:left w:val="none" w:sz="0" w:space="0" w:color="auto"/>
            <w:bottom w:val="none" w:sz="0" w:space="0" w:color="auto"/>
            <w:right w:val="none" w:sz="0" w:space="0" w:color="auto"/>
          </w:divBdr>
        </w:div>
        <w:div w:id="446117948">
          <w:marLeft w:val="0"/>
          <w:marRight w:val="0"/>
          <w:marTop w:val="0"/>
          <w:marBottom w:val="0"/>
          <w:divBdr>
            <w:top w:val="none" w:sz="0" w:space="0" w:color="auto"/>
            <w:left w:val="none" w:sz="0" w:space="0" w:color="auto"/>
            <w:bottom w:val="none" w:sz="0" w:space="0" w:color="auto"/>
            <w:right w:val="none" w:sz="0" w:space="0" w:color="auto"/>
          </w:divBdr>
        </w:div>
        <w:div w:id="2123646708">
          <w:marLeft w:val="0"/>
          <w:marRight w:val="0"/>
          <w:marTop w:val="0"/>
          <w:marBottom w:val="0"/>
          <w:divBdr>
            <w:top w:val="none" w:sz="0" w:space="0" w:color="auto"/>
            <w:left w:val="none" w:sz="0" w:space="0" w:color="auto"/>
            <w:bottom w:val="none" w:sz="0" w:space="0" w:color="auto"/>
            <w:right w:val="none" w:sz="0" w:space="0" w:color="auto"/>
          </w:divBdr>
        </w:div>
        <w:div w:id="1196892475">
          <w:marLeft w:val="0"/>
          <w:marRight w:val="0"/>
          <w:marTop w:val="0"/>
          <w:marBottom w:val="0"/>
          <w:divBdr>
            <w:top w:val="none" w:sz="0" w:space="0" w:color="auto"/>
            <w:left w:val="none" w:sz="0" w:space="0" w:color="auto"/>
            <w:bottom w:val="none" w:sz="0" w:space="0" w:color="auto"/>
            <w:right w:val="none" w:sz="0" w:space="0" w:color="auto"/>
          </w:divBdr>
        </w:div>
        <w:div w:id="2034306703">
          <w:marLeft w:val="0"/>
          <w:marRight w:val="0"/>
          <w:marTop w:val="0"/>
          <w:marBottom w:val="0"/>
          <w:divBdr>
            <w:top w:val="none" w:sz="0" w:space="0" w:color="auto"/>
            <w:left w:val="none" w:sz="0" w:space="0" w:color="auto"/>
            <w:bottom w:val="none" w:sz="0" w:space="0" w:color="auto"/>
            <w:right w:val="none" w:sz="0" w:space="0" w:color="auto"/>
          </w:divBdr>
        </w:div>
        <w:div w:id="23873590">
          <w:marLeft w:val="0"/>
          <w:marRight w:val="0"/>
          <w:marTop w:val="0"/>
          <w:marBottom w:val="0"/>
          <w:divBdr>
            <w:top w:val="none" w:sz="0" w:space="0" w:color="auto"/>
            <w:left w:val="none" w:sz="0" w:space="0" w:color="auto"/>
            <w:bottom w:val="none" w:sz="0" w:space="0" w:color="auto"/>
            <w:right w:val="none" w:sz="0" w:space="0" w:color="auto"/>
          </w:divBdr>
        </w:div>
        <w:div w:id="607200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2784</Words>
  <Characters>15870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Kamp</dc:creator>
  <cp:keywords/>
  <dc:description/>
  <cp:lastModifiedBy>Irene Kamp</cp:lastModifiedBy>
  <cp:revision>2</cp:revision>
  <cp:lastPrinted>2022-05-16T12:06:00Z</cp:lastPrinted>
  <dcterms:created xsi:type="dcterms:W3CDTF">2022-08-31T13:41:00Z</dcterms:created>
  <dcterms:modified xsi:type="dcterms:W3CDTF">2022-08-31T13:41:00Z</dcterms:modified>
</cp:coreProperties>
</file>