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4E79"/>
          <w:sz w:val="32"/>
        </w:rPr>
        <w:t>Коммерческое предложение ЗАО «Эмпилс»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595959"/>
          <w:sz w:val="22"/>
        </w:rPr>
        <w:t>Партнёр: Вегос-М (Урбаева В.С.) · Республика Бурятия</w:t>
      </w:r>
    </w:p>
    <w:p>
      <w:pPr>
        <w:spacing w:before="40" w:after="40"/>
        <w:pBdr>
          <w:bottom w:val="single" w:sz="6" w:space="1" w:color="1F4E79"/>
        </w:pBdr>
      </w:pPr>
    </w:p>
    <w:p>
      <w:pPr>
        <w:spacing w:before="160" w:after="120"/>
      </w:pPr>
      <w:r>
        <w:rPr>
          <w:rFonts w:ascii="Calibri" w:hAnsi="Calibri"/>
          <w:b/>
          <w:color w:val="1F4E79"/>
          <w:sz w:val="26"/>
        </w:rPr>
        <w:t>ЗАРАБОТОК ПАРТНЁРА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Доход от наценки (35%)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Бонусы Эмпилс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ИТОГО ДОХОД</w:t>
            </w:r>
          </w:p>
        </w:tc>
        <w:tc>
          <w:tcPr>
            <w:tcW w:type="dxa" w:w="85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Рост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13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1,2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6,2 млн ₽</w:t>
            </w:r>
          </w:p>
        </w:tc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25 млн ₽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9 млн ₽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2,5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11,5 млн ₽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×1,9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50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18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5,5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23,5 млн ₽</w:t>
            </w:r>
          </w:p>
        </w:tc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×2,0</w:t>
            </w:r>
          </w:p>
        </w:tc>
      </w:tr>
      <w:tr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ИТОГО за 3 года</w:t>
            </w:r>
          </w:p>
        </w:tc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88 млн ₽</w:t>
            </w:r>
          </w:p>
        </w:tc>
        <w:tc>
          <w:tcPr>
            <w:tcW w:type="dxa" w:w="1701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32 млн ₽</w:t>
            </w:r>
          </w:p>
        </w:tc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9,2 млн ₽</w:t>
            </w:r>
          </w:p>
        </w:tc>
        <w:tc>
          <w:tcPr>
            <w:tcW w:type="dxa" w:w="158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41,2 млн ₽</w:t>
            </w:r>
          </w:p>
        </w:tc>
        <w:tc>
          <w:tcPr>
            <w:tcW w:type="dxa" w:w="850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4E79"/>
          <w:sz w:val="20"/>
        </w:rPr>
        <w:t>50 млн ₽ — целевой товарооборот Эмпилс в Год 3 = 8% потенциала региона. Заработок партнёра: 18 млн ₽/год при наценке 35%.</w:t>
      </w:r>
    </w:p>
    <w:p>
      <w:pPr>
        <w:spacing w:after="80"/>
      </w:pPr>
      <w:r>
        <w:rPr>
          <w:rFonts w:ascii="Calibri" w:hAnsi="Calibri"/>
          <w:b w:val="0"/>
          <w:i w:val="0"/>
          <w:color w:val="595959"/>
          <w:sz w:val="20"/>
        </w:rPr>
        <w:t>Покрытие АКБ: 200 РТТ. Дистрибьютор: 1 ЭТП + собственная команда торговых представителей.</w:t>
      </w:r>
    </w:p>
    <w:p>
      <w:pPr>
        <w:spacing w:before="40" w:after="40"/>
        <w:pBdr>
          <w:bottom w:val="single" w:sz="6" w:space="1" w:color="1F4E79"/>
        </w:pBdr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ТОВАРООБОРОТ И ЗАРАБОТОК ПАРТНЁРА ПО ГОДАМ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Наценка 35% (доход партнёра)</w:t>
            </w:r>
          </w:p>
        </w:tc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13 млн ₽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 млн ₽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ЭТП + ТП дистрибьютора, 300 SKU</w:t>
            </w:r>
          </w:p>
        </w:tc>
      </w:tr>
      <w:tr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25 млн ₽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9 млн ₽</w:t>
            </w:r>
          </w:p>
        </w:tc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Расширение АКБ до РТТ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18 млн ₽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Полное покрытие 8% потенциала</w:t>
            </w:r>
          </w:p>
        </w:tc>
      </w:tr>
      <w:tr>
        <w:tc>
          <w:tcPr>
            <w:tcW w:type="dxa" w:w="1134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88 млн ₽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32 млн ₽</w:t>
            </w:r>
          </w:p>
        </w:tc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За 3 года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СИСТЕМА БОНУСИРОВАНИЯ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Условия: выполнение плана по ассортименту (наличие обязательных SKU) + выполнение ежемесячного плана товарооборота + выполнение годового плана. Бонус выплачивается ретро-бонусом (кредит-нотой) по итогам года.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5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ассортимент (4%)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ежемес. ТО (4%)</w:t>
            </w:r>
          </w:p>
        </w:tc>
        <w:tc>
          <w:tcPr>
            <w:tcW w:type="dxa" w:w="124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год. план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Итого бонус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Итого доход (наценка + бонус)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13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0,52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0,52 млн ₽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0,13 млн ₽ (1%)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1,17 млн ₽ (9%)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6,2 млн ₽</w:t>
            </w:r>
          </w:p>
        </w:tc>
      </w:tr>
      <w:tr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25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1,0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1,0 млн ₽</w:t>
            </w:r>
          </w:p>
        </w:tc>
        <w:tc>
          <w:tcPr>
            <w:tcW w:type="dxa" w:w="124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0,5 млн ₽ (2%)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2,5 млн ₽ (10%)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11,5 млн ₽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2,0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2,0 млн ₽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1,5 млн ₽ (3%)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5,5 млн ₽ (11%)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23,5 млн ₽</w:t>
            </w:r>
          </w:p>
        </w:tc>
      </w:tr>
      <w:tr>
        <w:tc>
          <w:tcPr>
            <w:tcW w:type="dxa" w:w="850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88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3,52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3,52 млн ₽</w:t>
            </w:r>
          </w:p>
        </w:tc>
        <w:tc>
          <w:tcPr>
            <w:tcW w:type="dxa" w:w="124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2,13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9,17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41,2 млн ₽</w:t>
            </w:r>
          </w:p>
        </w:tc>
      </w:tr>
    </w:tbl>
    <w:p>
      <w:pPr>
        <w:spacing w:before="80" w:after="80"/>
      </w:pPr>
    </w:p>
    <w:p>
      <w:pPr>
        <w:spacing w:before="40" w:after="40"/>
        <w:pBdr>
          <w:bottom w:val="single" w:sz="6" w:space="1" w:color="1F4E79"/>
        </w:pBdr>
      </w:pPr>
    </w:p>
    <w:p>
      <w:pPr>
        <w:spacing w:after="160"/>
        <w:jc w:val="center"/>
      </w:pPr>
      <w:r>
        <w:rPr>
          <w:rFonts w:ascii="Calibri" w:hAnsi="Calibri"/>
          <w:b/>
          <w:i w:val="0"/>
          <w:color w:val="1F4E79"/>
          <w:sz w:val="22"/>
        </w:rPr>
        <w:t>↓ ДЕТАЛИЗАЦИЯ РАСЧЁТА ↓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1. ПОТЕНЦИАЛ РЕГИОНА — НАСЕЛЕНИЕ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0"/>
        </w:rPr>
        <w:t>База расчёта: городское население — 560 000 чел.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Регион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Население (чел.)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Ключевые города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Города (чел.)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Республика Бурятия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982 000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Улан-Удэ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435 000</w:t>
            </w:r>
          </w:p>
        </w:tc>
      </w:tr>
      <w:tr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+ Гусиноозёрск, Северобайкальск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города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50 000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+ Северобайкальск, Кяхта, Бабушкин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 города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75 000</w:t>
            </w:r>
          </w:p>
        </w:tc>
      </w:tr>
      <w:tr>
        <w:tc>
          <w:tcPr>
            <w:tcW w:type="dxa" w:w="3118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982 000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 городов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560 000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2. ПОТЕНЦИАЛ РЫНКА ЛКМ (по городскому населению)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рублях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тоннах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Потребление ЛКМ на душу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~1123 ₽/чел.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~14.59 кг/чел.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Расчёт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560 000 × 1123 ₽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560 000 × 14.59 кг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ПОТЕНЦИАЛ РЫНКА ЛКМ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629 млн ₽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8 170 т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ПОТЕНЦИАЛ РЫНКА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ФАКТИЧЕСКИЙ ТО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НЕДОЗАГРУЗКА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 ЭМПИЛС 8%</w:t>
            </w:r>
          </w:p>
        </w:tc>
      </w:tr>
      <w:tr>
        <w:tc>
          <w:tcPr>
            <w:tcW w:type="dxa" w:w="2098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629 млн ₽</w:t>
            </w:r>
            <w:r>
              <w:br/>
            </w:r>
            <w:r>
              <w:rPr>
                <w:rFonts w:ascii="Calibri" w:hAnsi="Calibri"/>
                <w:b/>
                <w:color w:val="1F4E79"/>
                <w:sz w:val="22"/>
              </w:rPr>
              <w:t>8 170 т</w:t>
            </w:r>
          </w:p>
        </w:tc>
        <w:tc>
          <w:tcPr>
            <w:tcW w:type="dxa" w:w="209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2"/>
              </w:rPr>
              <w:t>158 млн ₽</w:t>
            </w:r>
          </w:p>
        </w:tc>
        <w:tc>
          <w:tcPr>
            <w:tcW w:type="dxa" w:w="2098"/>
            <w:shd w:fill="FFC7CE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22"/>
              </w:rPr>
              <w:t>471 млн ₽</w:t>
            </w:r>
            <w:r>
              <w:br/>
            </w:r>
            <w:r>
              <w:rPr>
                <w:rFonts w:ascii="Calibri" w:hAnsi="Calibri"/>
                <w:b/>
                <w:color w:val="C00000"/>
                <w:sz w:val="22"/>
              </w:rPr>
              <w:t>75% рынка</w:t>
            </w:r>
          </w:p>
        </w:tc>
        <w:tc>
          <w:tcPr>
            <w:tcW w:type="dxa" w:w="2098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2"/>
              </w:rPr>
              <w:t>50 млн ₽</w:t>
            </w:r>
            <w:r>
              <w:br/>
            </w:r>
            <w:r>
              <w:rPr>
                <w:rFonts w:ascii="Calibri" w:hAnsi="Calibri"/>
                <w:b/>
                <w:color w:val="375623"/>
                <w:sz w:val="22"/>
              </w:rPr>
              <w:t>цель на 3 года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3. ТЕКУЩИЙ РЫНОК — ФАКТИЧЕСКИЕ ДИСТРИБЬЮТОРЫ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Дистрибьютор</w:t>
            </w:r>
          </w:p>
        </w:tc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Портфель конкурентов</w:t>
            </w:r>
          </w:p>
        </w:tc>
        <w:tc>
          <w:tcPr>
            <w:tcW w:type="dxa" w:w="226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Территория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Вегос-М (Урбаева В.С.)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АВС Фарбен (82,6%), Тиккурилла (12,8%), Мефферт, Новый Дом, Лакра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Республика Бурятия</w:t>
            </w:r>
          </w:p>
        </w:tc>
      </w:tr>
      <w:tr>
        <w:tc>
          <w:tcPr>
            <w:tcW w:type="dxa" w:w="2551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 (1 дистрибьютор)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Совокупный ТО: 158 млн ₽</w:t>
            </w:r>
          </w:p>
        </w:tc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регион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C00000"/>
          <w:sz w:val="24"/>
        </w:rPr>
        <w:t>НЕДОЗАГРУЗКА РЕГИОНА</w:t>
      </w:r>
    </w:p>
    <w:p>
      <w:pPr>
        <w:spacing w:after="80"/>
      </w:pPr>
      <w:r>
        <w:rPr>
          <w:rFonts w:ascii="Calibri" w:hAnsi="Calibri"/>
          <w:b/>
          <w:i w:val="0"/>
          <w:color w:val="C00000"/>
          <w:sz w:val="20"/>
        </w:rPr>
        <w:t>⚠ Регион недозагружен на 75% — потенциал 471 млн ₽ не освоен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Млрд ₽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Тонн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Теоретический потенциал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0.63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8 170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100%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Фактический ТО дистрибьюторов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0.16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158 млн ₽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25%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НЕДОЗАГРУЗКА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0.47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6 130 т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75%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4. ДОЛЯ ЭМПИЛС — 8% РЫНКА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0"/>
        </w:rPr>
        <w:t>50 млн ₽ — целевой товарооборот Эмпилс, достигаемый за 3 года. Покрытие АКБ: 200 РТТ.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рублях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тоннах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Потенциал рынка (100%)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629 млн ₽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8 170 т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Доля Эмпилс (8%)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654 т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5. ЦЕНООБРАЗОВАНИЕ — НАЦЕНКИ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Пример: при заводской цене 100 ₽ → дистрибьютор продаёт в РТТ по 135 ₽ → РТТ продаёт потребителю по ~202 ₽.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Цепочка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Наценка</w:t>
            </w:r>
          </w:p>
        </w:tc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Первичная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Дистрибьютор → РТТ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35%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Базовая наценка дистрибьютора при продаже в РТТ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Вторичная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РТТ → Потребитель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50%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Наценка РТТ при продаже конечному клиенту</w:t>
            </w:r>
          </w:p>
        </w:tc>
      </w:tr>
      <w:tr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Дистрибьютор → Потребитель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~102%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Совокупная наценка от заводской цены до цены на полке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6. ОТСРОЧКА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Диапазон 30-45 дней.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7. ОРГАНИЗАЦИЯ ПРОДАЖ — ЭКСКЛЮЗИВНЫЕ ТП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75% ЭТП нанимается в период первичной загрузки дистрибьютора.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ЭТП покрывает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120 РТТ ОКБ (80 АКБ)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Товарооборот через ЭТП</w:t>
            </w:r>
          </w:p>
        </w:tc>
        <w:tc>
          <w:tcPr>
            <w:tcW w:type="dxa" w:w="56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8 млн ₽/год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Товарооборот через ТП дистрибьютора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 млн ₽/год</w:t>
            </w:r>
          </w:p>
        </w:tc>
      </w:tr>
      <w:tr>
        <w:tc>
          <w:tcPr>
            <w:tcW w:type="dxa" w:w="3402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 год 1</w:t>
            </w:r>
          </w:p>
        </w:tc>
        <w:tc>
          <w:tcPr>
            <w:tcW w:type="dxa" w:w="56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13 млн ₽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8. ПРОГНОЗ ТОВАРООБОРОТА ПО ГОДАМ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Рост</w:t>
            </w:r>
          </w:p>
        </w:tc>
        <w:tc>
          <w:tcPr>
            <w:tcW w:type="dxa" w:w="51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13 млн ₽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ЭТП + ТП дистрибьютора, 300 SKU</w:t>
            </w:r>
          </w:p>
        </w:tc>
      </w:tr>
      <w:tr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25 млн ₽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×1,9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Расширение АКБ до 300+ РТТ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×2,0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Полное покрытие 8% потенциала + ЭТП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9. АССОРТИМЕНТ НАЧАЛА ВЗАИМОДЕЙСТВИЯ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20"/>
        </w:rPr>
        <w:t>Стартовый ассортимент: 300 SKU из портфеля Эмпилс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Бренды: · TITAN · PROFIWOOD · ОРЕОЛ · ОРЕОЛ ДИСКОНТ · РАСЦВЕТ · ПРОСТОКРАШЕНО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Категории: краски · фасадные · лаки · эмали · грунт-эмали · грунтовки · шпатлёвки · ЗДП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10. ПОДДЕРЖКА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Программа</w:t>
            </w:r>
          </w:p>
        </w:tc>
        <w:tc>
          <w:tcPr>
            <w:tcW w:type="dxa" w:w="6236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Программа мотивации общего прайса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Бонусы для ТП, продающих весь ассортимент Эмпилс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Мотивация сотрудников РТТ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Программа поощрения продавцов торговых точек за рекомендации продукции Эмпилс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Продвижение фокусных марок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Целевое продвижение топ-SKU (TITAN, PROFIWOOD) с повышенной маржой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Гибкая отсрочка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Индивидуальные условия отсрочки платежа в зависимости от объёма закупки и истории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Команда ЭТП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Старт с 1 эксклюзивным торговым представителем, обученным и мотивируемым Эмпилс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CISLINK DTS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Подключение к системе аналитики дистрибьюторов</w:t>
            </w:r>
          </w:p>
        </w:tc>
      </w:tr>
    </w:tbl>
    <w:p>
      <w:pPr>
        <w:spacing w:before="80" w:after="80"/>
      </w:pPr>
    </w:p>
    <w:p>
      <w:pPr>
        <w:spacing w:before="40" w:after="40"/>
        <w:pBdr>
          <w:bottom w:val="single" w:sz="6" w:space="1" w:color="1F4E79"/>
        </w:pBdr>
      </w:pPr>
    </w:p>
    <w:p>
      <w:pPr>
        <w:spacing w:after="80"/>
        <w:jc w:val="right"/>
      </w:pPr>
      <w:r>
        <w:rPr>
          <w:rFonts w:ascii="Calibri" w:hAnsi="Calibri"/>
          <w:b/>
          <w:i w:val="0"/>
          <w:color w:val="1A1A1A"/>
          <w:sz w:val="20"/>
        </w:rPr>
        <w:t>Предложение действительно до 15.12.2026</w:t>
      </w:r>
    </w:p>
    <w:p>
      <w:pPr>
        <w:spacing w:after="80"/>
        <w:jc w:val="right"/>
      </w:pPr>
      <w:r>
        <w:rPr>
          <w:rFonts w:ascii="Calibri" w:hAnsi="Calibri"/>
          <w:b/>
          <w:i w:val="0"/>
          <w:color w:val="1A1A1A"/>
          <w:sz w:val="20"/>
        </w:rPr>
        <w:t xml:space="preserve">Региональный директор__________________  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