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Inter" w:hAnsi="Inter"/>
          <w:b/>
          <w:color w:val="2F3A48"/>
          <w:sz w:val="32"/>
        </w:rPr>
        <w:t>Отчёт по переговорам с дистрибьютором «Олимп»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F3A48" w:val="clear"/>
          </w:tcPr>
          <w:p>
            <w:pPr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4703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12 октября 2026</w:t>
            </w:r>
          </w:p>
        </w:tc>
      </w:tr>
      <w:tr>
        <w:tc>
          <w:tcPr>
            <w:tcW w:type="dxa" w:w="4703"/>
            <w:shd w:fill="2F3A48" w:val="clear"/>
          </w:tcPr>
          <w:p>
            <w:pPr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Партнёр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ООО «Олимп» (Алт. край, Новосиб., Кемер., Томск. обл.)</w:t>
            </w:r>
          </w:p>
        </w:tc>
      </w:tr>
      <w:tr>
        <w:tc>
          <w:tcPr>
            <w:tcW w:type="dxa" w:w="4703"/>
            <w:shd w:fill="2F3A48" w:val="clear"/>
          </w:tcPr>
          <w:p>
            <w:pPr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Продолжительность</w:t>
            </w:r>
          </w:p>
        </w:tc>
        <w:tc>
          <w:tcPr>
            <w:tcW w:type="dxa" w:w="4703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~81 минута</w:t>
            </w:r>
          </w:p>
        </w:tc>
      </w:tr>
      <w:tr>
        <w:tc>
          <w:tcPr>
            <w:tcW w:type="dxa" w:w="4703"/>
            <w:shd w:fill="2F3A48" w:val="clear"/>
          </w:tcPr>
          <w:p>
            <w:pPr>
              <w:jc w:val="left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Участники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Представители Эмпилс · Руководство ООО «Олимп»</w:t>
            </w:r>
          </w:p>
        </w:tc>
      </w:tr>
    </w:tbl>
    <w:p>
      <w:pPr>
        <w:jc w:val="center"/>
      </w:pPr>
      <w:r>
        <w:rPr>
          <w:color w:val="8A95A3"/>
          <w:sz w:val="16"/>
        </w:rPr>
        <w:t>——————————————————————————————————————————————————</w:t>
      </w:r>
    </w:p>
    <w:p>
      <w:r>
        <w:rPr>
          <w:rFonts w:ascii="Inter" w:hAnsi="Inter"/>
          <w:b/>
          <w:color w:val="C00000"/>
          <w:sz w:val="24"/>
        </w:rPr>
        <w:t>1. ОБСУЖДЕНИЕ КОММЕРЧЕСКОГО ПРЕДЛОЖЕНИЯ</w:t>
      </w:r>
    </w:p>
    <w:p>
      <w:r>
        <w:rPr>
          <w:rFonts w:ascii="Inter" w:hAnsi="Inter"/>
          <w:b/>
          <w:color w:val="2F3A48"/>
          <w:sz w:val="20"/>
        </w:rPr>
        <w:t>1.1. Потенциал рынка и расчёты</w:t>
      </w:r>
    </w:p>
    <w:p>
      <w:r>
        <w:rPr>
          <w:rFonts w:ascii="Inter" w:hAnsi="Inter"/>
          <w:b w:val="0"/>
          <w:color w:val="2F3A48"/>
          <w:sz w:val="20"/>
        </w:rPr>
        <w:t>Стороны обсудили представленные в КП расчёты потенциала рынка ЛКМ 5 регионов. Олимп отметил, что рынок более насыщен, чем представлено в КП — фактический товарооборот конкурентов может быть выше указанных 1 млрд ₽. Были названы крупные дистрибьюторы с товарооборотом 100-200 млн ₽, не вошедшие в таблицу.</w:t>
      </w:r>
    </w:p>
    <w:p>
      <w:r>
        <w:rPr>
          <w:rFonts w:ascii="Inter" w:hAnsi="Inter"/>
          <w:b/>
          <w:color w:val="2F3A48"/>
          <w:sz w:val="20"/>
        </w:rPr>
        <w:t>Уточнено:</w:t>
      </w:r>
    </w:p>
    <w:p>
      <w:pPr>
        <w:ind w:left="340"/>
      </w:pPr>
      <w:r>
        <w:rPr>
          <w:rFonts w:ascii="Inter" w:hAnsi="Inter"/>
          <w:color w:val="2F3A48"/>
          <w:sz w:val="20"/>
        </w:rPr>
        <w:t>·  Недозагрузка региона (2,7 млрд ₽) подтверждена как реальный потенциал для роста</w:t>
      </w:r>
    </w:p>
    <w:p>
      <w:pPr>
        <w:ind w:left="340"/>
      </w:pPr>
      <w:r>
        <w:rPr>
          <w:rFonts w:ascii="Inter" w:hAnsi="Inter"/>
          <w:color w:val="2F3A48"/>
          <w:sz w:val="20"/>
        </w:rPr>
        <w:t>·  Олимп согласился с логикой расчёта: городское население → потребление ЛКМ на душу → потенциал</w:t>
      </w:r>
    </w:p>
    <w:p>
      <w:pPr>
        <w:ind w:left="340"/>
      </w:pPr>
      <w:r>
        <w:rPr>
          <w:rFonts w:ascii="Inter" w:hAnsi="Inter"/>
          <w:color w:val="2F3A48"/>
          <w:sz w:val="20"/>
        </w:rPr>
        <w:t>·  Вопрос о точности цифр фактического ТО конкурентов — Олимп видит рынок шире</w:t>
      </w:r>
    </w:p>
    <w:p>
      <w:r>
        <w:rPr>
          <w:rFonts w:ascii="Inter" w:hAnsi="Inter"/>
          <w:b/>
          <w:color w:val="2F3A48"/>
          <w:sz w:val="20"/>
        </w:rPr>
        <w:t>1.2. Бонусная система</w:t>
      </w:r>
    </w:p>
    <w:p>
      <w:r>
        <w:rPr>
          <w:rFonts w:ascii="Inter" w:hAnsi="Inter"/>
          <w:b w:val="0"/>
          <w:color w:val="2F3A48"/>
          <w:sz w:val="20"/>
        </w:rPr>
        <w:t>Олимп детально заинтересовался системой бонусирования: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3A48" w:val="clear"/>
          </w:tcPr>
          <w:p>
            <w:pPr>
              <w:jc w:val="center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Бонус</w:t>
            </w:r>
          </w:p>
        </w:tc>
        <w:tc>
          <w:tcPr>
            <w:tcW w:type="dxa" w:w="3135"/>
            <w:shd w:fill="2F3A48" w:val="clear"/>
          </w:tcPr>
          <w:p>
            <w:pPr>
              <w:jc w:val="center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Ставка</w:t>
            </w:r>
          </w:p>
        </w:tc>
        <w:tc>
          <w:tcPr>
            <w:tcW w:type="dxa" w:w="3135"/>
            <w:shd w:fill="2F3A48" w:val="clear"/>
          </w:tcPr>
          <w:p>
            <w:pPr>
              <w:jc w:val="center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Условие</w:t>
            </w:r>
          </w:p>
        </w:tc>
      </w:tr>
      <w:tr>
        <w:tc>
          <w:tcPr>
            <w:tcW w:type="dxa" w:w="3135"/>
            <w:shd w:fill="F5F2EC" w:val="clear"/>
          </w:tcPr>
          <w:p>
            <w:pPr>
              <w:jc w:val="center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За ассортимент</w:t>
            </w:r>
          </w:p>
        </w:tc>
        <w:tc>
          <w:tcPr>
            <w:tcW w:type="dxa" w:w="3135"/>
            <w:shd w:fill="F5F2EC" w:val="clear"/>
          </w:tcPr>
          <w:p>
            <w:pPr>
              <w:jc w:val="center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4%</w:t>
            </w:r>
          </w:p>
        </w:tc>
        <w:tc>
          <w:tcPr>
            <w:tcW w:type="dxa" w:w="3135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Наличие обязательных SKU в каждой РТТ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За ежемесячный ТО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4%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Выполнение плана товарооборота по месяцам</w:t>
            </w:r>
          </w:p>
        </w:tc>
      </w:tr>
      <w:tr>
        <w:tc>
          <w:tcPr>
            <w:tcW w:type="dxa" w:w="3135"/>
            <w:shd w:fill="F5F2EC" w:val="clear"/>
          </w:tcPr>
          <w:p>
            <w:pPr>
              <w:jc w:val="center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За годовой план</w:t>
            </w:r>
          </w:p>
        </w:tc>
        <w:tc>
          <w:tcPr>
            <w:tcW w:type="dxa" w:w="3135"/>
            <w:shd w:fill="F5F2EC" w:val="clear"/>
          </w:tcPr>
          <w:p>
            <w:pPr>
              <w:jc w:val="center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1-3%</w:t>
            </w:r>
          </w:p>
        </w:tc>
        <w:tc>
          <w:tcPr>
            <w:tcW w:type="dxa" w:w="3135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Растёт: 1% (Г1), 2% (Г2), 3% (Г3)</w:t>
            </w:r>
          </w:p>
        </w:tc>
      </w:tr>
    </w:tbl>
    <w:p>
      <w:r>
        <w:rPr>
          <w:rFonts w:ascii="Inter" w:hAnsi="Inter"/>
          <w:b/>
          <w:color w:val="2F3A48"/>
          <w:sz w:val="20"/>
        </w:rPr>
        <w:t>Уточнено:</w:t>
      </w:r>
    </w:p>
    <w:p>
      <w:pPr>
        <w:ind w:left="340"/>
      </w:pPr>
      <w:r>
        <w:rPr>
          <w:rFonts w:ascii="Inter" w:hAnsi="Inter"/>
          <w:color w:val="2F3A48"/>
          <w:sz w:val="20"/>
        </w:rPr>
        <w:t>·  Бонус является статичным, добавляется к наценке при выполнении условий</w:t>
      </w:r>
    </w:p>
    <w:p>
      <w:pPr>
        <w:ind w:left="340"/>
      </w:pPr>
      <w:r>
        <w:rPr>
          <w:rFonts w:ascii="Inter" w:hAnsi="Inter"/>
          <w:color w:val="2F3A48"/>
          <w:sz w:val="20"/>
        </w:rPr>
        <w:t>·  Совокупный доход партнёра (наценка 35% + бонусы) — до 11% от ТО в Год 3</w:t>
      </w:r>
    </w:p>
    <w:p>
      <w:pPr>
        <w:ind w:left="340"/>
      </w:pPr>
      <w:r>
        <w:rPr>
          <w:rFonts w:ascii="Inter" w:hAnsi="Inter"/>
          <w:color w:val="2F3A48"/>
          <w:sz w:val="20"/>
        </w:rPr>
        <w:t>·  Олимп просил детализировать контроль выполнения плана по ассортименту</w:t>
      </w:r>
    </w:p>
    <w:p>
      <w:r>
        <w:rPr>
          <w:rFonts w:ascii="Inter" w:hAnsi="Inter"/>
          <w:b/>
          <w:color w:val="2F3A48"/>
          <w:sz w:val="20"/>
        </w:rPr>
        <w:t>1.3. Ценообразование и наценки</w:t>
      </w:r>
    </w:p>
    <w:p>
      <w:r>
        <w:rPr>
          <w:rFonts w:ascii="Inter" w:hAnsi="Inter"/>
          <w:b w:val="0"/>
          <w:color w:val="2F3A48"/>
          <w:sz w:val="20"/>
        </w:rPr>
        <w:t>Обсуждалась цепочка: завод → дистрибьютор (35%) → РТТ (50%) → потребитель.</w:t>
      </w:r>
    </w:p>
    <w:p>
      <w:r>
        <w:rPr>
          <w:rFonts w:ascii="Inter" w:hAnsi="Inter"/>
          <w:b/>
          <w:color w:val="2F3A48"/>
          <w:sz w:val="20"/>
        </w:rPr>
        <w:t>Уточнено:</w:t>
      </w:r>
    </w:p>
    <w:p>
      <w:pPr>
        <w:ind w:left="340"/>
      </w:pPr>
      <w:r>
        <w:rPr>
          <w:rFonts w:ascii="Inter" w:hAnsi="Inter"/>
          <w:color w:val="2F3A48"/>
          <w:sz w:val="20"/>
        </w:rPr>
        <w:t>·  Пример: 100 ₽ (завод) → 135 ₽ (дистр.) → ~202 ₽ (полка)</w:t>
      </w:r>
    </w:p>
    <w:p>
      <w:pPr>
        <w:ind w:left="340"/>
      </w:pPr>
      <w:r>
        <w:rPr>
          <w:rFonts w:ascii="Inter" w:hAnsi="Inter"/>
          <w:color w:val="2F3A48"/>
          <w:sz w:val="20"/>
        </w:rPr>
        <w:t>·  Олимп интересовался, остаётся ли 7% рентабельности после налогов и издержек</w:t>
      </w:r>
    </w:p>
    <w:p>
      <w:pPr>
        <w:ind w:left="340"/>
      </w:pPr>
      <w:r>
        <w:rPr>
          <w:rFonts w:ascii="Inter" w:hAnsi="Inter"/>
          <w:color w:val="2F3A48"/>
          <w:sz w:val="20"/>
        </w:rPr>
        <w:t>·  Обсуждалась конкурентоспособность цены vs конкуренты (Тиккурила, Лакра, Рогнеда)</w:t>
      </w:r>
    </w:p>
    <w:p>
      <w:r>
        <w:rPr>
          <w:rFonts w:ascii="Inter" w:hAnsi="Inter"/>
          <w:b/>
          <w:color w:val="C00000"/>
          <w:sz w:val="24"/>
        </w:rPr>
        <w:t>2. ОРГАНИЗАЦИЯ ПРОДАЖ И ЭТП</w:t>
      </w:r>
    </w:p>
    <w:p>
      <w:r>
        <w:rPr>
          <w:rFonts w:ascii="Inter" w:hAnsi="Inter"/>
          <w:b/>
          <w:color w:val="2F3A48"/>
          <w:sz w:val="20"/>
        </w:rPr>
        <w:t>2.1. Структура команды</w:t>
      </w:r>
    </w:p>
    <w:p>
      <w:pPr>
        <w:ind w:left="340"/>
      </w:pPr>
      <w:r>
        <w:rPr>
          <w:rFonts w:ascii="Inter" w:hAnsi="Inter"/>
          <w:color w:val="2F3A48"/>
          <w:sz w:val="20"/>
        </w:rPr>
        <w:t>·  4 ЭТП покрывают 480 РТТ (ОКБ) / 320 АКБ — Олимп принял расчёт</w:t>
      </w:r>
    </w:p>
    <w:p>
      <w:pPr>
        <w:ind w:left="340"/>
      </w:pPr>
      <w:r>
        <w:rPr>
          <w:rFonts w:ascii="Inter" w:hAnsi="Inter"/>
          <w:color w:val="2F3A48"/>
          <w:sz w:val="20"/>
        </w:rPr>
        <w:t>·  Первый год: 60 млн ₽ при 4 ЭТП + ТП дистрибьютора</w:t>
      </w:r>
    </w:p>
    <w:p>
      <w:pPr>
        <w:ind w:left="340"/>
      </w:pPr>
      <w:r>
        <w:rPr>
          <w:rFonts w:ascii="Inter" w:hAnsi="Inter"/>
          <w:color w:val="2F3A48"/>
          <w:sz w:val="20"/>
        </w:rPr>
        <w:t>·  Инвестиции Эмпилс: оплата ЭТП, обучение, мотивация</w:t>
      </w:r>
    </w:p>
    <w:p>
      <w:r>
        <w:rPr>
          <w:rFonts w:ascii="Inter" w:hAnsi="Inter"/>
          <w:b/>
          <w:color w:val="2F3A48"/>
          <w:sz w:val="20"/>
        </w:rPr>
        <w:t>Уточнено:</w:t>
      </w:r>
    </w:p>
    <w:p>
      <w:pPr>
        <w:ind w:left="340"/>
      </w:pPr>
      <w:r>
        <w:rPr>
          <w:rFonts w:ascii="Inter" w:hAnsi="Inter"/>
          <w:color w:val="2F3A48"/>
          <w:sz w:val="20"/>
        </w:rPr>
        <w:t>·  Олимп просил понимание интеграции ЭТП в структуру дистрибьютора</w:t>
      </w:r>
    </w:p>
    <w:p>
      <w:pPr>
        <w:ind w:left="340"/>
      </w:pPr>
      <w:r>
        <w:rPr>
          <w:rFonts w:ascii="Inter" w:hAnsi="Inter"/>
          <w:color w:val="2F3A48"/>
          <w:sz w:val="20"/>
        </w:rPr>
        <w:t>·  Обсуждалась мотивация для ТП дистрибьютора (общий прайс)</w:t>
      </w:r>
    </w:p>
    <w:p>
      <w:pPr>
        <w:ind w:left="340"/>
      </w:pPr>
      <w:r>
        <w:rPr>
          <w:rFonts w:ascii="Inter" w:hAnsi="Inter"/>
          <w:color w:val="2F3A48"/>
          <w:sz w:val="20"/>
        </w:rPr>
        <w:t>·  Олимп хотел видеть прогнозируемую таблицу инвестиций</w:t>
      </w:r>
    </w:p>
    <w:p>
      <w:r>
        <w:rPr>
          <w:rFonts w:ascii="Inter" w:hAnsi="Inter"/>
          <w:b/>
          <w:color w:val="2F3A48"/>
          <w:sz w:val="20"/>
        </w:rPr>
        <w:t>2.2. TITAN как фокусный продукт</w:t>
      </w:r>
    </w:p>
    <w:p>
      <w:r>
        <w:rPr>
          <w:rFonts w:ascii="Inter" w:hAnsi="Inter"/>
          <w:b w:val="0"/>
          <w:color w:val="2F3A48"/>
          <w:sz w:val="20"/>
        </w:rPr>
        <w:t>Отдельно обсуждался TITAN грунт-эмаль 3-в-1:</w:t>
      </w:r>
    </w:p>
    <w:p>
      <w:pPr>
        <w:ind w:left="340"/>
      </w:pPr>
      <w:r>
        <w:rPr>
          <w:rFonts w:ascii="Inter" w:hAnsi="Inter"/>
          <w:color w:val="2F3A48"/>
          <w:sz w:val="20"/>
        </w:rPr>
        <w:t>·  Олимп признал, что органика — сильная сторона Эмпилс</w:t>
      </w:r>
    </w:p>
    <w:p>
      <w:pPr>
        <w:ind w:left="340"/>
      </w:pPr>
      <w:r>
        <w:rPr>
          <w:rFonts w:ascii="Inter" w:hAnsi="Inter"/>
          <w:color w:val="2F3A48"/>
          <w:sz w:val="20"/>
        </w:rPr>
        <w:t>·  TITAN — самый прибыльный продукт в органике для компании</w:t>
      </w:r>
    </w:p>
    <w:p>
      <w:pPr>
        <w:ind w:left="340"/>
      </w:pPr>
      <w:r>
        <w:rPr>
          <w:rFonts w:ascii="Inter" w:hAnsi="Inter"/>
          <w:color w:val="2F3A48"/>
          <w:sz w:val="20"/>
        </w:rPr>
        <w:t>·  Грунт-эмаль выделена как приоритетная категория для продвижения</w:t>
      </w:r>
    </w:p>
    <w:p>
      <w:r>
        <w:rPr>
          <w:rFonts w:ascii="Inter" w:hAnsi="Inter"/>
          <w:b/>
          <w:color w:val="C00000"/>
          <w:sz w:val="24"/>
        </w:rPr>
        <w:t>3. ЧТО ОСТАЛОСЬ ОТКРЫТЫМ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C00000" w:val="clear"/>
          </w:tcPr>
          <w:p>
            <w:pPr>
              <w:jc w:val="center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4703"/>
            <w:shd w:fill="C00000" w:val="clear"/>
          </w:tcPr>
          <w:p>
            <w:pPr>
              <w:jc w:val="center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Что требуется</w:t>
            </w:r>
          </w:p>
        </w:tc>
      </w:tr>
      <w:tr>
        <w:tc>
          <w:tcPr>
            <w:tcW w:type="dxa" w:w="4703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/>
                <w:color w:val="2F3A48"/>
                <w:sz w:val="18"/>
              </w:rPr>
              <w:t>Точный объём рынка</w:t>
            </w:r>
          </w:p>
        </w:tc>
        <w:tc>
          <w:tcPr>
            <w:tcW w:type="dxa" w:w="4703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Олимп считает ТО конкурентов выше 1 млрд ₽. Уточнить данные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Inter" w:hAnsi="Inter"/>
                <w:b/>
                <w:color w:val="2F3A48"/>
                <w:sz w:val="18"/>
              </w:rPr>
              <w:t>Конкурентная ситуация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Дополнить таблицу дистрибьюторов недостающими игроками (100-200 млн ₽)</w:t>
            </w:r>
          </w:p>
        </w:tc>
      </w:tr>
      <w:tr>
        <w:tc>
          <w:tcPr>
            <w:tcW w:type="dxa" w:w="4703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/>
                <w:color w:val="2F3A48"/>
                <w:sz w:val="18"/>
              </w:rPr>
              <w:t>Условия отсрочки</w:t>
            </w:r>
          </w:p>
        </w:tc>
        <w:tc>
          <w:tcPr>
            <w:tcW w:type="dxa" w:w="4703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Конкретные условия (дни, лимиты) не зафиксированы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Inter" w:hAnsi="Inter"/>
                <w:b/>
                <w:color w:val="2F3A48"/>
                <w:sz w:val="18"/>
              </w:rPr>
              <w:t>CISLINK DTS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Олимп не понимает, как система работает и что даёт</w:t>
            </w:r>
          </w:p>
        </w:tc>
      </w:tr>
      <w:tr>
        <w:tc>
          <w:tcPr>
            <w:tcW w:type="dxa" w:w="4703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/>
                <w:color w:val="2F3A48"/>
                <w:sz w:val="18"/>
              </w:rPr>
              <w:t>План вывода новинок</w:t>
            </w:r>
          </w:p>
        </w:tc>
        <w:tc>
          <w:tcPr>
            <w:tcW w:type="dxa" w:w="4703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Олимп ожидал годовой roadmap, не представленный в КП</w:t>
            </w:r>
          </w:p>
        </w:tc>
      </w:tr>
    </w:tbl>
    <w:p>
      <w:r>
        <w:rPr>
          <w:rFonts w:ascii="Inter" w:hAnsi="Inter"/>
          <w:b/>
          <w:color w:val="C00000"/>
          <w:sz w:val="24"/>
        </w:rPr>
        <w:t>4. СЛЕДУЮЩИЕ ШАГИ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7D44" w:val="clear"/>
          </w:tcPr>
          <w:p>
            <w:pPr>
              <w:jc w:val="center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#</w:t>
            </w:r>
          </w:p>
        </w:tc>
        <w:tc>
          <w:tcPr>
            <w:tcW w:type="dxa" w:w="3135"/>
            <w:shd w:fill="1A7D44" w:val="clear"/>
          </w:tcPr>
          <w:p>
            <w:pPr>
              <w:jc w:val="center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3135"/>
            <w:shd w:fill="1A7D44" w:val="clear"/>
          </w:tcPr>
          <w:p>
            <w:pPr>
              <w:jc w:val="center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Срок</w:t>
            </w:r>
          </w:p>
        </w:tc>
      </w:tr>
      <w:tr>
        <w:tc>
          <w:tcPr>
            <w:tcW w:type="dxa" w:w="3135"/>
            <w:shd w:fill="F5F2EC" w:val="clear"/>
          </w:tcPr>
          <w:p>
            <w:pPr>
              <w:jc w:val="center"/>
            </w:pPr>
            <w:r/>
            <w:r>
              <w:rPr>
                <w:rFonts w:ascii="Inter" w:hAnsi="Inter"/>
                <w:b/>
                <w:color w:val="2F3A48"/>
                <w:sz w:val="18"/>
              </w:rPr>
              <w:t>1</w:t>
            </w:r>
          </w:p>
        </w:tc>
        <w:tc>
          <w:tcPr>
            <w:tcW w:type="dxa" w:w="3135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Уточнение данных по конкурентам</w:t>
            </w:r>
          </w:p>
        </w:tc>
        <w:tc>
          <w:tcPr>
            <w:tcW w:type="dxa" w:w="3135"/>
            <w:shd w:fill="F5F2EC" w:val="clear"/>
          </w:tcPr>
          <w:p>
            <w:pPr>
              <w:jc w:val="center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1 неделя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Inter" w:hAnsi="Inter"/>
                <w:b/>
                <w:color w:val="2F3A48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Детальная бонусная программа с KPI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1-2 недели</w:t>
            </w:r>
          </w:p>
        </w:tc>
      </w:tr>
      <w:tr>
        <w:tc>
          <w:tcPr>
            <w:tcW w:type="dxa" w:w="3135"/>
            <w:shd w:fill="F5F2EC" w:val="clear"/>
          </w:tcPr>
          <w:p>
            <w:pPr>
              <w:jc w:val="center"/>
            </w:pPr>
            <w:r/>
            <w:r>
              <w:rPr>
                <w:rFonts w:ascii="Inter" w:hAnsi="Inter"/>
                <w:b/>
                <w:color w:val="2F3A48"/>
                <w:sz w:val="18"/>
              </w:rPr>
              <w:t>3</w:t>
            </w:r>
          </w:p>
        </w:tc>
        <w:tc>
          <w:tcPr>
            <w:tcW w:type="dxa" w:w="3135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Согласование условий отсрочки</w:t>
            </w:r>
          </w:p>
        </w:tc>
        <w:tc>
          <w:tcPr>
            <w:tcW w:type="dxa" w:w="3135"/>
            <w:shd w:fill="F5F2EC" w:val="clear"/>
          </w:tcPr>
          <w:p>
            <w:pPr>
              <w:jc w:val="center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1 неделя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Inter" w:hAnsi="Inter"/>
                <w:b/>
                <w:color w:val="2F3A48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Презентация TITAN с выкрасами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2-3 недели</w:t>
            </w:r>
          </w:p>
        </w:tc>
      </w:tr>
      <w:tr>
        <w:tc>
          <w:tcPr>
            <w:tcW w:type="dxa" w:w="3135"/>
            <w:shd w:fill="F5F2EC" w:val="clear"/>
          </w:tcPr>
          <w:p>
            <w:pPr>
              <w:jc w:val="center"/>
            </w:pPr>
            <w:r/>
            <w:r>
              <w:rPr>
                <w:rFonts w:ascii="Inter" w:hAnsi="Inter"/>
                <w:b/>
                <w:color w:val="2F3A48"/>
                <w:sz w:val="18"/>
              </w:rPr>
              <w:t>5</w:t>
            </w:r>
          </w:p>
        </w:tc>
        <w:tc>
          <w:tcPr>
            <w:tcW w:type="dxa" w:w="3135"/>
            <w:shd w:fill="F5F2EC" w:val="clear"/>
          </w:tcPr>
          <w:p>
            <w:pPr>
              <w:jc w:val="left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Повторная встреча для решения</w:t>
            </w:r>
          </w:p>
        </w:tc>
        <w:tc>
          <w:tcPr>
            <w:tcW w:type="dxa" w:w="3135"/>
            <w:shd w:fill="F5F2EC" w:val="clear"/>
          </w:tcPr>
          <w:p>
            <w:pPr>
              <w:jc w:val="center"/>
            </w:pPr>
            <w:r/>
            <w:r>
              <w:rPr>
                <w:rFonts w:ascii="Inter" w:hAnsi="Inter"/>
                <w:b w:val="0"/>
                <w:color w:val="2F3A48"/>
                <w:sz w:val="18"/>
              </w:rPr>
              <w:t>декабрь 2026</w:t>
            </w:r>
          </w:p>
        </w:tc>
      </w:tr>
    </w:tbl>
    <w:p>
      <w:r>
        <w:rPr>
          <w:rFonts w:ascii="Inter" w:hAnsi="Inter"/>
          <w:b/>
          <w:color w:val="C00000"/>
          <w:sz w:val="24"/>
        </w:rPr>
        <w:t>5. ОБЩИЙ ИТОГ</w:t>
      </w:r>
    </w:p>
    <w:p>
      <w:r>
        <w:rPr>
          <w:rFonts w:ascii="Inter" w:hAnsi="Inter"/>
          <w:b w:val="0"/>
          <w:color w:val="2F3A48"/>
          <w:sz w:val="20"/>
        </w:rPr>
        <w:t>Переговоры прошли конструктивно. Олимп проявил интерес к партнёрству, детально изучил КП и бонусную систему. Основные вопросы касались:</w:t>
      </w:r>
    </w:p>
    <w:p>
      <w:pPr>
        <w:ind w:left="340"/>
      </w:pPr>
      <w:r>
        <w:rPr>
          <w:rFonts w:ascii="Inter" w:hAnsi="Inter"/>
          <w:color w:val="2F3A48"/>
          <w:sz w:val="20"/>
        </w:rPr>
        <w:t>·  Точности рыночных данных (Олимп видит рынок шире)</w:t>
      </w:r>
    </w:p>
    <w:p>
      <w:pPr>
        <w:ind w:left="340"/>
      </w:pPr>
      <w:r>
        <w:rPr>
          <w:rFonts w:ascii="Inter" w:hAnsi="Inter"/>
          <w:color w:val="2F3A48"/>
          <w:sz w:val="20"/>
        </w:rPr>
        <w:t>·  Конкретных условий бонусов и отсрочки</w:t>
      </w:r>
    </w:p>
    <w:p>
      <w:pPr>
        <w:ind w:left="340"/>
      </w:pPr>
      <w:r>
        <w:rPr>
          <w:rFonts w:ascii="Inter" w:hAnsi="Inter"/>
          <w:color w:val="2F3A48"/>
          <w:sz w:val="20"/>
        </w:rPr>
        <w:t>·  Интеграции ЭТП в структуру дистрибьютора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5E6" w:val="clear"/>
          </w:tcPr>
          <w:p>
            <w:pPr>
              <w:jc w:val="center"/>
            </w:pPr>
            <w:r/>
            <w:r>
              <w:rPr>
                <w:rFonts w:ascii="Inter" w:hAnsi="Inter"/>
                <w:b/>
                <w:color w:val="C00000"/>
                <w:sz w:val="22"/>
              </w:rPr>
              <w:t>Решение о партнёрстве ожидается в декабре 2026 после уточнения открытых вопросов.</w:t>
            </w:r>
          </w:p>
        </w:tc>
      </w:tr>
    </w:tbl>
    <w:p>
      <w:pPr>
        <w:jc w:val="center"/>
      </w:pPr>
      <w:r>
        <w:rPr>
          <w:color w:val="8A95A3"/>
          <w:sz w:val="16"/>
        </w:rPr>
        <w:t>——————————————————————————————————————————————————</w:t>
      </w:r>
    </w:p>
    <w:p>
      <w:pPr>
        <w:jc w:val="center"/>
      </w:pPr>
      <w:r>
        <w:rPr>
          <w:rFonts w:ascii="Inter" w:hAnsi="Inter"/>
          <w:i/>
          <w:color w:val="8A95A3"/>
          <w:sz w:val="16"/>
        </w:rPr>
        <w:t>Отчёт подготовлен на основе расшифровки аудиозаписи (81 мин) и КП от 12.10.2026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