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8"/>
        </w:rPr>
        <w:t>Отчёт по переговорам</w:t>
      </w:r>
    </w:p>
    <w:p>
      <w:pPr>
        <w:spacing w:before="0" w:after="40" w:line="312" w:lineRule="auto"/>
        <w:jc w:val="left"/>
      </w:pPr>
      <w:r>
        <w:rPr>
          <w:rFonts w:ascii="Arial" w:hAnsi="Arial"/>
          <w:b/>
          <w:i w:val="0"/>
          <w:color w:val="313131"/>
          <w:sz w:val="28"/>
        </w:rPr>
        <w:t>Goodhim — российский производитель строительной, промышленной и бытовой химии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2"/>
        </w:rPr>
        <w:t>Перспективный партнёр — встреча на выставке</w:t>
      </w:r>
    </w:p>
    <w:p>
      <w:pPr>
        <w:spacing w:before="40" w:after="120" w:line="240" w:lineRule="auto"/>
        <w:pBdr>
          <w:bottom w:val="single" w:sz="6" w:color="F47629"/>
        </w:pBdr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Контрагент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Goodhim (Москва, РФ) — производитель строительной, промышленной и бытовой химии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Тип партнёра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Перспективный (новый) — переговоры на стадии знакомства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Должность собеседника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Представитель B2B / экспортного направления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Зона ответственности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РФ + СНГ, фокус на B2B-канал и экспорт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Формат встречи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1 встреча на выставке (~30 минут)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Предмет обсуждения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Возможные коллаборации, обмен компетенциями, B2B-сегмент, биозащита, промышленная химия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Источник данных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Аудиозапись → расшифровка через Whisper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Дата встречи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Сентябрь 2026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Краткое резюме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представителем Goodhim дала обнадёживающую картину для развития партнёрства. Goodhim — российский производитель строительной, промышленной и бытовой химии, выходит на рынок с фокусом не на классические ЛКМ (где, по их словам, «никого не удивишь»), а на специализированную химию: биозащиту, антисептики, резиновые / силиконизированные краски, защитные покрытия для промышленных объектов. У Эмпилс есть прямая синергия: ГФ-грунтовки, грунт-эмали по металлу, промышленные защитные покрытия. Собеседник прямо сказал: «партнёрство приветствуем» — и готов продолжить диалог. Стороны обменялись контактами и договорились о продолжении общения после изучения сайтов друг друга. Главная возможность — коллаборационные проекты в B2B-сегменте (промышленные объекты, металлоконструкции, стадионы, ангары), где Goodhim приходит со своей специализацией, а Эмпилс — с грунтами и защитными ЛКМ.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Главный вывод встречи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Goodhim — перспективный партнёр с фокусом на специализированную химию, а не на классические ЛКМ. Главные точки пересечения с Эмпилс: 1) коллаборационные B2B-проекты (промышленные объекты, металлоконструкции) — Goodhim с антисептиками/биозащитой, Эмпилс с грунт-эмалями и защитными покрытиями; 2) взаимодополнение в B2B-портфеле (там, где Goodhim не закрывает потребность — Эмпилс может закрыть грунтами и ЛКМ); 3) совместная работа с проектными организациями на стадии проектирования. Собеседник обменялся контактами и готов продолжить диалог.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Профиль Goodhim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О компании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6803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Значение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Тип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Российский производитель строительной, промышленной и бытовой химии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Локация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Москва / Московская область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Поддержка государства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Центр поддержки экспорта Московской области, РЭЦ (для МСП)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Размер бизнеса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МСП (&lt; 20–50 человек) — по программе поддержки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Каналы продаж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B2B + экспорт; розничное направление не приоритетно (~10–15% оборота)</w:t>
            </w:r>
          </w:p>
        </w:tc>
      </w:tr>
      <w:tr>
        <w:trPr>
          <w:cantSplit w:val="true"/>
        </w:trPr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Дистрибьюторы</w:t>
            </w:r>
          </w:p>
        </w:tc>
        <w:tc>
          <w:tcPr>
            <w:tcW w:type="dxa" w:w="6803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Более 100 в России; в Казахстане — работают через отдельных партнёров</w:t>
            </w:r>
          </w:p>
        </w:tc>
      </w:tr>
      <w:tr>
        <w:trPr>
          <w:cantSplit w:val="true"/>
        </w:trPr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Ключевая боль</w:t>
            </w:r>
          </w:p>
        </w:tc>
        <w:tc>
          <w:tcPr>
            <w:tcW w:type="dxa" w:w="6803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Дистрибуция «не будет расти в силу»; смещение фокуса на проектные продажи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Стратегические направления (приоритеты)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Направление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Статус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Связь с Эмпилс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Биозащита / антисептики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Фокус, промышленное направление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Дополнение к ЛКМ Эмпилс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Резиновая краска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Выпущена — спрос из-за рубежа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Конкурент, но возможен обмен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Силиконизированная краска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Выпущена — для внутренних/наружных работ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Конкурент в премиум-сегменте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Эластик (трёхмиллиметровый)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Выпущен — для фасадов с микротрещинами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Конкурент резиновой краски Эмпилс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Классические краски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Не фокус (~10–15%)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Эмпилс может закрыть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Бытовая химия / промышленная химия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🟢 Сильное направление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Доп. точка пересечения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Защита для медицинских учреждений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Антисептики — да, краски — нет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Окно для Эмпилс (если есть санитарные сертификаты)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Краска для бассейнов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🔴 Не заявлена — приоритет не высокий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🟡 Ниша, где Эмпилс может войти</w:t>
            </w:r>
          </w:p>
        </w:tc>
      </w:tr>
    </w:tbl>
    <w:p>
      <w:pPr>
        <w:spacing w:before="0" w:after="80" w:line="240" w:lineRule="auto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стратегическая информация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Goodhim прямо сказал: «с классическими красками никого не удивишь — это не наша фокусная программа». Их фокус — специализированная химия (биозащита, антисептики, резиновые / силиконизированные краски). Это значит: Эмпилс НЕ конкурирует с Goodhim в классическом ЛКМ-сегменте — наоборот, Эмпилс может дополнить их портфель в части грунтов, эмалей и классических фасадных красок. Это идеальная основа для коллаборации.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8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40"/>
        </w:rPr>
        <w:t>Желаемые продукты-новинки</w:t>
      </w:r>
    </w:p>
    <w:p>
      <w:pPr>
        <w:spacing w:before="0" w:after="200" w:line="312" w:lineRule="auto"/>
        <w:jc w:val="left"/>
      </w:pPr>
      <w:r>
        <w:rPr>
          <w:rFonts w:ascii="Arial" w:hAnsi="Arial"/>
          <w:b w:val="0"/>
          <w:i/>
          <w:color w:val="6B7280"/>
          <w:sz w:val="24"/>
        </w:rPr>
        <w:t>В ходе переговоров партнёр выявил конкретные запросы и ожидания от Эмпилс. Часть из них — продукты, которые Goodhim не закрывает сам и готов брать у Эмпилс. Часть — продукты для совместной разработки или обмена компетенциями.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Запрос 1. Грунтовки для B2B-объектов (ГФ, промышленные грунты)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Goodhim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ГФ-грунтовки (глубокого проникновения, концентрат, быстросохнущие), промышленные грунты для металлических конструкций.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Спрос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Постоянный спрос от B2B-клиентов: металлоконструкции, стадионы, ангары. «Хорошо идут грунты маленькие, когда сито металлов, переглаз, стадионы».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Полная компетенция — у Эмпилс есть и глубокий ГФ, и концентрат, и быстросохнущий ГФ, и промышленные грунты.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Возможный формат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Поставка грунтов под СТМ Goodhim или в их дистрибуцию как дополнение к биозащитным составам.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Запрос 2. Защитные ЛКМ для медицинских учреждений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Goodhim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ЛКМ с санитарными сертификатами для медицинских учреждений. Goodhim уже работает с антисептиками для медучреждений, но по краскам — нет.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Goodhim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Антисептики — есть. По краскам: «не касается, нет».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Необходимо проверить наличие санитарных сертификатов на интерьерные ЛКМ.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Возможный формат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Совместное предложение для медучреждений: антисептики Goodhim + краски Эмпилс с санитарными сертификатами.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Запрос 3. Резиновая краска (для обсуждения)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Goodhim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У них есть собственная резиновая краска, но запрос из-за рубежа на продукт создал дефицит: «пора распространить по России во вторичную очередь».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Goodhim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Есть. Спрос превышает предложение — из-за рубежа (Поза Стана, Порт Юрия).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Эмпилс тоже выпустил резиновую краску.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Возможный формат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Обмен опытом по рынку. Возможна специализация — Эмпилс на металле, Goodhim на фасадах.</w:t>
            </w:r>
          </w:p>
        </w:tc>
      </w:tr>
    </w:tbl>
    <w:p>
      <w:pPr>
        <w:spacing w:before="0" w:after="80" w:line="240" w:lineRule="auto"/>
      </w:pP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Запрос 4. Краска для бассейнов (потенциальная ниша)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rPr>
          <w:tblHeader w:val="true"/>
          <w:cantSplit w:val="true"/>
        </w:trPr>
        <w:tc>
          <w:tcPr>
            <w:tcW w:type="dxa" w:w="255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Параметр</w:t>
            </w:r>
          </w:p>
        </w:tc>
        <w:tc>
          <w:tcPr>
            <w:tcW w:type="dxa" w:w="7087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Данные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Что хочет Goodhim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бассейнов. У Goodhim это направление «дома и дача», но продукт не заявлен — приоритет не высокий.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Goodhim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Не заявлена. «Изиниваю можно использовать, но не заявляем».</w:t>
            </w:r>
          </w:p>
        </w:tc>
      </w:tr>
      <w:tr>
        <w:trPr>
          <w:cantSplit w:val="true"/>
        </w:trPr>
        <w:tc>
          <w:tcPr>
            <w:tcW w:type="dxa" w:w="255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Статус у Эмпилс</w:t>
            </w:r>
          </w:p>
        </w:tc>
        <w:tc>
          <w:tcPr>
            <w:tcW w:type="dxa" w:w="7087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Необходимо проверить портфель. Возможно, у Эмпилс есть продукты, которые можно адаптировать.</w:t>
            </w:r>
          </w:p>
        </w:tc>
      </w:tr>
      <w:tr>
        <w:trPr>
          <w:cantSplit w:val="true"/>
        </w:trPr>
        <w:tc>
          <w:tcPr>
            <w:tcW w:type="dxa" w:w="255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Возможный формат</w:t>
            </w:r>
          </w:p>
        </w:tc>
        <w:tc>
          <w:tcPr>
            <w:tcW w:type="dxa" w:w="7087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Совместная разработка, если появится спрос от B2B-клиентов.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Сводная таблица запросов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№</w:t>
            </w:r>
          </w:p>
        </w:tc>
        <w:tc>
          <w:tcPr>
            <w:tcW w:type="dxa" w:w="396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Запрос</w:t>
            </w:r>
          </w:p>
        </w:tc>
        <w:tc>
          <w:tcPr>
            <w:tcW w:type="dxa" w:w="311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Статус у Эмпилс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20"/>
              </w:rPr>
              <w:t>Приоритет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1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Грунтовки (ГФ, промышленные) для B2B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Полная компетенция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2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Защитные ЛКМ для медучреждений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Проверить наличие сертификатов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Высокий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3</w:t>
            </w:r>
          </w:p>
        </w:tc>
        <w:tc>
          <w:tcPr>
            <w:tcW w:type="dxa" w:w="396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Резиновая краска (обмен опытом)</w:t>
            </w:r>
          </w:p>
        </w:tc>
        <w:tc>
          <w:tcPr>
            <w:tcW w:type="dxa" w:w="311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Выпущена, аналог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🟡 Средний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20"/>
              </w:rPr>
              <w:t>4</w:t>
            </w:r>
          </w:p>
        </w:tc>
        <w:tc>
          <w:tcPr>
            <w:tcW w:type="dxa" w:w="396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Краска для бассейнов</w:t>
            </w:r>
          </w:p>
        </w:tc>
        <w:tc>
          <w:tcPr>
            <w:tcW w:type="dxa" w:w="311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🔴 Необходимо проверить портфель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20"/>
              </w:rPr>
              <w:t>🟢 Низкий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Возможные форматы кооперации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 ходе переговоров было выявлено 3 основных формата потенциальной кооперации между Эмпилс и Goodhim. Все они основаны на взаимодополнении компетенций, а не на прямой конкуренции.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2835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Формат кооперации</w:t>
            </w:r>
          </w:p>
        </w:tc>
        <w:tc>
          <w:tcPr>
            <w:tcW w:type="dxa" w:w="4819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Суть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Сроки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B2B-коллаборации на проектах</w:t>
            </w:r>
          </w:p>
        </w:tc>
        <w:tc>
          <w:tcPr>
            <w:tcW w:type="dxa" w:w="481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Совместные поставки на промышленные объекты: Goodhim (антисептики, биозащита) + Эмпилс (грунты, грунт-эмали, защитные покрытия).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Сезон 2027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2835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Взаимодополнение в B2B-портфеле</w:t>
            </w:r>
          </w:p>
        </w:tc>
        <w:tc>
          <w:tcPr>
            <w:tcW w:type="dxa" w:w="4819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Там, где Goodhim не закрывает потребность (ГФ-грунты, промышленные ЛКМ), Эмпилс поставляет продукт под СТМ Goodhim или в их дистрибуцию.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Q4 2026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2835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Совместная работа с проектными организациями</w:t>
            </w:r>
          </w:p>
        </w:tc>
        <w:tc>
          <w:tcPr>
            <w:tcW w:type="dxa" w:w="4819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На стадии проектирования закладывать в спецификации связку: Goodhim (биозащита) + Эмпилс (ЛКМ). Цикл — 2–3 года до первого проекта.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Долгосрочный</w:t>
            </w:r>
          </w:p>
        </w:tc>
      </w:tr>
    </w:tbl>
    <w:p>
      <w:pPr>
        <w:spacing w:before="0" w:after="80" w:line="240" w:lineRule="auto"/>
      </w:pPr>
    </w:p>
    <w:p>
      <w:pPr>
        <w:spacing w:before="20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Ключевая аргументация для кооперации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Сигналы собеседника о готовности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1. «Партнёрство мы приветствуем. Мы её очень тоже приветствуем.» — Прямое приглашение к коллаборации.</w:t>
              <w:br/>
              <w:br/>
              <w:t>2. «Там, где мы не можем дополнить... био, защита, и так далее, то мы бы могли как-то... чтобы ваша продукция была на битубилице сосредоточена.» — Конкретное направление для Эмпилс (B2B-объекты).</w:t>
              <w:br/>
              <w:br/>
              <w:t>3. «Мы с вами свяжемся, я вам напишу... на следующей неделе изучу ваш сайт, пробую продукцию, и мы с вами свяжем.» — Конкретное обязательство на следующую неделю.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Риски и ограничения</w:t>
      </w:r>
    </w:p>
    <w:p>
      <w:pPr>
        <w:spacing w:before="8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1. Длинное сопровождение B2B-проектов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Собеседник прямо назвал главную сложность B2B-работы: «работа с битубией требует очень длинного сопровождения и отдельных сотрудников». Нужно находить B2B-клиентов, вступать в контакт, обучать, заставлять делать тестирование — а у них налаженные отношения с другими поставщиками и предсказуемый результат. Собеседник: «ты должен заставить только их попробовать, а дальше, чтобы их переключить, мы столкнёмся с невероятной сложностью». Для Эмпилс это означает — нужна выделенная B2B-команда, которая не совмещает с потребительским сегментом.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2. Долгий цикл проектных продаж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Для попадания в спецификации проектных организаций требуется 2–3 года: «через два-три года могут снуть только первый проект, где ты будешь упоминаться». Это длинная инвестиция без гарантированного результата.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3. Дистрибуция «не будет расти в силу»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Goodhim фиксирует стагнацию в классической дистрибуции: «дистрибуция не будет расти в силу». Это значит — партнёр не готов вкладываться в развитие классической розничной полки. Кооперация с Эмпилс в розничном канале — маловероятна. Фокус только на B2B.</w:t>
      </w:r>
    </w:p>
    <w:p>
      <w:pPr>
        <w:spacing w:before="160" w:after="80" w:line="288" w:lineRule="auto"/>
      </w:pPr>
      <w:r>
        <w:rPr>
          <w:rFonts w:ascii="Arial" w:hAnsi="Arial"/>
          <w:b/>
          <w:i w:val="0"/>
          <w:color w:val="F47629"/>
          <w:sz w:val="28"/>
        </w:rPr>
        <w:t>4. Сложности с экспортом и логистикой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Goodhim участвует в РЭЦ, но по программе МСП — ограниченные возможности. В Казахстане работают через отдельных партнёров, но собеседник осторожен: «в некоторых идёт. Мне всё не верить, пока ещё». Это значит — экспортные возможности ограничены, основные перспективы — в России.</w:t>
      </w: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План действий Эмпилс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rPr>
          <w:tblHeader w:val="true"/>
          <w:cantSplit w:val="true"/>
        </w:trPr>
        <w:tc>
          <w:tcPr>
            <w:tcW w:type="dxa" w:w="454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tcW w:type="dxa" w:w="5386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Шаг</w:t>
            </w:r>
          </w:p>
        </w:tc>
        <w:tc>
          <w:tcPr>
            <w:tcW w:type="dxa" w:w="1701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Срок</w:t>
            </w:r>
          </w:p>
        </w:tc>
        <w:tc>
          <w:tcPr>
            <w:tcW w:type="dxa" w:w="2098"/>
            <w:shd w:val="clear" w:color="auto" w:fill="313131"/>
            <w:tcBorders>
              <w:top w:val="single" w:sz="4" w:color="313131"/>
              <w:left w:val="single" w:sz="4" w:color="313131"/>
              <w:bottom w:val="single" w:sz="4" w:color="313131"/>
              <w:right w:val="single" w:sz="4" w:color="313131"/>
            </w:tcBorders>
            <w:vAlign w:val="center"/>
          </w:tcPr>
          <w:p>
            <w:pPr>
              <w:spacing w:before="40" w:after="40" w:line="288" w:lineRule="auto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Ответственный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1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Отправить собеседнику буклет Эмпилс с фокусом на B2B (грунты, грунт-эмали, промышленные защитные покрытия, кейсы).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15.09.2026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Региональный менеджер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2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Изучить сайт Goodhim — ассортимент, ключевые B2B-направления, текущих партнёров. ПодготовитьSWOT-анализ.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22.09.2026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B2B-отдел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3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список B2B-проектов Эмпилс за последние 2 года — металлоконструкции, стадионы, ангары, промышленные объекты.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01.10.2026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B2B-отдел / ТП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4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Проверить наличие санитарных сертификатов на интерьерные ЛКМ Эмпилс (для медицинских учреждений).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Технический отдел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5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концепцию коллаборации: Goodhim (биозащита) + Эмпилс (грунты, ЛКМ) для B2B-объектов. Расчёт совместной экономики.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01.11.2026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B2B-отдел / Коммерческий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6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Запросить у Goodhim их B2B-проекты за 2024–2026 — для понимания типовых объектов и потребностей.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15.10.2026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B2B-отдел</w:t>
            </w:r>
          </w:p>
        </w:tc>
      </w:tr>
      <w:tr>
        <w:trPr>
          <w:cantSplit w:val="true"/>
        </w:trPr>
        <w:tc>
          <w:tcPr>
            <w:tcW w:type="dxa" w:w="454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7</w:t>
            </w:r>
          </w:p>
        </w:tc>
        <w:tc>
          <w:tcPr>
            <w:tcW w:type="dxa" w:w="5386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Запланировать повторную встречу (Zoom или очно в Москве) — углублённое обсуждение после изучения материалов друг друга.</w:t>
            </w:r>
          </w:p>
        </w:tc>
        <w:tc>
          <w:tcPr>
            <w:tcW w:type="dxa" w:w="1701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15.11.2026</w:t>
            </w:r>
          </w:p>
        </w:tc>
        <w:tc>
          <w:tcPr>
            <w:tcW w:type="dxa" w:w="2098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Коммерческий директор</w:t>
            </w:r>
          </w:p>
        </w:tc>
      </w:tr>
      <w:tr>
        <w:trPr>
          <w:cantSplit w:val="true"/>
        </w:trPr>
        <w:tc>
          <w:tcPr>
            <w:tcW w:type="dxa" w:w="454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/>
                <w:i w:val="0"/>
                <w:color w:val="F47629"/>
                <w:sz w:val="18"/>
              </w:rPr>
              <w:t>8</w:t>
            </w:r>
          </w:p>
        </w:tc>
        <w:tc>
          <w:tcPr>
            <w:tcW w:type="dxa" w:w="5386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Подготовить пилотное предложение по совместному B2B-проекту (1–2 конкретных объекта для теста).</w:t>
            </w:r>
          </w:p>
        </w:tc>
        <w:tc>
          <w:tcPr>
            <w:tcW w:type="dxa" w:w="1701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до 01.02.2027</w:t>
            </w:r>
          </w:p>
        </w:tc>
        <w:tc>
          <w:tcPr>
            <w:tcW w:type="dxa" w:w="2098"/>
            <w:shd w:val="clear" w:color="auto" w:fill="F8F4F0"/>
            <w:tcBorders>
              <w:top w:val="single" w:sz="4" w:color="D0D0D0"/>
              <w:left w:val="single" w:sz="4" w:color="D0D0D0"/>
              <w:bottom w:val="single" w:sz="4" w:color="D0D0D0"/>
              <w:right w:val="single" w:sz="4" w:color="D0D0D0"/>
            </w:tcBorders>
            <w:vAlign w:val="center"/>
          </w:tcPr>
          <w:p>
            <w:pPr>
              <w:spacing w:before="40" w:after="40" w:line="300" w:lineRule="auto"/>
              <w:jc w:val="left"/>
            </w:pPr>
            <w:r>
              <w:rPr>
                <w:rFonts w:ascii="Arial" w:hAnsi="Arial"/>
                <w:b w:val="0"/>
                <w:i w:val="0"/>
                <w:sz w:val="18"/>
              </w:rPr>
              <w:t>B2B-отдел</w:t>
            </w:r>
          </w:p>
        </w:tc>
      </w:tr>
    </w:tbl>
    <w:p>
      <w:pPr>
        <w:spacing w:before="0" w:after="80" w:line="240" w:lineRule="auto"/>
      </w:pPr>
    </w:p>
    <w:p>
      <w:r>
        <w:br w:type="page"/>
      </w:r>
    </w:p>
    <w:p>
      <w:pPr>
        <w:spacing w:before="0" w:after="120" w:line="264" w:lineRule="auto"/>
        <w:pBdr>
          <w:left w:val="single" w:sz="24" w:space="8" w:color="F47629"/>
        </w:pBdr>
        <w:ind w:left="170"/>
      </w:pPr>
      <w:r>
        <w:rPr>
          <w:rFonts w:ascii="Arial" w:hAnsi="Arial"/>
          <w:b/>
          <w:i w:val="0"/>
          <w:color w:val="313131"/>
          <w:sz w:val="36"/>
        </w:rPr>
        <w:t>Итог встречи</w:t>
      </w:r>
    </w:p>
    <w:p>
      <w:pPr>
        <w:spacing w:before="0" w:after="160" w:line="312" w:lineRule="auto"/>
        <w:jc w:val="left"/>
      </w:pPr>
      <w:r>
        <w:rPr>
          <w:rFonts w:ascii="Arial" w:hAnsi="Arial"/>
          <w:b w:val="0"/>
          <w:i w:val="0"/>
          <w:sz w:val="22"/>
        </w:rPr>
        <w:t>Встреча с Goodhim дала обнадёживающий результат для развития партнёрства. Goodhim — российский производитель специализированной химии (биозащита, антисептики, резиновые и силиконизированные краски), который прямо заявил о готовности к коллаборации и обменялся контактами. Главные точки пересечения с Эмпилс: 1) B2B-коллаборации на промышленных объектах (Goodhim — биозащита, Эмпилс — грунты и защитные ЛКМ); 2) взаимодополнение в B2B-портфеле (там, где Goodhim не закрывает потребность, Эмпилс может поставить грунты под СТМ или в дистрибуцию); 3) совместная работа с проектными организациями (долгий цикл, но стратегическая выгода). Главный риск — длинное сопровождение B2B-проектов требует выделенной команды. Собеседник готов продолжить диалог на следующей неделе после изучения сайтов. Ключевое действие — передать буклет Эмпилс с фокусом на B2B-компетенции и подготовить концепцию коллаборации к концу октября 2026.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38"/>
      </w:tblGrid>
      <w:tr>
        <w:trPr>
          <w:tblHeader w:val="true"/>
          <w:cantSplit w:val="true"/>
        </w:trPr>
        <w:tc>
          <w:tcPr>
            <w:tcW w:type="dxa" w:w="9638"/>
            <w:shd w:val="clear" w:color="auto" w:fill="D1FAE5"/>
            <w:tcBorders>
              <w:top w:val="single" w:sz="4" w:color="D1FAE5"/>
              <w:right w:val="single" w:sz="4" w:color="D1FAE5"/>
              <w:bottom w:val="single" w:sz="4" w:color="D1FAE5"/>
              <w:left w:val="single" w:sz="36" w:color="166534"/>
            </w:tcBorders>
            <w:vAlign w:val="center"/>
            <w:tcMar>
              <w:top w:w="120" w:type="dxa"/>
              <w:left w:w="200" w:type="dxa"/>
              <w:bottom w:w="120" w:type="dxa"/>
              <w:right w:w="200" w:type="dxa"/>
            </w:tcMar>
          </w:tcPr>
          <w:p>
            <w:pPr>
              <w:spacing w:before="40" w:after="40" w:line="288" w:lineRule="auto"/>
            </w:pPr>
            <w:r>
              <w:rPr>
                <w:rFonts w:ascii="Arial" w:hAnsi="Arial"/>
                <w:b/>
                <w:i w:val="0"/>
                <w:color w:val="166534"/>
                <w:sz w:val="24"/>
              </w:rPr>
              <w:t>Ключевая рекомендация</w:t>
            </w:r>
          </w:p>
          <w:p>
            <w:pPr>
              <w:spacing w:before="0" w:after="40" w:line="312" w:lineRule="auto"/>
            </w:pPr>
            <w:r>
              <w:rPr>
                <w:rFonts w:ascii="Arial" w:hAnsi="Arial"/>
                <w:b w:val="0"/>
                <w:i w:val="0"/>
                <w:color w:val="313131"/>
                <w:sz w:val="22"/>
              </w:rPr>
              <w:t>Сфокусироваться на B2B-коллаборации, а не на розничной конкуренции. Goodhim НЕ конкурирует с Эмпилс в классическом ЛКМ-сегменте — это идеальная основа для партнёрства. Стратегия: 1) передать буклет (Q3 2026); 2) изучить сайт Goodhim и подготовить SWOT (Q3 2026); 3) разработать концепцию коллаборации с 1–2 пилотными B2B-проектами (Q4 2026); 4) запустить совместный пилот к сезону 2027. Главная возможность — mutual B2B-предложение: биозащита + грунты + ЛКМ = единая спецификация для промышленных объектов.</w:t>
            </w:r>
          </w:p>
        </w:tc>
      </w:tr>
    </w:tbl>
    <w:p>
      <w:pPr>
        <w:spacing w:before="0" w:after="80" w:line="240" w:lineRule="auto"/>
      </w:pPr>
    </w:p>
    <w:p>
      <w:pPr>
        <w:spacing w:before="40" w:after="120" w:line="240" w:lineRule="auto"/>
        <w:pBdr>
          <w:bottom w:val="single" w:sz="6" w:color="F47629"/>
        </w:pBdr>
      </w:pPr>
    </w:p>
    <w:p>
      <w:pPr>
        <w:spacing w:before="0" w:after="4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Отчёт по переговорам  ·  Goodhim (перспективный партнёр)  ·  Сентябрь 2026</w:t>
      </w:r>
    </w:p>
    <w:p>
      <w:pPr>
        <w:spacing w:before="0" w:after="120" w:line="312" w:lineRule="auto"/>
        <w:jc w:val="center"/>
      </w:pPr>
      <w:r>
        <w:rPr>
          <w:rFonts w:ascii="Arial" w:hAnsi="Arial"/>
          <w:b w:val="0"/>
          <w:i/>
          <w:color w:val="6B7280"/>
          <w:sz w:val="20"/>
        </w:rPr>
        <w:t>Источник: аудиозапись → расшифровка через Whisper. Анализ и структурирование — команда Эмпилс.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