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1F4E79"/>
          <w:sz w:val="24"/>
        </w:rPr>
        <w:t>ПАМЯТКА РЕГИОНАЛЬНОГО МЕНЕДЖЕРА</w:t>
      </w:r>
    </w:p>
    <w:p>
      <w:pPr>
        <w:spacing w:after="6"/>
        <w:jc w:val="center"/>
      </w:pPr>
      <w:r>
        <w:rPr>
          <w:rFonts w:ascii="Calibri" w:hAnsi="Calibri"/>
          <w:b w:val="0"/>
          <w:color w:val="595959"/>
          <w:sz w:val="14"/>
        </w:rPr>
        <w:t>Запуск колеровочного оборудования Эмпилс в торговой точке</w:t>
      </w:r>
    </w:p>
    <w:p>
      <w:pPr>
        <w:spacing w:before="24" w:after="3"/>
      </w:pPr>
      <w:r>
        <w:rPr>
          <w:rFonts w:ascii="Calibri" w:hAnsi="Calibri"/>
          <w:b/>
          <w:color w:val="1F4E79"/>
          <w:sz w:val="16"/>
        </w:rPr>
        <w:t>1. КАКОЙ АССОРТИМЕНТ ЗАВЕСТИ (колеровочные SKU)</w:t>
      </w:r>
    </w:p>
    <w:p>
      <w:pPr>
        <w:spacing w:after="0"/>
      </w:pPr>
      <w:r>
        <w:rPr>
          <w:rFonts w:ascii="Calibri" w:hAnsi="Calibri"/>
          <w:b/>
          <w:color w:val="1F4E79"/>
          <w:sz w:val="14"/>
        </w:rPr>
        <w:t>AvantGarde (премиум):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96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Продукт</w:t>
            </w:r>
          </w:p>
        </w:tc>
        <w:tc>
          <w:tcPr>
            <w:tcW w:type="dxa" w:w="113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База</w:t>
            </w:r>
          </w:p>
        </w:tc>
        <w:tc>
          <w:tcPr>
            <w:tcW w:type="dxa" w:w="311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Фасовки</w:t>
            </w:r>
          </w:p>
        </w:tc>
      </w:tr>
      <w:tr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Краска интерьерная моющаяся AvantGarde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А и С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0,7 / 4,5 / 8,5 л</w:t>
            </w:r>
          </w:p>
        </w:tc>
      </w:tr>
      <w:tr>
        <w:tc>
          <w:tcPr>
            <w:tcW w:type="dxa" w:w="396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Краска фасадная AvantGarde</w:t>
            </w:r>
          </w:p>
        </w:tc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А и С</w:t>
            </w:r>
          </w:p>
        </w:tc>
        <w:tc>
          <w:tcPr>
            <w:tcW w:type="dxa" w:w="311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4,5 / 8,5 л</w:t>
            </w:r>
          </w:p>
        </w:tc>
      </w:tr>
    </w:tbl>
    <w:p>
      <w:pPr>
        <w:spacing w:after="0" w:before="0"/>
      </w:pPr>
    </w:p>
    <w:p>
      <w:pPr>
        <w:spacing w:after="0"/>
      </w:pPr>
      <w:r>
        <w:rPr>
          <w:rFonts w:ascii="Calibri" w:hAnsi="Calibri"/>
          <w:b/>
          <w:color w:val="1F4E79"/>
          <w:sz w:val="14"/>
        </w:rPr>
        <w:t>NEWTONE (средний сегмент):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96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Продукт</w:t>
            </w:r>
          </w:p>
        </w:tc>
        <w:tc>
          <w:tcPr>
            <w:tcW w:type="dxa" w:w="113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База</w:t>
            </w:r>
          </w:p>
        </w:tc>
        <w:tc>
          <w:tcPr>
            <w:tcW w:type="dxa" w:w="311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Фасовки</w:t>
            </w:r>
          </w:p>
        </w:tc>
      </w:tr>
      <w:tr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NEWTONE INTERIO суперстойкая интерьерная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А и С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0,8 / 4,5 / 8,5 л</w:t>
            </w:r>
          </w:p>
        </w:tc>
      </w:tr>
      <w:tr>
        <w:tc>
          <w:tcPr>
            <w:tcW w:type="dxa" w:w="396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NEWTONE MODERN PRO фасадная силиконовая</w:t>
            </w:r>
          </w:p>
        </w:tc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А и С</w:t>
            </w:r>
          </w:p>
        </w:tc>
        <w:tc>
          <w:tcPr>
            <w:tcW w:type="dxa" w:w="311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0,8 / 4,5 / 8,5 л</w:t>
            </w:r>
          </w:p>
        </w:tc>
      </w:tr>
      <w:tr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NEWTONE LOTUS 3/7/20 моющаяся интерьерная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А и С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0,8 / 4,5 / 8,5 л</w:t>
            </w:r>
          </w:p>
        </w:tc>
      </w:tr>
    </w:tbl>
    <w:p>
      <w:pPr>
        <w:spacing w:after="0" w:before="0"/>
      </w:pPr>
    </w:p>
    <w:p>
      <w:pPr>
        <w:spacing w:after="0"/>
      </w:pPr>
      <w:r>
        <w:rPr>
          <w:rFonts w:ascii="Calibri" w:hAnsi="Calibri"/>
          <w:b/>
          <w:color w:val="1F4E79"/>
          <w:sz w:val="14"/>
        </w:rPr>
        <w:t>ОРЕОЛ + РАСЦВЕТ + ПРОСТОКРАШЕНО (массовый сегмент):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96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Продукт</w:t>
            </w:r>
          </w:p>
        </w:tc>
        <w:tc>
          <w:tcPr>
            <w:tcW w:type="dxa" w:w="113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База</w:t>
            </w:r>
          </w:p>
        </w:tc>
        <w:tc>
          <w:tcPr>
            <w:tcW w:type="dxa" w:w="311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Фасовки</w:t>
            </w:r>
          </w:p>
        </w:tc>
      </w:tr>
      <w:tr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Краска ОРЕОЛ для интерьеров моющаяся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А и С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2,2 / 9 л</w:t>
            </w:r>
          </w:p>
        </w:tc>
      </w:tr>
      <w:tr>
        <w:tc>
          <w:tcPr>
            <w:tcW w:type="dxa" w:w="396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Краска ОРЕОЛ для фасадов</w:t>
            </w:r>
          </w:p>
        </w:tc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А и С</w:t>
            </w:r>
          </w:p>
        </w:tc>
        <w:tc>
          <w:tcPr>
            <w:tcW w:type="dxa" w:w="311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4,5 / 9 л</w:t>
            </w:r>
          </w:p>
        </w:tc>
      </w:tr>
      <w:tr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Эмаль акриловая ОРЕОЛ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А и С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0,9 / 1,9 кг</w:t>
            </w:r>
          </w:p>
        </w:tc>
      </w:tr>
      <w:tr>
        <w:tc>
          <w:tcPr>
            <w:tcW w:type="dxa" w:w="396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Эмаль РАСЦВЕТ ПФ-115 (белая)</w:t>
            </w:r>
          </w:p>
        </w:tc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—</w:t>
            </w:r>
          </w:p>
        </w:tc>
        <w:tc>
          <w:tcPr>
            <w:tcW w:type="dxa" w:w="311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0,9 / 1,9 / 2,7 кг</w:t>
            </w:r>
          </w:p>
        </w:tc>
      </w:tr>
      <w:tr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Эмаль ПРОСТОКРАШЕНО ПФ-115 (белая)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—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0,9 / 1,9 / 2,7 кг</w:t>
            </w:r>
          </w:p>
        </w:tc>
      </w:tr>
    </w:tbl>
    <w:p>
      <w:pPr>
        <w:spacing w:after="0" w:before="0"/>
      </w:pPr>
    </w:p>
    <w:p>
      <w:pPr>
        <w:spacing w:before="24" w:after="3"/>
      </w:pPr>
      <w:r>
        <w:rPr>
          <w:rFonts w:ascii="Calibri" w:hAnsi="Calibri"/>
          <w:b/>
          <w:color w:val="1F4E79"/>
          <w:sz w:val="16"/>
        </w:rPr>
        <w:t>2. РЕКОМЕНДУЕМЫЕ ОБЪЁМЫ КОЛЕРОВКИ (минимум для окупаемости)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226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Бренд</w:t>
            </w:r>
          </w:p>
        </w:tc>
        <w:tc>
          <w:tcPr>
            <w:tcW w:type="dxa" w:w="28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Объём в месяц</w:t>
            </w:r>
          </w:p>
        </w:tc>
        <w:tc>
          <w:tcPr>
            <w:tcW w:type="dxa" w:w="311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Годовой объём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NEWTONE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1 500 кг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18 000 кг/год</w:t>
            </w:r>
          </w:p>
        </w:tc>
      </w:tr>
      <w:tr>
        <w:tc>
          <w:tcPr>
            <w:tcW w:type="dxa" w:w="226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AvantGarde</w:t>
            </w:r>
          </w:p>
        </w:tc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2 000 кг</w:t>
            </w:r>
          </w:p>
        </w:tc>
        <w:tc>
          <w:tcPr>
            <w:tcW w:type="dxa" w:w="311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24 000 кг/год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ОРЕОЛ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500 кг (минимум)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6 000 кг/год</w:t>
            </w:r>
          </w:p>
        </w:tc>
      </w:tr>
      <w:tr>
        <w:tc>
          <w:tcPr>
            <w:tcW w:type="dxa" w:w="226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A1A1A"/>
                <w:sz w:val="12"/>
              </w:rPr>
              <w:t>ИТОГО с 1 машины</w:t>
            </w:r>
          </w:p>
        </w:tc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4 000 кг/мес</w:t>
            </w:r>
          </w:p>
        </w:tc>
        <w:tc>
          <w:tcPr>
            <w:tcW w:type="dxa" w:w="311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48 000 кг/год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8220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2"/>
              </w:rPr>
              <w:t>⚠ МИНИМУМ: выход на 24 тонны/год (2 тонны/мес) с одной машины во втором сезоне.</w:t>
            </w:r>
            <w:r>
              <w:br/>
            </w:r>
            <w:r>
              <w:rPr>
                <w:rFonts w:ascii="Calibri" w:hAnsi="Calibri"/>
                <w:b/>
                <w:color w:val="C00000"/>
                <w:sz w:val="12"/>
              </w:rPr>
              <w:t>При невыполнении — Эмпилс пересматривает условия аренды (700 руб/мес).</w:t>
            </w:r>
          </w:p>
        </w:tc>
      </w:tr>
    </w:tbl>
    <w:p>
      <w:pPr>
        <w:spacing w:before="24" w:after="3"/>
      </w:pPr>
      <w:r>
        <w:rPr>
          <w:rFonts w:ascii="Calibri" w:hAnsi="Calibri"/>
          <w:b/>
          <w:color w:val="1F4E79"/>
          <w:sz w:val="16"/>
        </w:rPr>
        <w:t>3. КОЛЕРОВОЧНОЕ ОБОРУДОВАНИЕ (предоставляет Эмпилс)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226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0"/>
              </w:rPr>
              <w:t>Оборудование</w:t>
            </w:r>
          </w:p>
        </w:tc>
        <w:tc>
          <w:tcPr>
            <w:tcW w:type="dxa" w:w="170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0"/>
              </w:rPr>
              <w:t>Производитель</w:t>
            </w:r>
          </w:p>
        </w:tc>
        <w:tc>
          <w:tcPr>
            <w:tcW w:type="dxa" w:w="425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0"/>
              </w:rPr>
              <w:t>Ключевые характеристики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0"/>
              </w:rPr>
              <w:t>Дозатор COROB D180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0"/>
              </w:rPr>
              <w:t>Corob, Италия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0"/>
              </w:rPr>
              <w:t>16 канистр, bellows pump, мин. доза 0,051 мл, 1250×710×880 мм, 90 кг</w:t>
            </w:r>
          </w:p>
        </w:tc>
      </w:tr>
      <w:tr>
        <w:tc>
          <w:tcPr>
            <w:tcW w:type="dxa" w:w="226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0"/>
              </w:rPr>
              <w:t>Миксер MultiSpeed CABO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0"/>
              </w:rPr>
              <w:t>CABO, Италия</w:t>
            </w:r>
          </w:p>
        </w:tc>
        <w:tc>
          <w:tcPr>
            <w:tcW w:type="dxa" w:w="425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0"/>
              </w:rPr>
              <w:t>Гироскопический, 3 скорости, 800×860×1040 мм, 170 кг, рольставни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0"/>
              </w:rPr>
              <w:t>Рекламная стойка NEWTONE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0"/>
              </w:rPr>
              <w:t>Эмпилс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0"/>
              </w:rPr>
              <w:t>Фирменный POS-стенд для привлечения внимания</w:t>
            </w:r>
          </w:p>
        </w:tc>
      </w:tr>
      <w:tr>
        <w:tc>
          <w:tcPr>
            <w:tcW w:type="dxa" w:w="226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0"/>
              </w:rPr>
              <w:t>Веер RAL K7 + NCS index 1950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0"/>
              </w:rPr>
              <w:t>Эмпилс</w:t>
            </w:r>
          </w:p>
        </w:tc>
        <w:tc>
          <w:tcPr>
            <w:tcW w:type="dxa" w:w="425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0"/>
              </w:rPr>
              <w:t>2 базовых каталога цветов (213 + 1950 цветов)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0"/>
              </w:rPr>
              <w:t>ПО Innovatint 3/4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0"/>
              </w:rPr>
              <w:t>Vibrantz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0"/>
              </w:rPr>
              <w:t>8 каталогов цветов, управление дозатором, печать этикеток</w:t>
            </w:r>
          </w:p>
        </w:tc>
      </w:tr>
      <w:tr>
        <w:tc>
          <w:tcPr>
            <w:tcW w:type="dxa" w:w="226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0"/>
              </w:rPr>
              <w:t>16 колорантов MONICOLOR PRO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0"/>
              </w:rPr>
              <w:t>Закупка дистра</w:t>
            </w:r>
          </w:p>
        </w:tc>
        <w:tc>
          <w:tcPr>
            <w:tcW w:type="dxa" w:w="425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0"/>
              </w:rPr>
              <w:t>Доля пигмента 7–65%, фасовка 950 мл</w:t>
            </w:r>
          </w:p>
        </w:tc>
      </w:tr>
    </w:tbl>
    <w:p>
      <w:pPr>
        <w:spacing w:after="0" w:before="0"/>
      </w:pPr>
    </w:p>
    <w:p>
      <w:pPr>
        <w:spacing w:before="24" w:after="3"/>
      </w:pPr>
      <w:r>
        <w:rPr>
          <w:rFonts w:ascii="Calibri" w:hAnsi="Calibri"/>
          <w:b/>
          <w:color w:val="1F4E79"/>
          <w:sz w:val="16"/>
        </w:rPr>
        <w:t>4. ЦВЕТОВЫЕ ВЕЕРА И КАТАЛОГИ (поддерживаются ПО Innovatint)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40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Каталог</w:t>
            </w:r>
          </w:p>
        </w:tc>
        <w:tc>
          <w:tcPr>
            <w:tcW w:type="dxa" w:w="198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Кол-во цветов</w:t>
            </w:r>
          </w:p>
        </w:tc>
        <w:tc>
          <w:tcPr>
            <w:tcW w:type="dxa" w:w="28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Тип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RAL 840 HR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213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Международный</w:t>
            </w:r>
          </w:p>
        </w:tc>
      </w:tr>
      <w:tr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RAL Design D2</w:t>
            </w:r>
          </w:p>
        </w:tc>
        <w:tc>
          <w:tcPr>
            <w:tcW w:type="dxa" w:w="198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1 625</w:t>
            </w:r>
          </w:p>
        </w:tc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Международный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NCS index 1950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1 950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Международный</w:t>
            </w:r>
          </w:p>
        </w:tc>
      </w:tr>
      <w:tr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Symphony I &amp; II (Tikkurila)</w:t>
            </w:r>
          </w:p>
        </w:tc>
        <w:tc>
          <w:tcPr>
            <w:tcW w:type="dxa" w:w="198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2 436</w:t>
            </w:r>
          </w:p>
        </w:tc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Фирменный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Monicolor Nova 2024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1 600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Фирменный</w:t>
            </w:r>
          </w:p>
        </w:tc>
      </w:tr>
      <w:tr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Caparol 3D PLUS</w:t>
            </w:r>
          </w:p>
        </w:tc>
        <w:tc>
          <w:tcPr>
            <w:tcW w:type="dxa" w:w="198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1 600</w:t>
            </w:r>
          </w:p>
        </w:tc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Фирменный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Dulux Trade Color Palette 5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1 200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Фирменный</w:t>
            </w:r>
          </w:p>
        </w:tc>
      </w:tr>
    </w:tbl>
    <w:p>
      <w:pPr>
        <w:spacing w:after="0" w:before="0"/>
      </w:pPr>
    </w:p>
    <w:p>
      <w:pPr>
        <w:spacing w:after="3"/>
      </w:pPr>
      <w:r>
        <w:rPr>
          <w:rFonts w:ascii="Calibri" w:hAnsi="Calibri"/>
          <w:b/>
          <w:color w:val="375623"/>
          <w:sz w:val="12"/>
        </w:rPr>
        <w:t>Итого: 12 000+ цветов из 8 каталогов — покупатель может прийти с любым веером.</w:t>
      </w:r>
    </w:p>
    <w:p>
      <w:pPr>
        <w:spacing w:before="24" w:after="3"/>
      </w:pPr>
      <w:r>
        <w:rPr>
          <w:rFonts w:ascii="Calibri" w:hAnsi="Calibri"/>
          <w:b/>
          <w:color w:val="1F4E79"/>
          <w:sz w:val="16"/>
        </w:rPr>
        <w:t>5. ГДЕ СТАВИТЬ ОБОРУДОВАНИЕ В МАГАЗИНЕ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Тип магазина</w:t>
            </w:r>
          </w:p>
        </w:tc>
        <w:tc>
          <w:tcPr>
            <w:tcW w:type="dxa" w:w="141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Площадь</w:t>
            </w:r>
          </w:p>
        </w:tc>
        <w:tc>
          <w:tcPr>
            <w:tcW w:type="dxa" w:w="368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Где ставить</w:t>
            </w:r>
          </w:p>
        </w:tc>
        <w:tc>
          <w:tcPr>
            <w:tcW w:type="dxa" w:w="141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Зона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Маленький DIY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до 100 м²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У дальней стены или в углу. Видна с входа.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1–1,5 м²</w:t>
            </w:r>
          </w:p>
        </w:tc>
      </w:tr>
      <w:tr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Средний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100–500 м²</w:t>
            </w:r>
          </w:p>
        </w:tc>
        <w:tc>
          <w:tcPr>
            <w:tcW w:type="dxa" w:w="368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«Колеровочный остров» в центре или вдоль стены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2–4 м²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Крупный DIY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500+ м²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Отдельная зона со стендом, компьютером, принтером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4–6 м²</w:t>
            </w:r>
          </w:p>
        </w:tc>
      </w:tr>
    </w:tbl>
    <w:p>
      <w:pPr>
        <w:spacing w:after="0" w:before="0"/>
      </w:pPr>
    </w:p>
    <w:p>
      <w:pPr>
        <w:spacing w:before="24" w:after="3"/>
      </w:pPr>
      <w:r>
        <w:rPr>
          <w:rFonts w:ascii="Calibri" w:hAnsi="Calibri"/>
          <w:b/>
          <w:color w:val="1F4E79"/>
          <w:sz w:val="16"/>
        </w:rPr>
        <w:t>6. ПРИНЦИПЫ РАЗМЕЩЕНИЯ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170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Принцип</w:t>
            </w:r>
          </w:p>
        </w:tc>
        <w:tc>
          <w:tcPr>
            <w:tcW w:type="dxa" w:w="6520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Что делать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Видимость с входа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Зона колеровки видна сразу при входе — сигнал «у нас любой цвет»</w:t>
            </w:r>
          </w:p>
        </w:tc>
      </w:tr>
      <w:tr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Рядом с красками</w:t>
            </w:r>
          </w:p>
        </w:tc>
        <w:tc>
          <w:tcPr>
            <w:tcW w:type="dxa" w:w="6520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Рядом с полками AvantGarde, NEWTONE, ОРЕОЛ — взял банку, дошёл до машины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Ровный пол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Бетонная основа 1×1 м (для устойчивости оборудования)</w:t>
            </w:r>
          </w:p>
        </w:tc>
      </w:tr>
      <w:tr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Электропитание</w:t>
            </w:r>
          </w:p>
        </w:tc>
        <w:tc>
          <w:tcPr>
            <w:tcW w:type="dxa" w:w="6520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2 евро-розетки, провод 2,5 мм², заземление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Температура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Не ниже +15°C (колоранты густеют при холоде)</w:t>
            </w:r>
          </w:p>
        </w:tc>
      </w:tr>
      <w:tr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Освещение</w:t>
            </w:r>
          </w:p>
        </w:tc>
        <w:tc>
          <w:tcPr>
            <w:tcW w:type="dxa" w:w="6520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Желательно 3 типа: дневной, люминесцентный, накаливания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Техдоступ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0,5 м со стороны обслуживания для замены колорантов и ремонта</w:t>
            </w:r>
          </w:p>
        </w:tc>
      </w:tr>
    </w:tbl>
    <w:p>
      <w:pPr>
        <w:spacing w:after="0" w:before="0"/>
      </w:pPr>
    </w:p>
    <w:p>
      <w:pPr>
        <w:spacing w:before="24" w:after="3"/>
      </w:pPr>
      <w:r>
        <w:rPr>
          <w:rFonts w:ascii="Calibri" w:hAnsi="Calibri"/>
          <w:b/>
          <w:color w:val="C00000"/>
          <w:sz w:val="16"/>
        </w:rPr>
        <w:t>7. ОФОРМЛЕНИЕ ЗОНЫ КОЛЕРОВКИ В РТТ — КЛЮЧ К ОБЪЁМАМ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8220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4"/>
              </w:rPr>
              <w:t>БЕЗ ОФОРМЛЕНИЯ ЗОНЫ КОЛЕРОВКИ ОБЪЁМЫ НЕ ПОЙДУТ.</w:t>
            </w:r>
            <w:r>
              <w:br/>
            </w:r>
            <w:r>
              <w:rPr>
                <w:rFonts w:ascii="Calibri" w:hAnsi="Calibri"/>
                <w:b/>
                <w:color w:val="C00000"/>
                <w:sz w:val="14"/>
              </w:rPr>
              <w:t>Зона должна быть яркой, заметной и привлекать внимание покупателя с момента входа в магазин.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340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Элемент оформления</w:t>
            </w:r>
          </w:p>
        </w:tc>
        <w:tc>
          <w:tcPr>
            <w:tcW w:type="dxa" w:w="481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Зачем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Баннер «Колеровка» над зоной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Виден с входа, привлекает внимание</w:t>
            </w:r>
          </w:p>
        </w:tc>
      </w:tr>
      <w:tr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Входная группа (указатель)</w:t>
            </w:r>
          </w:p>
        </w:tc>
        <w:tc>
          <w:tcPr>
            <w:tcW w:type="dxa" w:w="481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Направляет покупателя к зоне колеровки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Рекламная стойка NEWTONE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Фирменный POS-стенд, узнаваемость бренда</w:t>
            </w:r>
          </w:p>
        </w:tc>
      </w:tr>
      <w:tr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Стенд с выкрасками на стене</w:t>
            </w:r>
          </w:p>
        </w:tc>
        <w:tc>
          <w:tcPr>
            <w:tcW w:type="dxa" w:w="481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Покупатель видит реальные цвета, а не бумагу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Белый парус с логотипом Эмпилс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Контраст, подсветка, фирменный стиль</w:t>
            </w:r>
          </w:p>
        </w:tc>
      </w:tr>
      <w:tr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Подсветка (3 типа света)</w:t>
            </w:r>
          </w:p>
        </w:tc>
        <w:tc>
          <w:tcPr>
            <w:tcW w:type="dxa" w:w="481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Критично! Покупатель видит цвет как дома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Серый фон (алюминий)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Подчёркивает яркость выкрасок, скрывает пыль</w:t>
            </w:r>
          </w:p>
        </w:tc>
      </w:tr>
      <w:tr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Веера RAL + NCS на стенде</w:t>
            </w:r>
          </w:p>
        </w:tc>
        <w:tc>
          <w:tcPr>
            <w:tcW w:type="dxa" w:w="481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Покупатель выбирает цвет сам — ускоряет продажу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Знак «Любой цвет за 5 минут»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Снимает барьер «долго ждать»</w:t>
            </w:r>
          </w:p>
        </w:tc>
      </w:tr>
    </w:tbl>
    <w:p>
      <w:pPr>
        <w:spacing w:after="0" w:before="0"/>
      </w:pPr>
    </w:p>
    <w:p>
      <w:pPr>
        <w:spacing w:before="24" w:after="3"/>
      </w:pPr>
      <w:r>
        <w:rPr>
          <w:rFonts w:ascii="Calibri" w:hAnsi="Calibri"/>
          <w:b/>
          <w:color w:val="C00000"/>
          <w:sz w:val="16"/>
        </w:rPr>
        <w:t>8. ПРОМОПЕРСОНАЛ — ДВИЖУЩАЯ СИЛА ОБЪЁМОВ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8220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Зона колеровки без мотивированного промоперсонала = мёртвый капитал.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2"/>
              </w:rPr>
              <w:t>Нужен оператор, обученный работе с дозатором и замотивированный на объёмы продаж колерованной краски.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2"/>
              </w:rPr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2"/>
              </w:rPr>
              <w:t>✓ Обученный оператор (проходит обучение у специалистов Эмпилс при пуско-наладке)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2"/>
              </w:rPr>
              <w:t>✓ Мотивация на объём (KPI: кг колерованной краски в месяц, не менее 2000 кг)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2"/>
              </w:rPr>
              <w:t>✓ Активная работа с покупателем: предложение цвета, помощь в выборе,-upsell на больший объём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2"/>
              </w:rPr>
              <w:t>✓ Ежедневные процедуры: промывка дозатора утром/вечером, контроль уровня колорантов (≥900 мл)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2"/>
              </w:rPr>
              <w:t>✓ 1 ЭТП от Эмпилс покрывает 120 РТТ — работает в связке с оператором дистрибьютора</w:t>
            </w:r>
          </w:p>
        </w:tc>
      </w:tr>
    </w:tbl>
    <w:p>
      <w:pPr>
        <w:spacing w:before="24" w:after="3"/>
      </w:pPr>
      <w:r>
        <w:rPr>
          <w:rFonts w:ascii="Calibri" w:hAnsi="Calibri"/>
          <w:b/>
          <w:color w:val="1F4E79"/>
          <w:sz w:val="16"/>
        </w:rPr>
        <w:t>9. ФИНАНСОВЫЕ УСЛОВИЯ (коротко)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340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Что</w:t>
            </w:r>
          </w:p>
        </w:tc>
        <w:tc>
          <w:tcPr>
            <w:tcW w:type="dxa" w:w="481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Условие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Аренда оборудования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700 руб/мес (дозатор + миксер + стойка + веера + ПО)</w:t>
            </w:r>
          </w:p>
        </w:tc>
      </w:tr>
      <w:tr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Колоранты MONICOLOR PRO (16 шт.)</w:t>
            </w:r>
          </w:p>
        </w:tc>
        <w:tc>
          <w:tcPr>
            <w:tcW w:type="dxa" w:w="481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Закупка дистрибьютора по прайсу Эмпилс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Пуско-наладка и обучение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Бесплатно (специалисты Эмпилс)</w:t>
            </w:r>
          </w:p>
        </w:tc>
      </w:tr>
      <w:tr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Сервисное обслуживание</w:t>
            </w:r>
          </w:p>
        </w:tc>
        <w:tc>
          <w:tcPr>
            <w:tcW w:type="dxa" w:w="481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За счёт Эмпилс (при соблюдении регламента)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Компьютер + принтер этикеток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За счёт дистрибьютора</w:t>
            </w:r>
          </w:p>
        </w:tc>
      </w:tr>
    </w:tbl>
    <w:p>
      <w:pPr>
        <w:spacing w:after="0" w:before="0"/>
      </w:pPr>
    </w:p>
    <w:p>
      <w:pPr>
        <w:spacing w:before="24" w:after="3"/>
      </w:pPr>
      <w:r>
        <w:rPr>
          <w:rFonts w:ascii="Calibri" w:hAnsi="Calibri"/>
          <w:b/>
          <w:color w:val="1F4E79"/>
          <w:sz w:val="16"/>
        </w:rPr>
        <w:t>10. КОНТАКТЫ КОЛЕРОВОЧНОЙ СЛУЖБЫ ЭМПИЛС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255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Специалист</w:t>
            </w:r>
          </w:p>
        </w:tc>
        <w:tc>
          <w:tcPr>
            <w:tcW w:type="dxa" w:w="28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Телефон</w:t>
            </w:r>
          </w:p>
        </w:tc>
        <w:tc>
          <w:tcPr>
            <w:tcW w:type="dxa" w:w="28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E-mail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Козловский Станислав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2"/>
              </w:rPr>
              <w:t>(главный специалист)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+7 (988) 556-07-86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2"/>
              </w:rPr>
              <w:t>doб. 4222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kozlovskiy@empils.ru</w:t>
            </w:r>
          </w:p>
        </w:tc>
      </w:tr>
      <w:tr>
        <w:tc>
          <w:tcPr>
            <w:tcW w:type="dxa" w:w="255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Каретин Алексей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2"/>
              </w:rPr>
              <w:t>(специалист)</w:t>
            </w:r>
          </w:p>
        </w:tc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+7 (988) 589-82-35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2"/>
              </w:rPr>
              <w:t>доб. 4142</w:t>
            </w:r>
          </w:p>
        </w:tc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karetin@empils.ru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Горячая линия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8 (800) 200-49-11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2"/>
              </w:rPr>
              <w:t>Бесплатно по РФ</w:t>
            </w:r>
          </w:p>
        </w:tc>
      </w:tr>
    </w:tbl>
    <w:p>
      <w:pPr>
        <w:spacing w:after="0" w:before="0"/>
      </w:pPr>
    </w:p>
    <w:p>
      <w:pPr>
        <w:spacing w:after="0"/>
        <w:jc w:val="center"/>
      </w:pPr>
      <w:r>
        <w:rPr>
          <w:rFonts w:ascii="Calibri" w:hAnsi="Calibri"/>
          <w:b w:val="0"/>
          <w:color w:val="595959"/>
          <w:sz w:val="12"/>
        </w:rPr>
        <w:t>Подробное руководство — в буклете «Колеровочное оборудование для дистрибьюторов» (33 стр.)</w:t>
      </w:r>
    </w:p>
    <w:p>
      <w:pPr>
        <w:spacing w:after="0"/>
        <w:jc w:val="center"/>
      </w:pPr>
      <w:r>
        <w:rPr>
          <w:rFonts w:ascii="Calibri" w:hAnsi="Calibri"/>
          <w:b/>
          <w:color w:val="1F4E79"/>
          <w:sz w:val="12"/>
        </w:rPr>
        <w:t>8 (800) 200-49-11 · www.empils.ru · empils.ru</w:t>
      </w:r>
    </w:p>
    <w:sectPr w:rsidR="00FC693F" w:rsidRPr="0006063C" w:rsidSect="00034616">
      <w:pgSz w:w="12240" w:h="15840"/>
      <w:pgMar w:top="283" w:right="454" w:bottom="22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