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Arial" w:hAnsi="Arial" w:cs="Arial"/>
          <w:b/>
          <w:color w:val="6B7280"/>
          <w:sz w:val="18"/>
        </w:rPr>
        <w:t>ТЕХНИЧЕСКАЯ ЧАСТЬ ПИСЬМА (для вас — что заполнить в Unisender)</w:t>
      </w:r>
    </w:p>
    <w:p>
      <w:pPr>
        <w:spacing w:before="0" w:after="80" w:line="312" w:lineRule="auto"/>
      </w:pPr>
    </w:p>
    <w:p>
      <w:pPr>
        <w:spacing w:before="0" w:after="40" w:line="312" w:lineRule="auto"/>
      </w:pPr>
      <w:r>
        <w:rPr>
          <w:rFonts w:ascii="Arial" w:hAnsi="Arial" w:cs="Arial"/>
          <w:b/>
          <w:color w:val="F47920"/>
          <w:sz w:val="20"/>
        </w:rPr>
        <w:t>Subject (3 варианта для A/B теста):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Вариант 1 (нейтральный): TITAN — результаты 1 полугодия и приоритеты на Q3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/>
          <w:color w:val="C62828"/>
          <w:sz w:val="20"/>
        </w:rPr>
        <w:t>Вариант 2 (проблемный): TITAN: первичка +1.8%, вторичка −35% — что это значит для вас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6A34A"/>
          <w:sz w:val="20"/>
        </w:rPr>
        <w:t>Вариант 3 (мотивирующий): 5 задач по TITAN на Q3 2026 — ваш фокус до конца сезона</w:t>
      </w:r>
    </w:p>
    <w:p>
      <w:pPr>
        <w:spacing w:before="120" w:after="40" w:line="312" w:lineRule="auto"/>
      </w:pPr>
      <w:r>
        <w:rPr>
          <w:rFonts w:ascii="Arial" w:hAnsi="Arial" w:cs="Arial"/>
          <w:b/>
          <w:color w:val="F47920"/>
          <w:sz w:val="20"/>
        </w:rPr>
        <w:t>Preheader (превью в инбоксе):</w:t>
      </w:r>
    </w:p>
    <w:p>
      <w:pPr>
        <w:spacing w:before="0" w:after="200" w:line="312" w:lineRule="auto"/>
      </w:pPr>
      <w:r>
        <w:rPr>
          <w:rFonts w:ascii="Arial" w:hAnsi="Arial" w:cs="Arial"/>
          <w:b w:val="0"/>
          <w:color w:val="6B7280"/>
          <w:sz w:val="20"/>
        </w:rPr>
        <w:t>Первичка растёт, вторичка падает — склады затовариваются. 5 конкретных задач для РМ до конца Q3.</w:t>
      </w:r>
    </w:p>
    <w:p>
      <w:pPr>
        <w:spacing w:before="0" w:after="200" w:line="312" w:lineRule="auto"/>
        <w:jc w:val="center"/>
      </w:pPr>
      <w:r>
        <w:rPr>
          <w:rFonts w:ascii="Arial" w:hAnsi="Arial" w:cs="Arial"/>
          <w:b w:val="0"/>
          <w:color w:val="6B7280"/>
          <w:sz w:val="18"/>
        </w:rPr>
        <w:t>——————————————————————————————————————————————————</w:t>
      </w:r>
    </w:p>
    <w:p>
      <w:pPr>
        <w:spacing w:before="0" w:after="120" w:line="312" w:lineRule="auto"/>
      </w:pPr>
      <w:r>
        <w:rPr>
          <w:rFonts w:ascii="Arial" w:hAnsi="Arial" w:cs="Arial"/>
          <w:b/>
          <w:color w:val="1E3A5F"/>
          <w:sz w:val="22"/>
        </w:rPr>
        <w:t>Коллеги, добрый день.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Подвели итоги по TITAN за 1 полугодие 2026. Цифры — в приложении (Excel-файл с детализацией по каждому дистрибьютору). В этом письме — главное, что требует вашего внимания до конца Q3.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Главный парадокс сезона</w:t>
      </w:r>
    </w:p>
    <w:p>
      <w:pPr>
        <w:spacing w:before="0" w:after="120" w:line="336" w:lineRule="auto"/>
      </w:pPr>
      <w:r>
        <w:rPr>
          <w:rFonts w:ascii="Arial" w:hAnsi="Arial" w:cs="Arial"/>
          <w:b w:val="0"/>
          <w:color w:val="1A1F36"/>
          <w:sz w:val="22"/>
        </w:rPr>
        <w:t>Первичка (завод → дистрибьютор) выросла на +1.8%: 90 504 → 92 094 кг. Вторичка (дистрибьютор → розница) упала на −35%: 30 589 → 20 046 кг. Это значит, что дистрибьюторы закупают TITAN на склад, но не продают его дальше в розницу. Складские запасы растут, а реальные продажи конечным клиентам — падают.</w:t>
      </w:r>
    </w:p>
    <w:p>
      <w:pPr>
        <w:spacing w:before="0" w:after="200" w:line="336" w:lineRule="auto"/>
      </w:pPr>
      <w:r>
        <w:rPr>
          <w:rFonts w:ascii="Arial" w:hAnsi="Arial" w:cs="Arial"/>
          <w:b/>
          <w:color w:val="C62828"/>
          <w:sz w:val="22"/>
        </w:rPr>
        <w:t>Если до конца сезона склады не распродаются — в Q4 дистрибьюторы сократят первичную закупку, и TITAN потеряет ещё больше. Сейчас — окно возможностей: помогите дистрибьюторам продать то, что уже лежит у них на складе.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5 задач на Q3 2026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6B7280"/>
          <w:sz w:val="20"/>
        </w:rPr>
        <w:t>В порядке приоритета — от критичных к развивающим:</w:t>
      </w:r>
    </w:p>
    <w:p>
      <w:pPr>
        <w:spacing w:before="120" w:after="40" w:line="312" w:lineRule="auto"/>
        <w:ind w:left="283"/>
      </w:pPr>
      <w:r>
        <w:rPr>
          <w:rFonts w:ascii="Arial" w:hAnsi="Arial"/>
          <w:b/>
          <w:color w:val="C62828"/>
          <w:sz w:val="22"/>
        </w:rPr>
        <w:t xml:space="preserve">1. </w:t>
      </w:r>
      <w:r>
        <w:rPr>
          <w:rFonts w:ascii="Arial" w:hAnsi="Arial"/>
          <w:b/>
          <w:color w:val="1E3A5F"/>
          <w:sz w:val="22"/>
        </w:rPr>
        <w:t>Вернуть 30 потерянных клиентов (потенциал ~10 000 кг)</w:t>
      </w:r>
    </w:p>
    <w:p>
      <w:pPr>
        <w:spacing w:before="0" w:after="80" w:line="312" w:lineRule="auto"/>
        <w:ind w:left="680"/>
      </w:pPr>
      <w:r>
        <w:rPr>
          <w:rFonts w:ascii="Arial" w:hAnsi="Arial"/>
          <w:color w:val="1A1F36"/>
          <w:sz w:val="21"/>
        </w:rPr>
        <w:t>В приложении — список 30 розничных клиентов, которые закупали TITAN в 2025 году (&gt;50 кг), а в 2026 — ни одной закупки. ТОП-3 по потерянному обороту: ИП Хаджи (2 506 кг, через Технологии РС), ИП Карапетян (1 163 кг, через Технологии РС), ООО Техноторг (832 кг, через Центр Красок). Действие: каждому из ваших падающих дистрибьюторов — список его потерянных клиентов с предложением по возврату (акция «подарок за первую закупку после перерыва», спецскидка). Срок — до 15 сентября.</w:t>
      </w:r>
    </w:p>
    <w:p>
      <w:pPr>
        <w:spacing w:before="12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2. </w:t>
      </w:r>
      <w:r>
        <w:rPr>
          <w:rFonts w:ascii="Arial" w:hAnsi="Arial"/>
          <w:b/>
          <w:color w:val="1E3A5F"/>
          <w:sz w:val="22"/>
        </w:rPr>
        <w:t>Аудит складских остатков у 12 активных дистрибьюторов</w:t>
      </w:r>
    </w:p>
    <w:p>
      <w:pPr>
        <w:spacing w:before="0" w:after="80" w:line="312" w:lineRule="auto"/>
        <w:ind w:left="680"/>
      </w:pPr>
      <w:r>
        <w:rPr>
          <w:rFonts w:ascii="Arial" w:hAnsi="Arial"/>
          <w:color w:val="1A1F36"/>
          <w:sz w:val="21"/>
        </w:rPr>
        <w:t>Первичка растёт, вторичка падает — значит, у дистрибьюторов затоваривание. Свяжитесь с каждым из 12 стабильных дистрибьюторов (см. лист «Дистрибьюторы по группам», зелёные строки) и запросите остатки TITAN на складе на текущую дату. Цель: понять, у кого сколько «зависло» кг, и помочь распродать до конца сезона. Срок — до 25 августа.</w:t>
      </w:r>
    </w:p>
    <w:p>
      <w:pPr>
        <w:spacing w:before="120" w:after="40" w:line="312" w:lineRule="auto"/>
        <w:ind w:left="283"/>
      </w:pPr>
      <w:r>
        <w:rPr>
          <w:rFonts w:ascii="Arial" w:hAnsi="Arial"/>
          <w:b/>
          <w:color w:val="C62828"/>
          <w:sz w:val="22"/>
        </w:rPr>
        <w:t xml:space="preserve">3. </w:t>
      </w:r>
      <w:r>
        <w:rPr>
          <w:rFonts w:ascii="Arial" w:hAnsi="Arial"/>
          <w:b/>
          <w:color w:val="1E3A5F"/>
          <w:sz w:val="22"/>
        </w:rPr>
        <w:t>Фокус на Севастьянова (−52%) — крупнейшее падение</w:t>
      </w:r>
    </w:p>
    <w:p>
      <w:pPr>
        <w:spacing w:before="0" w:after="80" w:line="312" w:lineRule="auto"/>
        <w:ind w:left="680"/>
      </w:pPr>
      <w:r>
        <w:rPr>
          <w:rFonts w:ascii="Arial" w:hAnsi="Arial"/>
          <w:color w:val="1A1F36"/>
          <w:sz w:val="21"/>
        </w:rPr>
        <w:t>Севастьянов Э.Ю. (Дальний Восток) — падение с 1 489 до 720 кг. Главный клиент (Бурдинский, 80% всех кг) сократил закупки вдвое. РМ Панской И.А. — нужна личная встреча с Бурдинским до 31 августа. Вопросы для встречи — в документе «10 вопросов РМ» (приложение).</w:t>
      </w:r>
    </w:p>
    <w:p>
      <w:pPr>
        <w:spacing w:before="12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4. </w:t>
      </w:r>
      <w:r>
        <w:rPr>
          <w:rFonts w:ascii="Arial" w:hAnsi="Arial"/>
          <w:b/>
          <w:color w:val="1E3A5F"/>
          <w:sz w:val="22"/>
        </w:rPr>
        <w:t>Активировать 47 «спящих» договоров</w:t>
      </w:r>
    </w:p>
    <w:p>
      <w:pPr>
        <w:spacing w:before="0" w:after="80" w:line="312" w:lineRule="auto"/>
        <w:ind w:left="680"/>
      </w:pPr>
      <w:r>
        <w:rPr>
          <w:rFonts w:ascii="Arial" w:hAnsi="Arial"/>
          <w:color w:val="1A1F36"/>
          <w:sz w:val="21"/>
        </w:rPr>
        <w:t>В базе 109 договоров с дистрибьюторами, но только 46 стабильных (закупают и в 2025, и в 2026). 47 договоров — без отметок о закупках. Это 44% базы — огромный неиспользованный ресурс. Действие: до 10 сентября позвонить каждому из ваших «спящих» дистрибьюторов и выяснить причину: либо активировать (предложить MML + стартовую акцию), либо закрыть договор (чтобы база отражала реальность).</w:t>
      </w:r>
    </w:p>
    <w:p>
      <w:pPr>
        <w:spacing w:before="120" w:after="40" w:line="312" w:lineRule="auto"/>
        <w:ind w:left="283"/>
      </w:pPr>
      <w:r>
        <w:rPr>
          <w:rFonts w:ascii="Arial" w:hAnsi="Arial"/>
          <w:b/>
          <w:color w:val="16A34A"/>
          <w:sz w:val="22"/>
        </w:rPr>
        <w:t xml:space="preserve">5. </w:t>
      </w:r>
      <w:r>
        <w:rPr>
          <w:rFonts w:ascii="Arial" w:hAnsi="Arial"/>
          <w:b/>
          <w:color w:val="1E3A5F"/>
          <w:sz w:val="22"/>
        </w:rPr>
        <w:t>Масштабировать опыт Уралстройсервиса (+55%)</w:t>
      </w:r>
    </w:p>
    <w:p>
      <w:pPr>
        <w:spacing w:before="0" w:after="80" w:line="312" w:lineRule="auto"/>
        <w:ind w:left="680"/>
      </w:pPr>
      <w:r>
        <w:rPr>
          <w:rFonts w:ascii="Arial" w:hAnsi="Arial"/>
          <w:color w:val="1A1F36"/>
          <w:sz w:val="21"/>
        </w:rPr>
        <w:t>Уралстройсервис-опт (Урал) — рост с 327 до 508 кг, РТТ выросли с 29 до 58 (×2). АЮСС-ВСТК (Дальний Восток) — стабильный рост +2-9%, привлёк 5 новых клиентов. Что они делают правильно? Опишите в отчёте — их опыт тиражируем на других дистрибьюторов. Срок — до 5 сентября.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Что от вас ждём до 1 сентября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Список 3-5 потерянных клиентов по каждому падающему дистрибьютору — с причиной ухода и предложением для возврата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Остатки TITAN на складе у 12 стабильных дистрибьюторов (в кг по SKU)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Краткий отчёт по встрече с Севастьяновым/Бурдинским (если ДВ — ваш регион)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Статус по 47 «спящим» договорам: кого активируем, кого закрываем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1 страница: что Уралстройсервис и АЮСС делают правильно — для тиражирования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Поддержка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1A1F36"/>
          <w:sz w:val="22"/>
        </w:rPr>
        <w:t>Все материалы для работы — в приложении: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Excel «TITAN_анализ_дистрибьюторов_для_программы_v2» — детализация по 109 договорам + 30 потерянных клиентов + 16 новых клиентов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Word «10 вопросов РМ для падающих дистрибьюторов» — готовые вопросы для встреч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PPT «3 цифры программы» — для совещаний с дистрибьюторами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0"/>
        </w:rPr>
        <w:t>Excel «MML_TITAN_с_продажами» — матрица ассортимента для предложения дистрибьюторам</w:t>
      </w:r>
    </w:p>
    <w:p>
      <w:pPr>
        <w:spacing w:before="0" w:after="120" w:line="312" w:lineRule="auto"/>
      </w:pP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Если нужна помощь — пишите. Если у вас есть идеи, как улучшить программу TITAN — обязательно делитесь. Мы в одной лодке, и конец сезона — это время, когда ещё можно повлиять на результат года.</w:t>
      </w:r>
    </w:p>
    <w:p>
      <w:pPr>
        <w:spacing w:before="0" w:after="40" w:line="312" w:lineRule="auto"/>
      </w:pPr>
      <w:r>
        <w:rPr>
          <w:rFonts w:ascii="Arial" w:hAnsi="Arial" w:cs="Arial"/>
          <w:b w:val="0"/>
          <w:color w:val="1A1F36"/>
          <w:sz w:val="22"/>
        </w:rPr>
        <w:t>С уважением,</w:t>
      </w:r>
    </w:p>
    <w:p>
      <w:pPr>
        <w:spacing w:before="0" w:after="0" w:line="312" w:lineRule="auto"/>
      </w:pPr>
      <w:r>
        <w:rPr>
          <w:rFonts w:ascii="Arial" w:hAnsi="Arial" w:cs="Arial"/>
          <w:b/>
          <w:color w:val="1E3A5F"/>
          <w:sz w:val="22"/>
        </w:rPr>
        <w:t>[Ваше имя]</w:t>
      </w:r>
    </w:p>
    <w:p>
      <w:pPr>
        <w:spacing w:before="0" w:after="0" w:line="312" w:lineRule="auto"/>
      </w:pPr>
      <w:r>
        <w:rPr>
          <w:rFonts w:ascii="Arial" w:hAnsi="Arial" w:cs="Arial"/>
          <w:b w:val="0"/>
          <w:color w:val="6B7280"/>
          <w:sz w:val="20"/>
        </w:rPr>
        <w:t>[Должность], Empils / TITAN</w:t>
      </w:r>
    </w:p>
    <w:p>
      <w:pPr>
        <w:spacing w:before="0" w:after="200" w:line="312" w:lineRule="auto"/>
      </w:pPr>
      <w:r>
        <w:rPr>
          <w:rFonts w:ascii="Arial" w:hAnsi="Arial" w:cs="Arial"/>
          <w:b w:val="0"/>
          <w:color w:val="6B7280"/>
          <w:sz w:val="20"/>
        </w:rPr>
        <w:t>[телефон] | [email]</w:t>
      </w:r>
    </w:p>
    <w:p>
      <w:pPr>
        <w:spacing w:before="0" w:after="120" w:line="312" w:lineRule="auto"/>
      </w:pPr>
    </w:p>
    <w:p>
      <w:pPr>
        <w:spacing w:before="0" w:after="120" w:line="312" w:lineRule="auto"/>
        <w:jc w:val="center"/>
      </w:pPr>
      <w:r>
        <w:rPr>
          <w:rFonts w:ascii="Arial" w:hAnsi="Arial" w:cs="Arial"/>
          <w:b w:val="0"/>
          <w:color w:val="6B7280"/>
          <w:sz w:val="18"/>
        </w:rPr>
        <w:t>——————————————————————————————————————————————————</w:t>
      </w:r>
    </w:p>
    <w:p>
      <w:pPr>
        <w:spacing w:before="0" w:after="40" w:line="312" w:lineRule="auto"/>
      </w:pPr>
      <w:r>
        <w:rPr>
          <w:rFonts w:ascii="Arial" w:hAnsi="Arial" w:cs="Arial"/>
          <w:b/>
          <w:color w:val="F47920"/>
          <w:sz w:val="20"/>
        </w:rPr>
        <w:t>Приложения к письму: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18"/>
        </w:rPr>
        <w:t>TITAN_анализ_дистрибьюторов_для_программы_v2.xlsx (основной отчёт)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18"/>
        </w:rPr>
        <w:t>TITAN_10_вопросов_РМ_для_падающих_дистр.docx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18"/>
        </w:rPr>
        <w:t>TITAN_3_цифры_программы.pptx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18"/>
        </w:rPr>
        <w:t>MML_TITAN_с_продажами_v2.xlsx</w:t>
      </w:r>
    </w:p>
    <w:p>
      <w:pPr>
        <w:spacing w:before="0" w:after="200" w:line="312" w:lineRule="auto"/>
      </w:pPr>
    </w:p>
    <w:p>
      <w:pPr>
        <w:spacing w:before="0" w:after="120" w:line="312" w:lineRule="auto"/>
        <w:jc w:val="center"/>
      </w:pPr>
      <w:r>
        <w:rPr>
          <w:rFonts w:ascii="Arial" w:hAnsi="Arial" w:cs="Arial"/>
          <w:b w:val="0"/>
          <w:color w:val="6B7280"/>
          <w:sz w:val="18"/>
        </w:rPr>
        <w:t>——————————————————————————————————————————————————</w:t>
      </w:r>
    </w:p>
    <w:p>
      <w:pPr>
        <w:spacing w:before="0" w:after="40" w:line="312" w:lineRule="auto"/>
      </w:pPr>
      <w:r>
        <w:rPr>
          <w:rFonts w:ascii="Arial" w:hAnsi="Arial" w:cs="Arial"/>
          <w:b/>
          <w:color w:val="6B7280"/>
          <w:sz w:val="18"/>
        </w:rPr>
        <w:t>ПРИМЕЧАНИЕ ДЛЯ ВАС (не для рассылки)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6B7280"/>
          <w:sz w:val="18"/>
        </w:rPr>
        <w:t>Выше — тело письма. Subject и preheader — вверху документа. Перед отправкой замените [Ваше имя], [Должность], [телефон], [email] на свои данные. Приложения прикрепите к письму в Unisender (4 файла).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