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C62828"/>
          </w:tcPr>
          <w:p>
            <w:pPr>
              <w:spacing w:before="600" w:after="200"/>
              <w:jc w:val="center"/>
            </w:pPr>
            <w:r/>
            <w:r>
              <w:rPr>
                <w:b/>
                <w:color w:val="FFFFFF"/>
                <w:sz w:val="64"/>
              </w:rPr>
              <w:t>Empils • TITAN</w:t>
            </w:r>
          </w:p>
          <w:p>
            <w:pPr>
              <w:spacing w:after="600"/>
              <w:jc w:val="center"/>
            </w:pPr>
            <w:r>
              <w:rPr>
                <w:color w:val="FFFFFF"/>
                <w:sz w:val="36"/>
              </w:rPr>
              <w:t>Программа партнёрского сотрудничества</w:t>
            </w:r>
          </w:p>
        </w:tc>
      </w:tr>
    </w:tbl>
    <w:p>
      <w:pPr>
        <w:spacing w:before="400"/>
        <w:jc w:val="center"/>
      </w:pPr>
      <w:r>
        <w:rPr>
          <w:b/>
          <w:color w:val="1A1F36"/>
          <w:sz w:val="28"/>
        </w:rPr>
        <w:t>Дистрибьютор: «Центр Красок», Краснодар (ЮФО)</w:t>
      </w:r>
    </w:p>
    <w:p>
      <w:pPr>
        <w:jc w:val="center"/>
      </w:pPr>
      <w:r>
        <w:rPr>
          <w:color w:val="C62828"/>
          <w:sz w:val="28"/>
        </w:rPr>
        <w:t>Период: 06.07.2026 — 31.12.2026</w:t>
      </w:r>
    </w:p>
    <w:p>
      <w:pPr>
        <w:spacing w:before="400"/>
        <w:jc w:val="center"/>
      </w:pPr>
      <w:r>
        <w:rPr>
          <w:b/>
          <w:color w:val="16A34A"/>
          <w:sz w:val="20"/>
        </w:rPr>
        <w:t>✓ Бонус 8% ежемесячно + 3% полугодовой  ✓ Отсрочка 60 дней  ✓ Выездное обучение  ✓ Экскурсия на завод  ✓ Выкрасы TITAN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1. Общие положения</w:t>
      </w:r>
    </w:p>
    <w:p>
      <w:pPr>
        <w:spacing w:after="80" w:line="288" w:lineRule="auto"/>
        <w:ind w:firstLine="283"/>
      </w:pPr>
      <w:r>
        <w:rPr>
          <w:rFonts w:ascii="Calibri" w:hAnsi="Calibri"/>
          <w:b w:val="0"/>
          <w:i w:val="0"/>
          <w:sz w:val="22"/>
        </w:rPr>
        <w:t>Программа определяет условия сотрудничества между АО «Эмпилс» (бренд TITAN) и дистрибьютором «Центр Красок» (Краснодар) на территории ЮФО. Программа разработана на основе протокола встречи от 01.07.2026 и действует с 6 июля по 31 декабря 2026 года.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Производитель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АО «Эмпилс» (TITAN)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Дистрибьютор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«Центр Красок», Краснодар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Территория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Южный федеральный округ (ЮФО)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Период действия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06.07.2026 — 31.12.2026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Основание</w:t>
            </w:r>
          </w:p>
        </w:tc>
        <w:tc>
          <w:tcPr>
            <w:tcW w:type="dxa" w:w="68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Протокол встречи от 01.07.2026</w:t>
            </w:r>
          </w:p>
        </w:tc>
      </w:tr>
    </w:tbl>
    <w:p>
      <w:pPr>
        <w:pStyle w:val="Heading1"/>
      </w:pPr>
      <w:r>
        <w:rPr>
          <w:rFonts w:ascii="Calibri" w:hAnsi="Calibri"/>
          <w:color w:val="C62828"/>
        </w:rPr>
        <w:t>2. Финансовые условия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Размер</w:t>
            </w:r>
          </w:p>
        </w:tc>
        <w:tc>
          <w:tcPr>
            <w:tcW w:type="dxa" w:w="5386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Порядок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Ежемесячный бонус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8% от объёма закупок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Безоговорочный, выплата в течение 10 раб. дней после расчётного месяца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Полугодовой бонус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3% от объёма закупок за полугодие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Выплата в течение 20 раб. дней после окончания полугодия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Отсрочка платежа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60 календарных дней</w:t>
            </w:r>
          </w:p>
        </w:tc>
        <w:tc>
          <w:tcPr>
            <w:tcW w:type="dxa" w:w="53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При соблюдении графика платежей по предыдущим поставкам</w:t>
            </w:r>
          </w:p>
        </w:tc>
      </w:tr>
    </w:tbl>
    <w:p>
      <w:pPr>
        <w:spacing w:after="80" w:line="288" w:lineRule="auto"/>
      </w:pPr>
      <w:r>
        <w:rPr>
          <w:rFonts w:ascii="Calibri" w:hAnsi="Calibri"/>
          <w:b w:val="0"/>
          <w:i/>
          <w:color w:val="5A6080"/>
          <w:sz w:val="22"/>
        </w:rPr>
        <w:t>Пример: при закупке 1 млн руб./мес. — ежемесячный бонус 80 000 руб., полугодовой бонус 180 000 руб. Итого за полугодие: 660 000 руб.</w:t>
      </w:r>
    </w:p>
    <w:p>
      <w:pPr>
        <w:pStyle w:val="Heading1"/>
      </w:pPr>
      <w:r>
        <w:rPr>
          <w:rFonts w:ascii="Calibri" w:hAnsi="Calibri"/>
          <w:color w:val="C62828"/>
        </w:rPr>
        <w:t>3. Выездное обучение</w:t>
      </w:r>
    </w:p>
    <w:p>
      <w:pPr>
        <w:spacing w:after="80" w:line="288" w:lineRule="auto"/>
        <w:ind w:firstLine="283"/>
      </w:pPr>
      <w:r>
        <w:rPr>
          <w:rFonts w:ascii="Calibri" w:hAnsi="Calibri"/>
          <w:b w:val="0"/>
          <w:i w:val="0"/>
          <w:sz w:val="22"/>
        </w:rPr>
        <w:t>«Эмпилс» проводит выездное обучение торговой и обучающей команды дистрибьютора. Дата и формат согласовываются сторонами. Обучение включает модули: о компании «Эмпилс», о продуктах TITAN (с упором на TITAN 3в1), методика ТСО (совокупная стоимость владения) с примерами для розничных точек и B2B-клиентов, практикум с выкрасами, работа с возражениями, цифровые инструменты и тестирование с выдачей сертификата.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C62828"/>
          <w:sz w:val="22"/>
        </w:rPr>
        <w:t>Условия проведения: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2"/>
        </w:rPr>
        <w:t>Аудитория: торговые представители, супервайзеры, тренеры (15–25 человек)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2"/>
        </w:rPr>
        <w:t>Формат: офлайн на территории дистрибьютора, возможно разделение на потоки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2"/>
        </w:rPr>
        <w:t>Материалы: шпаргалка продавца, сравнительная таблица, калькулятор ТСО, сертификаты — за счёт «Эмпилс»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2"/>
        </w:rPr>
        <w:t>Командировочные тренера — за счёт «Эмпилс»; аренда помещения — за счёт дистрибьютора</w:t>
      </w:r>
    </w:p>
    <w:p>
      <w:pPr>
        <w:pStyle w:val="Heading1"/>
      </w:pPr>
      <w:r>
        <w:rPr>
          <w:rFonts w:ascii="Calibri" w:hAnsi="Calibri"/>
          <w:color w:val="C62828"/>
        </w:rPr>
        <w:t>4. Экскурсия на завод «Эмпилс»</w:t>
      </w:r>
    </w:p>
    <w:p>
      <w:pPr>
        <w:spacing w:after="80" w:line="288" w:lineRule="auto"/>
        <w:ind w:firstLine="283"/>
      </w:pPr>
      <w:r>
        <w:rPr>
          <w:rFonts w:ascii="Calibri" w:hAnsi="Calibri"/>
          <w:b w:val="0"/>
          <w:i w:val="0"/>
          <w:sz w:val="22"/>
        </w:rPr>
        <w:t>«Эмпилс» приглашает делегацию «Центр Красок» (до 10 человек) на экскурсию на завод в Ростов-на-Дону. Программа включает: экскурсию по производству и лаборатории, дегустацию продуктов (TITAN 3в1, Avangarde, Newton), презентацию новинок, круглый стол с руководством и вручение сувениров. Дата согласовывается сторонами (предпочтительно сентябрь—октябрь 2026). Программа экскурсии, обед и сувениры — за счёт «Эмпилс»; проезд и проживание — по согласованию (50/50).</w:t>
      </w:r>
    </w:p>
    <w:p>
      <w:pPr>
        <w:pStyle w:val="Heading1"/>
      </w:pPr>
      <w:r>
        <w:rPr>
          <w:rFonts w:ascii="Calibri" w:hAnsi="Calibri"/>
          <w:color w:val="C62828"/>
        </w:rPr>
        <w:t>5. Обеспечение выкрасами по TITAN</w:t>
      </w:r>
    </w:p>
    <w:p>
      <w:pPr>
        <w:spacing w:after="80" w:line="288" w:lineRule="auto"/>
        <w:ind w:firstLine="283"/>
      </w:pPr>
      <w:r>
        <w:rPr>
          <w:rFonts w:ascii="Calibri" w:hAnsi="Calibri"/>
          <w:b w:val="0"/>
          <w:i w:val="0"/>
          <w:sz w:val="22"/>
        </w:rPr>
        <w:t>«Эмпилс» бесплатно обеспечивает дистрибьютора образцами покрытий (выкрасами) по TITAN для демонстрации покупателям и на обучающих мероприятиях. Базовый набор включает образцы 5 цветов RAL (чёрный, белый, красно-коричневый, серый, зелёный), сравнительные образцы TITAN vs ПФ-115 и TITAN vs Hammerite, а также образец «до/после через год» для демонстрации долговечности.</w:t>
      </w:r>
    </w:p>
    <w:p>
      <w:pPr>
        <w:spacing w:after="80" w:line="288" w:lineRule="auto"/>
      </w:pPr>
      <w:r>
        <w:rPr>
          <w:rFonts w:ascii="Calibri" w:hAnsi="Calibri"/>
          <w:b/>
          <w:i w:val="0"/>
          <w:color w:val="C62828"/>
          <w:sz w:val="22"/>
        </w:rPr>
        <w:t>Условия: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2"/>
        </w:rPr>
        <w:t>Базовый набор — 1 комплект на каждый филиал; дополнительные — по запросу (до 5 на филиал)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2"/>
        </w:rPr>
        <w:t>Первая поставка — в течение 14 дней после подписания программы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2"/>
        </w:rPr>
        <w:t>Стоимость и доставка — за счёт «Эмпилс»</w:t>
      </w:r>
    </w:p>
    <w:p>
      <w:pPr>
        <w:pStyle w:val="Heading1"/>
      </w:pPr>
      <w:r>
        <w:rPr>
          <w:rFonts w:ascii="Calibri" w:hAnsi="Calibri"/>
          <w:color w:val="C62828"/>
        </w:rPr>
        <w:t>6. Календарный 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737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Мероприятие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06.07.2026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Старт программы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До 20.07.2026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Первая поставка выкрасов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Июль—Авг 2026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Выездное обучение торговой команды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Ежемесячно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Выплата ежемесячного бонуса (8%)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Сент—Окт 2026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Экскурсия делегации на завод «Эмпилс»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31.12.2026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Окончание программы, расчёт полугодового бонуса (3%)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Январь 2027</w:t>
            </w:r>
          </w:p>
        </w:tc>
        <w:tc>
          <w:tcPr>
            <w:tcW w:type="dxa" w:w="737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Анализ результатов, решение о продлении</w:t>
            </w:r>
          </w:p>
        </w:tc>
      </w:tr>
    </w:tbl>
    <w:p>
      <w:pPr>
        <w:pStyle w:val="Heading1"/>
      </w:pPr>
      <w:r>
        <w:rPr>
          <w:rFonts w:ascii="Calibri" w:hAnsi="Calibri"/>
          <w:color w:val="C62828"/>
        </w:rPr>
        <w:t>7. Ожидаемые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5102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Целевое значение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Рост продаж TITAN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+20–30% к первому полугодию 2026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Обучение команды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≥20 сотрудников прошли обучение и тестирование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Применение ТСО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≥80% торговой команды используют методику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Восстановление ассортимента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Возврат сокращённых позиций + расширение</w:t>
            </w:r>
          </w:p>
        </w:tc>
      </w:tr>
      <w:tr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Экскурсия на завод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20"/>
              </w:rPr>
              <w:t>Делегация 8–10 человек посетила производство</w:t>
            </w:r>
          </w:p>
        </w:tc>
      </w:tr>
    </w:tbl>
    <w:p>
      <w:pPr>
        <w:pStyle w:val="Heading1"/>
      </w:pPr>
      <w:r>
        <w:rPr>
          <w:rFonts w:ascii="Calibri" w:hAnsi="Calibri"/>
          <w:color w:val="C62828"/>
        </w:rPr>
        <w:t>8. Координация</w:t>
      </w:r>
    </w:p>
    <w:p>
      <w:pPr>
        <w:spacing w:after="80" w:line="288" w:lineRule="auto"/>
        <w:ind w:firstLine="283"/>
      </w:pPr>
      <w:r>
        <w:rPr>
          <w:rFonts w:ascii="Calibri" w:hAnsi="Calibri"/>
          <w:b w:val="0"/>
          <w:i w:val="0"/>
          <w:sz w:val="22"/>
        </w:rPr>
        <w:t>Стороны назначают ответственных сотрудников для реализации программы. Ежемесячные созвоны (онлайн) для контроля выполнения, ежеквартальные очные встречи. Оперативные вопросы решаются в течение 1–2 рабочих дней, эскалация — на уровне руководителей подразделений.</w:t>
      </w:r>
    </w:p>
    <w:p>
      <w:pPr>
        <w:pStyle w:val="Heading1"/>
      </w:pPr>
      <w:r>
        <w:rPr>
          <w:rFonts w:ascii="Calibri" w:hAnsi="Calibri"/>
          <w:color w:val="C62828"/>
        </w:rPr>
        <w:t>9. Заключительные положения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2"/>
        </w:rPr>
        <w:t>Программа вступает в силу 06.07.2026 и действует до 31.12.2026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2"/>
        </w:rPr>
        <w:t>По истечении срока стороны проводят анализ и решают вопрос о продлении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2"/>
        </w:rPr>
        <w:t>Изменения оформляются письменно и подписываются обеими сторонами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2"/>
        </w:rPr>
        <w:t>Программа не является публичной офертой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C62828"/>
                <w:sz w:val="22"/>
              </w:rPr>
              <w:t>АО «Эмпилс»</w:t>
            </w:r>
          </w:p>
        </w:tc>
        <w:tc>
          <w:tcPr>
            <w:tcW w:type="dxa" w:w="484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C62828"/>
                <w:sz w:val="22"/>
              </w:rPr>
              <w:t>«Центр Красок»</w:t>
            </w:r>
          </w:p>
        </w:tc>
      </w:tr>
      <w:tr>
        <w:tc>
          <w:tcPr>
            <w:tcW w:type="dxa" w:w="48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500"/>
              <w:jc w:val="center"/>
            </w:pPr>
            <w:r/>
            <w:r>
              <w:rPr>
                <w:color w:val="5A6080"/>
                <w:sz w:val="20"/>
              </w:rPr>
              <w:t>____________ / ____________</w:t>
              <w:br/>
              <w:t>М.П.</w:t>
            </w:r>
          </w:p>
        </w:tc>
        <w:tc>
          <w:tcPr>
            <w:tcW w:type="dxa" w:w="48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500"/>
              <w:jc w:val="center"/>
            </w:pPr>
            <w:r/>
            <w:r>
              <w:rPr>
                <w:color w:val="5A6080"/>
                <w:sz w:val="20"/>
              </w:rPr>
              <w:t>____________ / ____________</w:t>
              <w:br/>
              <w:t>М.П.</w:t>
            </w:r>
          </w:p>
        </w:tc>
      </w:tr>
    </w:tbl>
    <w:p>
      <w:pPr>
        <w:spacing w:before="300"/>
        <w:jc w:val="center"/>
      </w:pPr>
      <w:r>
        <w:rPr>
          <w:color w:val="2D3142"/>
          <w:sz w:val="22"/>
        </w:rPr>
        <w:t>Дата: «____» ____________ 2026 г.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