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7200" w:hRule="exact"/>
        </w:trP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0A2540" w:val="clear"/>
          </w:tcPr>
          <w:p>
            <w:pPr>
              <w:spacing w:before="1600"/>
            </w:pPr>
          </w:p>
          <w:p>
            <w:pPr>
              <w:spacing w:after="60" w:line="900" w:lineRule="atLeast"/>
              <w:ind w:left="1400"/>
              <w:jc w:val="left"/>
            </w:pPr>
            <w:r>
              <w:rPr>
                <w:rFonts w:ascii="Carlito" w:eastAsia="SimHei"/>
                <w:b/>
                <w:bCs/>
                <w:color w:val="FFFFFF"/>
                <w:sz w:val="52"/>
                <w:szCs w:val="52"/>
              </w:rPr>
              <w:t xml:space="preserve">Программа маркетингового</w:t>
            </w:r>
          </w:p>
          <w:p>
            <w:pPr>
              <w:spacing w:after="60" w:line="900" w:lineRule="atLeast"/>
              <w:ind w:left="1400"/>
              <w:jc w:val="left"/>
            </w:pPr>
            <w:r>
              <w:rPr>
                <w:rFonts w:ascii="Carlito" w:eastAsia="SimHei"/>
                <w:b/>
                <w:bCs/>
                <w:color w:val="FFFFFF"/>
                <w:sz w:val="52"/>
                <w:szCs w:val="52"/>
              </w:rPr>
              <w:t xml:space="preserve">продвижения</w:t>
            </w:r>
          </w:p>
          <w:p>
            <w:pPr>
              <w:spacing w:after="60" w:line="900" w:lineRule="atLeast"/>
              <w:ind w:left="1400"/>
              <w:jc w:val="left"/>
            </w:pPr>
            <w:r>
              <w:rPr>
                <w:rFonts w:ascii="Carlito" w:eastAsia="SimHei"/>
                <w:b/>
                <w:bCs/>
                <w:color w:val="FFFFFF"/>
                <w:sz w:val="52"/>
                <w:szCs w:val="52"/>
              </w:rPr>
              <w:t xml:space="preserve">группированных технологий и TCO</w:t>
            </w:r>
          </w:p>
          <w:p>
            <w:pPr>
              <w:spacing w:before="400"/>
            </w:pPr>
          </w:p>
          <w:p>
            <w:pPr>
              <w:spacing w:after="100" w:line="400" w:lineRule="atLeast"/>
              <w:ind w:left="1400"/>
              <w:jc w:val="left"/>
            </w:pPr>
            <w:r>
              <w:rPr>
                <w:rFonts w:ascii="Carlito" w:eastAsia="Microsoft YaHei"/>
                <w:color w:val="00B4D8"/>
                <w:sz w:val="28"/>
                <w:szCs w:val="28"/>
              </w:rPr>
              <w:t xml:space="preserve">Концепция грунт → шпатлёвка → покрытие = результат</w:t>
            </w:r>
          </w:p>
        </w:tc>
      </w:tr>
      <w:tr>
        <w:trPr>
          <w:trHeight w:val="9638" w:hRule="exact"/>
        </w:trP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0"/>
            </w:pPr>
          </w:p>
          <w:p>
            <w:pPr>
              <w:spacing w:after="200" w:line="400" w:lineRule="atLeast"/>
              <w:ind w:left="1400"/>
              <w:jc w:val="left"/>
            </w:pPr>
            <w:r>
              <w:rPr>
                <w:rFonts w:ascii="Carlito" w:eastAsia="Microsoft YaHei"/>
                <w:color w:val="0A2540"/>
                <w:sz w:val="24"/>
                <w:szCs w:val="24"/>
              </w:rPr>
              <w:t xml:space="preserve">АО </w:t>
            </w:r>
            <w:r>
              <w:rPr>
                <w:rFonts w:ascii="Carlito" w:eastAsia="Microsoft YaHei"/>
                <w:b/>
                <w:bCs/>
                <w:color w:val="E86C00"/>
                <w:sz w:val="24"/>
                <w:szCs w:val="24"/>
              </w:rPr>
              <w:t xml:space="preserve">«Эмпилс»</w:t>
            </w:r>
          </w:p>
          <w:p>
            <w:pPr>
              <w:spacing w:after="120" w:line="312"/>
              <w:ind w:left="1400"/>
              <w:jc w:val="left"/>
            </w:pPr>
            <w:r>
              <w:rPr>
                <w:rFonts w:ascii="Carlito" w:eastAsia="Microsoft YaHei"/>
                <w:color w:val="506880"/>
                <w:sz w:val="22"/>
                <w:szCs w:val="22"/>
              </w:rPr>
              <w:t xml:space="preserve">Программа развития 2026–2028 «Путь к премиуму»</w:t>
            </w:r>
          </w:p>
          <w:p>
            <w:pPr>
              <w:spacing w:before="400"/>
            </w:pPr>
          </w:p>
          <w:p>
            <w:pPr>
              <w:spacing w:after="60" w:line="312"/>
              <w:ind w:left="1400"/>
              <w:jc w:val="left"/>
            </w:pPr>
            <w:r>
              <w:rPr>
                <w:rFonts w:ascii="Carlito" w:eastAsia="Microsoft YaHei"/>
                <w:color w:val="506880"/>
                <w:sz w:val="22"/>
                <w:szCs w:val="22"/>
              </w:rPr>
              <w:t xml:space="preserve">Департамент маркетинга</w:t>
            </w:r>
          </w:p>
          <w:p>
            <w:pPr>
              <w:spacing w:after="60" w:line="312"/>
              <w:ind w:left="1400"/>
              <w:jc w:val="left"/>
            </w:pPr>
            <w:r>
              <w:rPr>
                <w:rFonts w:ascii="Carlito" w:eastAsia="Microsoft YaHei"/>
                <w:color w:val="506880"/>
                <w:sz w:val="22"/>
                <w:szCs w:val="22"/>
              </w:rPr>
              <w:t xml:space="preserve">Июнь 2026</w:t>
            </w:r>
          </w:p>
          <w:p>
            <w:pPr>
              <w:spacing w:before="600"/>
            </w:pPr>
          </w:p>
          <w:p>
            <w:pPr>
              <w:pBdr>
                <w:bottom w:val="single" w:color="E86C00" w:sz="6" w:space="1"/>
              </w:pBdr>
              <w:spacing w:after="0"/>
              <w:ind w:left="1400"/>
              <w:jc w:val="left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rlito" w:eastAsia="SimHei"/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Резюме программы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Часть I. Как продать идею магазину: бизнес-кейс для ритейлера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1.1. Почему ритейлеру нужны группированные технологии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1.2. Финансовое обоснование для ритейлера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1.3. Сила аргументации: 5 ключей для ритейлера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Аргумент 1: Рост среднего чека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Аргумент 2: Снижение возвратов и жалоб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Аргумент 3: Увеличение маржинальности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Аргумент 4: Дифференциация от конкурентов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Аргумент 5: Минимальные инвестиции ритейлера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1.4. Пилотный проект: предложение ритейлеру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1.5. Как презентовать идею ритейлеру: формат и структура презентации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Часть II. Внешний маркетинг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2.1. Сайт Эмпилс: центр технологических цепочек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2.2. Социальные сети: контент-стратегия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2.3. Контент-маркетинг: статьи и журналы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2.4. Интернет-реклама и таргетинг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Часть III. Внутренний маркетинг (внутри магазина)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3.1. POSM и визуальный мерчандайзинг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3.2. Выкладка и зонирование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3.3. Обучение персонала магазина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3.4. TCO-калькулятор в магазине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3.5. Внутримагазинные цифровые инструменты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Часть IV. План внедрения и KPI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4.1. Дорожная карта внедрения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4.2. Система KPI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4.3. Бюджет программы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 w:line="312"/>
      </w:pPr>
      <w:bookmarkStart w:id="100000" w:name="_Toc100000"/>
      <w:r>
        <w:rPr>
          <w:rFonts w:ascii="Carlito" w:eastAsia="SimHei"/>
          <w:b/>
          <w:bCs/>
          <w:color w:val="0A2540"/>
          <w:sz w:val="32"/>
          <w:szCs w:val="32"/>
        </w:rPr>
        <w:t xml:space="preserve">Резюме программы</w:t>
      </w:r>
      <w:bookmarkEnd w:id="100000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Настоящая программа определяет комплексный подход к продвижению продукции АО «Эмпилс» через концепцию группированных технологических цепочек и методологию TCO (Total Cost of Ownership — стоимость владения). Концепция группированных технологий предлагает покупателю не отдельные банки краски или грунтовки, а полный комплект совместимых материалов: грунт → шпатлёвка → покрытие, гарантирующий результат и минимальную стоимость владения в расчёте на год.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Программа разделена на три ключевых блока. Первый — бизнес-кейс для ритейлера: как убедить магазин в целесообразности реализации этой идеи. Второй — внешний маркетинг: как привлечь покупателя через сайт, соцсети, статьи и журналы. Третий — внутренний маркетинг: как превратить посетителя магазина в покупателя технологической цепочки.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Ключевая гипотеза: покупатель выбирает не краску — он выбирает результат. Предлагая готовую технологическую цепочку с прозрачным TCO-расчётом, Эмпилс переходит от продажи банок к продаже решений. Это меняет парадигму всех участников цепочки: покупатель получает надёжный результат, ритейлер — увеличенный средний чек, Эмпилс — рост доли премиум-сегмента.</w:t>
      </w:r>
    </w:p>
    <w:p>
      <w:pPr>
        <w:pStyle w:val="Heading1"/>
        <w:spacing w:after="200" w:before="480" w:line="312"/>
      </w:pPr>
      <w:bookmarkStart w:id="100001" w:name="_Toc100001"/>
      <w:r>
        <w:rPr>
          <w:rFonts w:ascii="Carlito" w:eastAsia="SimHei"/>
          <w:b/>
          <w:bCs/>
          <w:color w:val="0A2540"/>
          <w:sz w:val="32"/>
          <w:szCs w:val="32"/>
        </w:rPr>
        <w:t xml:space="preserve">Часть I. Как продать идею магазину: бизнес-кейс для ритейлера</w:t>
      </w:r>
      <w:bookmarkEnd w:id="100001"/>
    </w:p>
    <w:p>
      <w:pPr>
        <w:pStyle w:val="Heading2"/>
        <w:spacing w:after="160" w:before="360" w:line="312"/>
      </w:pPr>
      <w:bookmarkStart w:id="100002" w:name="_Toc100002"/>
      <w:r>
        <w:rPr>
          <w:rFonts w:ascii="Carlito" w:eastAsia="SimHei"/>
          <w:b/>
          <w:bCs/>
          <w:color w:val="0A2540"/>
          <w:sz w:val="28"/>
          <w:szCs w:val="28"/>
        </w:rPr>
        <w:t xml:space="preserve">1.1. Почему ритейлеру нужны группированные технологии</w:t>
      </w:r>
      <w:bookmarkEnd w:id="100002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Сегодня в дилерских сетях (Лемана ПРО, Петрович и др.) продукция лкм продаётся как набор отдельных товаров: краска, грунтовка, эмаль — каждый товар сам по себе. Покупатель приходит за «краской по металлу», выбирает самый дёшевый вариант и уходит. При этом он не покупает грунтовку, не берёт шпатлёвку, а результат получается неудовлетворительным. Магазин теряет деньги на недопроданных сопутствующих товарах и недовольном клиенте, который винит краску, но не своё неумение.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Группированные технологические цепочки решают эту проблему на уровне бизнес-модели. Вместо продажи одного товара магазин продаёт сразу 3–4 позиции: грунт + шпатлёвка + эмаль + разбавитель. Средний чек растёт в 2,5–3,5 раза. Возвраты снижаются, потому что клиент получает завершённый результат. Конкуренция по цене заменяется конкуренцией по качеству результата — а в этой конкуренции Эмпилс имеет преимущество благодаря полной технологической цепочке.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Кроме того, концепция TCO сдвигает фокус внимания с цены банки на стоимость владения в год. Дешёвая краска с низким расходом и долговечностью часто оказывается дороже в перспективе года: перекраска, дополнительный расход материалов, потеря времени. Показав TCO, менеджер магазина получает объективный инструмент для продажи премиум-сегмента — без навязывания, на основе цифр.</w:t>
      </w:r>
    </w:p>
    <w:p>
      <w:pPr>
        <w:pStyle w:val="Heading2"/>
        <w:spacing w:after="160" w:before="360" w:line="312"/>
      </w:pPr>
      <w:bookmarkStart w:id="100003" w:name="_Toc100003"/>
      <w:r>
        <w:rPr>
          <w:rFonts w:ascii="Carlito" w:eastAsia="SimHei"/>
          <w:b/>
          <w:bCs/>
          <w:color w:val="0A2540"/>
          <w:sz w:val="28"/>
          <w:szCs w:val="28"/>
        </w:rPr>
        <w:t xml:space="preserve">1.2. Финансовое обоснование для ритейлера</w:t>
      </w:r>
      <w:bookmarkEnd w:id="100003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Для ритейлера главный вопрос — не красивая концепция, а деньги. Ниже — расчёт экономического эффекта от внедрения группированных технологий на примере одного магазина с потоком 300 покупателей лкм в месяц.</w:t>
      </w:r>
    </w:p>
    <w:tbl>
      <w:tblPr>
        <w:tblW w:type="pct" w:w="100%"/>
        <w:tblBorders>
          <w:top w:val="single" w:color="0A2540" w:sz="2"/>
          <w:left w:val="none"/>
          <w:bottom w:val="single" w:color="0A2540" w:sz="2"/>
          <w:right w:val="none"/>
          <w:insideH w:val="single" w:color="D0D8E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Показатель</w:t>
            </w:r>
          </w:p>
        </w:tc>
        <w:tc>
          <w:tcPr>
            <w:tcW w:type="pct" w:w="22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Без технологических цепочек</w:t>
            </w:r>
          </w:p>
        </w:tc>
        <w:tc>
          <w:tcPr>
            <w:tcW w:type="pct" w:w="25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С технологическими цепочками</w:t>
            </w:r>
          </w:p>
        </w:tc>
        <w:tc>
          <w:tcPr>
            <w:tcW w:type="pct" w:w="23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Изменение</w:t>
            </w:r>
          </w:p>
        </w:tc>
      </w:tr>
      <w:tr>
        <w:trPr>
          <w:cantSplit/>
        </w:trPr>
        <w:tc>
          <w:tcPr>
            <w:tcW w:type="pct" w:w="3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Средний чек, руб.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450–650</w:t>
            </w:r>
          </w:p>
        </w:tc>
        <w:tc>
          <w:tcPr>
            <w:tcW w:type="pct" w:w="2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1 200–2 200</w:t>
            </w:r>
          </w:p>
        </w:tc>
        <w:tc>
          <w:tcPr>
            <w:tcW w:type="pct" w:w="23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+170–240%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Кол-во товаров в чеке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1–2</w:t>
            </w:r>
          </w:p>
        </w:tc>
        <w:tc>
          <w:tcPr>
            <w:tcW w:type="pct" w:w="2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3–4</w:t>
            </w:r>
          </w:p>
        </w:tc>
        <w:tc>
          <w:tcPr>
            <w:tcW w:type="pct" w:w="23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+150%</w:t>
            </w:r>
          </w:p>
        </w:tc>
      </w:tr>
      <w:tr>
        <w:trPr>
          <w:cantSplit/>
        </w:trPr>
        <w:tc>
          <w:tcPr>
            <w:tcW w:type="pct" w:w="3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Возвраты, %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8–12%</w:t>
            </w:r>
          </w:p>
        </w:tc>
        <w:tc>
          <w:tcPr>
            <w:tcW w:type="pct" w:w="2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2–4%</w:t>
            </w:r>
          </w:p>
        </w:tc>
        <w:tc>
          <w:tcPr>
            <w:tcW w:type="pct" w:w="23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−6–8 п.п.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Выручка в месяц, руб.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135–195 тыс.</w:t>
            </w:r>
          </w:p>
        </w:tc>
        <w:tc>
          <w:tcPr>
            <w:tcW w:type="pct" w:w="2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360–660 тыс.</w:t>
            </w:r>
          </w:p>
        </w:tc>
        <w:tc>
          <w:tcPr>
            <w:tcW w:type="pct" w:w="23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+170–240%</w:t>
            </w:r>
          </w:p>
        </w:tc>
      </w:tr>
      <w:tr>
        <w:trPr>
          <w:cantSplit/>
        </w:trPr>
        <w:tc>
          <w:tcPr>
            <w:tcW w:type="pct" w:w="3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Маржа, % (средняя)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18–22%</w:t>
            </w:r>
          </w:p>
        </w:tc>
        <w:tc>
          <w:tcPr>
            <w:tcW w:type="pct" w:w="2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22–28%</w:t>
            </w:r>
          </w:p>
        </w:tc>
        <w:tc>
          <w:tcPr>
            <w:tcW w:type="pct" w:w="23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+4–6 п.п.</w:t>
            </w:r>
          </w:p>
        </w:tc>
      </w:tr>
    </w:tbl>
    <w:p>
      <w:pPr>
        <w:spacing w:after="200" w:before="80" w:line="312"/>
        <w:jc w:val="center"/>
      </w:pPr>
      <w:r>
        <w:rPr>
          <w:rFonts w:ascii="Carlito" w:eastAsia="Microsoft YaHei"/>
          <w:i/>
          <w:iCs/>
          <w:color w:val="506880"/>
          <w:sz w:val="20"/>
          <w:szCs w:val="20"/>
        </w:rPr>
        <w:t xml:space="preserve">Таблица 1. Сравнение экономических показателей до и после внедрения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Ключевой вывод: при точке входа в цепочку дополнительные товары (грунт, шпатлёвка, разбавитель) практически не продаются без консультации. Технологическая цепочка делает эти продажи автоматическими — покупатель берёт весь комплект, потому что так надёжнее. Для магазина это значит увеличение выручки на 170–240% без дополнительного трафика.</w:t>
      </w:r>
    </w:p>
    <w:p>
      <w:pPr>
        <w:pStyle w:val="Heading2"/>
        <w:spacing w:after="160" w:before="360" w:line="312"/>
      </w:pPr>
      <w:bookmarkStart w:id="100004" w:name="_Toc100004"/>
      <w:r>
        <w:rPr>
          <w:rFonts w:ascii="Carlito" w:eastAsia="SimHei"/>
          <w:b/>
          <w:bCs/>
          <w:color w:val="0A2540"/>
          <w:sz w:val="28"/>
          <w:szCs w:val="28"/>
        </w:rPr>
        <w:t xml:space="preserve">1.3. Сила аргументации: 5 ключей для ритейлера</w:t>
      </w:r>
      <w:bookmarkEnd w:id="100004"/>
    </w:p>
    <w:p>
      <w:pPr>
        <w:pStyle w:val="Heading3"/>
        <w:spacing w:after="120" w:before="240" w:line="312"/>
      </w:pPr>
      <w:bookmarkStart w:id="100005" w:name="_Toc100005"/>
      <w:r>
        <w:rPr>
          <w:rFonts w:ascii="Carlito" w:eastAsia="SimHei"/>
          <w:b/>
          <w:bCs/>
          <w:color w:val="E86C00"/>
          <w:sz w:val="24"/>
          <w:szCs w:val="24"/>
        </w:rPr>
        <w:t xml:space="preserve">Аргумент 1: Рост среднего чека</w:t>
      </w:r>
      <w:bookmarkEnd w:id="100005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Покупатель, пришедший за эмалью ПФ-115, покупает 1–2 банки на 500–900 руб. Предложите ему технологическую цепочку: грунт-эмаль 3в1 + эмаль ПФ-115 Эмпилс + разбавитель — средний чек вырастает до 1 500–2 500 руб. При этом покупатель не чувствует навязывания — он получает гарантию результата. В результате магазин получает увеличение выручки на каждом покупателе без дополнительных затрат на привлечение трафика.</w:t>
      </w:r>
    </w:p>
    <w:p>
      <w:pPr>
        <w:pStyle w:val="Heading3"/>
        <w:spacing w:after="120" w:before="240" w:line="312"/>
      </w:pPr>
      <w:bookmarkStart w:id="100006" w:name="_Toc100006"/>
      <w:r>
        <w:rPr>
          <w:rFonts w:ascii="Carlito" w:eastAsia="SimHei"/>
          <w:b/>
          <w:bCs/>
          <w:color w:val="E86C00"/>
          <w:sz w:val="24"/>
          <w:szCs w:val="24"/>
        </w:rPr>
        <w:t xml:space="preserve">Аргумент 2: Снижение возвратов и жалоб</w:t>
      </w:r>
      <w:bookmarkEnd w:id="100006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Главная причина возвратов лкм — несовместимость материалов в цепочке. Краска лезет с неподготовленного металла, грунтовка отслаивается — покупатель винит краску и несёт обратно. Группированная технологическая цепочка гарантирует совместимость всех слоёв. Эмпилс несёт гарантию результата при соблюдении технологии. Возвраты снижаются на 50–70%, что экономит операционные расходы магазина и сохраняет репутацию.</w:t>
      </w:r>
    </w:p>
    <w:p>
      <w:pPr>
        <w:pStyle w:val="Heading3"/>
        <w:spacing w:after="120" w:before="240" w:line="312"/>
      </w:pPr>
      <w:bookmarkStart w:id="100007" w:name="_Toc100007"/>
      <w:r>
        <w:rPr>
          <w:rFonts w:ascii="Carlito" w:eastAsia="SimHei"/>
          <w:b/>
          <w:bCs/>
          <w:color w:val="E86C00"/>
          <w:sz w:val="24"/>
          <w:szCs w:val="24"/>
        </w:rPr>
        <w:t xml:space="preserve">Аргумент 3: Увеличение маржинальности</w:t>
      </w:r>
      <w:bookmarkEnd w:id="100007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Сопутствующие товары (грунтовки, шпатлёвки, разбавители) имеют маржу 25–35% против 15–20% на эмалях и красках. Продавая технологическую цепочку вместо одной банки эмали, магазин повышает среднюю маржу с чека на 4–6 процентных пунктов. На объёме того же трафика магазин зарабатывает больше — без капитальных затрат на реконструкцию помещения или привлечение новых клиентов.</w:t>
      </w:r>
    </w:p>
    <w:p>
      <w:pPr>
        <w:pStyle w:val="Heading3"/>
        <w:spacing w:after="120" w:before="240" w:line="312"/>
      </w:pPr>
      <w:bookmarkStart w:id="100008" w:name="_Toc100008"/>
      <w:r>
        <w:rPr>
          <w:rFonts w:ascii="Carlito" w:eastAsia="SimHei"/>
          <w:b/>
          <w:bCs/>
          <w:color w:val="E86C00"/>
          <w:sz w:val="24"/>
          <w:szCs w:val="24"/>
        </w:rPr>
        <w:t xml:space="preserve">Аргумент 4: Дифференциация от конкурентов</w:t>
      </w:r>
      <w:bookmarkEnd w:id="100008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Ни одна сеть DIY в России не предлагает группированные технологические цепочки с TCO-расчётом. Первый ритейлер, который внедрит этот подход, получит уникальное конкурентное преимущество. Это не просто новая выкладка — это инновация на уровне бизнес-модели, которую конкуренты смогут скопировать не раньше чем через 12–18 месяцев. Ритейлер получает окно возможности для перехвата интеллектуального потребителя, который ищет не самую дёшевую краску, а надёжный результат.</w:t>
      </w:r>
    </w:p>
    <w:p>
      <w:pPr>
        <w:pStyle w:val="Heading3"/>
        <w:spacing w:after="120" w:before="240" w:line="312"/>
      </w:pPr>
      <w:bookmarkStart w:id="100009" w:name="_Toc100009"/>
      <w:r>
        <w:rPr>
          <w:rFonts w:ascii="Carlito" w:eastAsia="SimHei"/>
          <w:b/>
          <w:bCs/>
          <w:color w:val="E86C00"/>
          <w:sz w:val="24"/>
          <w:szCs w:val="24"/>
        </w:rPr>
        <w:t xml:space="preserve">Аргумент 5: Минимальные инвестиции ритейлера</w:t>
      </w:r>
      <w:bookmarkEnd w:id="100009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Внедрение не требует перестройки магазина или капитальных затрат. Эмпилс берёт на себя: разработку POSM-материалов, обучение персонала, TCO-калькулятор, контент для сайта и соцсетей. От ритейлера требуется только: выделение зоны для технологических цепочек на полке, доступ к персоналу для обучения (2–3 часа), размещение POSM. Это минимальные операционные затраты при потенциале роста выручки в 2–3 раза.</w:t>
      </w:r>
    </w:p>
    <w:p>
      <w:pPr>
        <w:pStyle w:val="Heading2"/>
        <w:spacing w:after="160" w:before="360" w:line="312"/>
      </w:pPr>
      <w:bookmarkStart w:id="100010" w:name="_Toc100010"/>
      <w:r>
        <w:rPr>
          <w:rFonts w:ascii="Carlito" w:eastAsia="SimHei"/>
          <w:b/>
          <w:bCs/>
          <w:color w:val="0A2540"/>
          <w:sz w:val="28"/>
          <w:szCs w:val="28"/>
        </w:rPr>
        <w:t xml:space="preserve">1.4. Пилотный проект: предложение ритейлеру</w:t>
      </w:r>
      <w:bookmarkEnd w:id="100010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Чтобы снизить риски ритейлера, предлагается пилотный проект на 3 месяца в 3–5 магазинах одной сети. В рамках пилота Эмпилс полностью финансирует все маркетинговые материалы, обеспечивает тренинг персонала и предоставляет TCO-калькулятор. По итогам пилота совместно анализируются показатели и принимается решение о масштабировании на всю сеть.</w:t>
      </w:r>
    </w:p>
    <w:tbl>
      <w:tblPr>
        <w:tblW w:type="pct" w:w="100%"/>
        <w:tblBorders>
          <w:top w:val="single" w:color="0A2540" w:sz="2"/>
          <w:left w:val="none"/>
          <w:bottom w:val="single" w:color="0A2540" w:sz="2"/>
          <w:right w:val="none"/>
          <w:insideH w:val="single" w:color="D0D8E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Этап</w:t>
            </w:r>
          </w:p>
        </w:tc>
        <w:tc>
          <w:tcPr>
            <w:tcW w:type="pct" w:w="15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Срок</w:t>
            </w:r>
          </w:p>
        </w:tc>
        <w:tc>
          <w:tcPr>
            <w:tcW w:type="pct" w:w="40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Действия</w:t>
            </w:r>
          </w:p>
        </w:tc>
        <w:tc>
          <w:tcPr>
            <w:tcW w:type="pct" w:w="27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Ответственность</w:t>
            </w:r>
          </w:p>
        </w:tc>
      </w:tr>
      <w:tr>
        <w:trPr>
          <w:cantSplit/>
        </w:trPr>
        <w:tc>
          <w:tcPr>
            <w:tcW w:type="pct" w:w="18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Подготовка</w:t>
            </w:r>
          </w:p>
        </w:tc>
        <w:tc>
          <w:tcPr>
            <w:tcW w:type="pct" w:w="1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2 недели</w:t>
            </w:r>
          </w:p>
        </w:tc>
        <w:tc>
          <w:tcPr>
            <w:tcW w:type="pct" w:w="4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Аудит ассортимента, разработка цепочек, POSM</w:t>
            </w:r>
          </w:p>
        </w:tc>
        <w:tc>
          <w:tcPr>
            <w:tcW w:type="pct" w:w="27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Эмпилс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Запуск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 неделя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Установка POSM, обучение, запуск TCO-калькулятора</w:t>
            </w:r>
          </w:p>
        </w:tc>
        <w:tc>
          <w:tcPr>
            <w:tcW w:type="pct" w:w="27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Эмпилс + ритейлер</w:t>
            </w:r>
          </w:p>
        </w:tc>
      </w:tr>
      <w:tr>
        <w:trPr>
          <w:cantSplit/>
        </w:trPr>
        <w:tc>
          <w:tcPr>
            <w:tcW w:type="pct" w:w="18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Активная фаза</w:t>
            </w:r>
          </w:p>
        </w:tc>
        <w:tc>
          <w:tcPr>
            <w:tcW w:type="pct" w:w="1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8 недель</w:t>
            </w:r>
          </w:p>
        </w:tc>
        <w:tc>
          <w:tcPr>
            <w:tcW w:type="pct" w:w="4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Продажи по цепочкам, еженедельный мониторинг</w:t>
            </w:r>
          </w:p>
        </w:tc>
        <w:tc>
          <w:tcPr>
            <w:tcW w:type="pct" w:w="27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Ритейлер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Анализ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 неделя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Сопоставление до/после, рекомендации</w:t>
            </w:r>
          </w:p>
        </w:tc>
        <w:tc>
          <w:tcPr>
            <w:tcW w:type="pct" w:w="27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Эмпилс + ритейлер</w:t>
            </w:r>
          </w:p>
        </w:tc>
      </w:tr>
    </w:tbl>
    <w:p>
      <w:pPr>
        <w:spacing w:after="200" w:before="80" w:line="312"/>
        <w:jc w:val="center"/>
      </w:pPr>
      <w:r>
        <w:rPr>
          <w:rFonts w:ascii="Carlito" w:eastAsia="Microsoft YaHei"/>
          <w:i/>
          <w:iCs/>
          <w:color w:val="506880"/>
          <w:sz w:val="20"/>
          <w:szCs w:val="20"/>
        </w:rPr>
        <w:t xml:space="preserve">Таблица 2. План пилотного проекта (3 месяца)</w:t>
      </w:r>
    </w:p>
    <w:p>
      <w:pPr>
        <w:pStyle w:val="Heading2"/>
        <w:spacing w:after="160" w:before="360" w:line="312"/>
      </w:pPr>
      <w:bookmarkStart w:id="100011" w:name="_Toc100011"/>
      <w:r>
        <w:rPr>
          <w:rFonts w:ascii="Carlito" w:eastAsia="SimHei"/>
          <w:b/>
          <w:bCs/>
          <w:color w:val="0A2540"/>
          <w:sz w:val="28"/>
          <w:szCs w:val="28"/>
        </w:rPr>
        <w:t xml:space="preserve">1.5. Как презентовать идею ритейлеру: формат и структура презентации</w:t>
      </w:r>
      <w:bookmarkEnd w:id="100011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Презентация ритейлеру должна длиться не более 20 минут и строиться по принципу: проблема → решение → цифры → риски → пилот. Начинать нужно не с продукции Эмпилс, а с проблемы магазина: низкий средний чек, высокие возвраты, ценовые войны в сегменте ЭКОНОМ. Затем показать, как технологические цепочки решают именно эти проблемы — с конкретными цифрами на основе реального ассортимента данной сети. Обязательно продемонстрировать TCO-калькулятор в реальном времени — это самый сильный аргумент, потому что цифры говорят сами за себя.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Структура презентации: проблема магазина (цифры потерь, 3 минуты) → почему так происходит (разрыв цепочки, 3 минуты) → решение: технологические цепочки + TCO (5 минут, демонстрация калькулятора) → экономика для магазина (расчёт ROI, 4 минуты) → пилотный проект (минимальные риски, 3 минуты) → вопросы (2 минуты).</w:t>
      </w:r>
    </w:p>
    <w:p>
      <w:pPr>
        <w:pStyle w:val="Heading1"/>
        <w:spacing w:after="200" w:before="480" w:line="312"/>
      </w:pPr>
      <w:bookmarkStart w:id="100012" w:name="_Toc100012"/>
      <w:r>
        <w:rPr>
          <w:rFonts w:ascii="Carlito" w:eastAsia="SimHei"/>
          <w:b/>
          <w:bCs/>
          <w:color w:val="0A2540"/>
          <w:sz w:val="32"/>
          <w:szCs w:val="32"/>
        </w:rPr>
        <w:t xml:space="preserve">Часть II. Внешний маркетинг</w:t>
      </w:r>
      <w:bookmarkEnd w:id="100012"/>
    </w:p>
    <w:p>
      <w:pPr>
        <w:pStyle w:val="Heading2"/>
        <w:spacing w:after="160" w:before="360" w:line="312"/>
      </w:pPr>
      <w:bookmarkStart w:id="100013" w:name="_Toc100013"/>
      <w:r>
        <w:rPr>
          <w:rFonts w:ascii="Carlito" w:eastAsia="SimHei"/>
          <w:b/>
          <w:bCs/>
          <w:color w:val="0A2540"/>
          <w:sz w:val="28"/>
          <w:szCs w:val="28"/>
        </w:rPr>
        <w:t xml:space="preserve">2.1. Сайт Эмпилс: центр технологических цепочек</w:t>
      </w:r>
      <w:bookmarkEnd w:id="100013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Сайт empils.ru должен стать не каталогом продукции, а центром технологических решений. Каждая технологическая цепочка получает собственную страницу с визуализацией цепочки (грунт → шпатлёвка → покрытие), TCO-расчётом и кнопкой «Найти в магазине». На главной странице — интерактивный конфигуратор: пользователь выбирает поверхность (металл, дерево, стена) → условия (улица/помещение) → готовая цепочка с TCO. Важно, чтобы на сайте был онлайн-калькулятор TCO — это самый эффективный инструмент конверсии.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Отдельный раздел сайта — каталог магазинов-партнёров с информацией, где представлены технологические цепочки. Покупатель понимает, что идти за продукцией Эмпилс нужно именно сюда — там его научат правильно выбирать и помогут рассчитать экономию. Это создаёт двойной эффект: покупатель приходит в магазин уже подготовленным, а магазин получает целевой трафик.</w:t>
      </w:r>
    </w:p>
    <w:p>
      <w:pPr>
        <w:pStyle w:val="Heading2"/>
        <w:spacing w:after="160" w:before="360" w:line="312"/>
      </w:pPr>
      <w:bookmarkStart w:id="100014" w:name="_Toc100014"/>
      <w:r>
        <w:rPr>
          <w:rFonts w:ascii="Carlito" w:eastAsia="SimHei"/>
          <w:b/>
          <w:bCs/>
          <w:color w:val="0A2540"/>
          <w:sz w:val="28"/>
          <w:szCs w:val="28"/>
        </w:rPr>
        <w:t xml:space="preserve">2.2. Социальные сети: контент-стратегия</w:t>
      </w:r>
      <w:bookmarkEnd w:id="100014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Соцсети — основной канал формирования понимания «краска — это не банка, а результат». Контент работает по трём направлениям. Первое — образовательный контент: видео «Почему краска лезет с металла», «Как сэкономить 40% на покраске забора», карусели «Дешёво vs Премиум: сравнение TCO». Второе — кейсы: реальные истории клиентов с расчётом TCO до/после. Третье — инструментальный: конструктор цепочек в сторис, интерактивные калькуляторы в Reels/VK Clips.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Платформы: VK (основная для B2B и DIY), Telegram-канал (для профессионалов), YouTube (образовательные видео), Дзен (короткие видео с советами). Частота: 3–4 поста в неделю с а/т тестированием гипотез («Цена vs Стоимость владения», «Грунт нужен?», «Какую цепочку выбрать?»). Совместные проекты с блогерами DIY и строителями для достоверности.</w:t>
      </w:r>
    </w:p>
    <w:p>
      <w:pPr>
        <w:pStyle w:val="Heading2"/>
        <w:spacing w:after="160" w:before="360" w:line="312"/>
      </w:pPr>
      <w:bookmarkStart w:id="100015" w:name="_Toc100015"/>
      <w:r>
        <w:rPr>
          <w:rFonts w:ascii="Carlito" w:eastAsia="SimHei"/>
          <w:b/>
          <w:bCs/>
          <w:color w:val="0A2540"/>
          <w:sz w:val="28"/>
          <w:szCs w:val="28"/>
        </w:rPr>
        <w:t xml:space="preserve">2.3. Контент-маркетинг: статьи и журналы</w:t>
      </w:r>
      <w:bookmarkEnd w:id="100015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Статьи в профессиональных изданиях формируют экспертность Эмпилс в области технологий и TCO. Ключевые темы статей: «Стоимость владения лкм: почему дёшевое стоит дороже», «Технологические цепочки: как правильно подготовить поверхность к покраске», «Грунт-эмаль 3в1: миф или реальная экономия». Платформы размещения: журнал «ЛкМ», «Строительные материалы», «Дизайн и строительство», порталы stroi.mos.ru, stroyka.ru, блоги на Дзене и Яндекс.Дзен.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Важный элемент — SEO-стратегия. Целевые запросы: «как правильно покрасить металл», «нужна ли грунтовка перед краской», «стоимость покраски металла в год». Каждая статья должна содержать TCO-расчёт и ссылку на калькулятор, чтобы перевести читателя в пользователя калькулятора. Также рекомендуется серия вебинаров «Технологии Эмпилс» для профессионального сообщества — регистрация на вебинар становится лидом для последующей нитки.</w:t>
      </w:r>
    </w:p>
    <w:p>
      <w:pPr>
        <w:pStyle w:val="Heading2"/>
        <w:spacing w:after="160" w:before="360" w:line="312"/>
      </w:pPr>
      <w:bookmarkStart w:id="100016" w:name="_Toc100016"/>
      <w:r>
        <w:rPr>
          <w:rFonts w:ascii="Carlito" w:eastAsia="SimHei"/>
          <w:b/>
          <w:bCs/>
          <w:color w:val="0A2540"/>
          <w:sz w:val="28"/>
          <w:szCs w:val="28"/>
        </w:rPr>
        <w:t xml:space="preserve">2.4. Интернет-реклама и таргетинг</w:t>
      </w:r>
      <w:bookmarkEnd w:id="100016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Контекстная реклама в Яндекс и Google на запросы «краска по металлу», «краска для дерева» и прочие интентные запросы. Вместо ссылки на карточку товара — ссылка на технологическую цепочку с TCO-расчётом. Ретаргетинг на посетителей сайтов DIY-сетей (Лемана, Петрович, ВсеИнструменты) с баннерами «Узнайте реальную стоимость покраски → калькулятор TCO». Кооперация с ритейлерами в рамках их собственной рекламы: Эмпилс предоставляет контент для рассылок и соцсетей ритейлера, ритейлер предоставляет трафик и платформу.</w:t>
      </w:r>
    </w:p>
    <w:p>
      <w:pPr>
        <w:pStyle w:val="Heading1"/>
        <w:spacing w:after="200" w:before="480" w:line="312"/>
      </w:pPr>
      <w:bookmarkStart w:id="100017" w:name="_Toc100017"/>
      <w:r>
        <w:rPr>
          <w:rFonts w:ascii="Carlito" w:eastAsia="SimHei"/>
          <w:b/>
          <w:bCs/>
          <w:color w:val="0A2540"/>
          <w:sz w:val="32"/>
          <w:szCs w:val="32"/>
        </w:rPr>
        <w:t xml:space="preserve">Часть III. Внутренний маркетинг (внутри магазина)</w:t>
      </w:r>
      <w:bookmarkEnd w:id="100017"/>
    </w:p>
    <w:p>
      <w:pPr>
        <w:pStyle w:val="Heading2"/>
        <w:spacing w:after="160" w:before="360" w:line="312"/>
      </w:pPr>
      <w:bookmarkStart w:id="100018" w:name="_Toc100018"/>
      <w:r>
        <w:rPr>
          <w:rFonts w:ascii="Carlito" w:eastAsia="SimHei"/>
          <w:b/>
          <w:bCs/>
          <w:color w:val="0A2540"/>
          <w:sz w:val="28"/>
          <w:szCs w:val="28"/>
        </w:rPr>
        <w:t xml:space="preserve">3.1. POSM и визуальный мерчандайзинг</w:t>
      </w:r>
      <w:bookmarkEnd w:id="100018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Основная задача POSM — перенести внимание покупателя с цены банки на результат и стоимость владения. Набор POSM-материалов должен включать следующие элементы.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b/>
          <w:bCs/>
          <w:color w:val="000000"/>
          <w:sz w:val="24"/>
          <w:szCs w:val="24"/>
        </w:rPr>
        <w:t xml:space="preserve">Технологические карты. </w:t>
      </w:r>
      <w:r>
        <w:rPr>
          <w:rFonts w:ascii="Carlito" w:eastAsia="Microsoft YaHei"/>
          <w:color w:val="000000"/>
          <w:sz w:val="24"/>
          <w:szCs w:val="24"/>
        </w:rPr>
        <w:t xml:space="preserve">Картонные карты формата A3 с визуализацией цепочки (грунт → шпатлёвка → покрытие), указанием конкретных продуктов Эмпилс, расходом на мк. и TCO в год. Одна карта — одна цепочка. Например: «Металл на улице: Грунт-эмаль ПРОСТОКРАШЕНО! 3в1 + Эмаль ПФ-115 Эмпилс + Разбавитель = 14 руб./мкв в год».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b/>
          <w:bCs/>
          <w:color w:val="000000"/>
          <w:sz w:val="24"/>
          <w:szCs w:val="24"/>
        </w:rPr>
        <w:t xml:space="preserve">Стопперы. </w:t>
      </w:r>
      <w:r>
        <w:rPr>
          <w:rFonts w:ascii="Carlito" w:eastAsia="Microsoft YaHei"/>
          <w:color w:val="000000"/>
          <w:sz w:val="24"/>
          <w:szCs w:val="24"/>
        </w:rPr>
        <w:t xml:space="preserve">Напольные стопперы в зоне лкм с пороговым вопросом: «Выбираете краску или результат?» и ссылкой на стойку с технологическими картами. Напольные стикеры на полу с стрелками «Рассчитайте стоимость покраски здесь →» направляют к TCO-калькулятору.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b/>
          <w:bCs/>
          <w:color w:val="000000"/>
          <w:sz w:val="24"/>
          <w:szCs w:val="24"/>
        </w:rPr>
        <w:t xml:space="preserve">Воблеры на полках. </w:t>
      </w:r>
      <w:r>
        <w:rPr>
          <w:rFonts w:ascii="Carlito" w:eastAsia="Microsoft YaHei"/>
          <w:color w:val="000000"/>
          <w:sz w:val="24"/>
          <w:szCs w:val="24"/>
        </w:rPr>
        <w:t xml:space="preserve">Маленькие воблеры на крышках банок с QR-кодом на онлайн-калькулятор TCO и текстом «Выберите полную цепочку — сэкономьте до 40%». Шельфтокеры с номером цепочки для быстрого поиска менеджером.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b/>
          <w:bCs/>
          <w:color w:val="000000"/>
          <w:sz w:val="24"/>
          <w:szCs w:val="24"/>
        </w:rPr>
        <w:t xml:space="preserve">Мобильные стенды. </w:t>
      </w:r>
      <w:r>
        <w:rPr>
          <w:rFonts w:ascii="Carlito" w:eastAsia="Microsoft YaHei"/>
          <w:color w:val="000000"/>
          <w:sz w:val="24"/>
          <w:szCs w:val="24"/>
        </w:rPr>
        <w:t xml:space="preserve">Передвижные стенды с визуализацией сравнения TCO («ЭКОНОМ vs ПРЕМИУМ»), размещаемые на входе в зону лкм или на демо-стойках. Демонстрационные панели с образцами покрытия по технологии и без, чтобы покупатель видел разницу своими глазами.</w:t>
      </w:r>
    </w:p>
    <w:p>
      <w:pPr>
        <w:pStyle w:val="Heading2"/>
        <w:spacing w:after="160" w:before="360" w:line="312"/>
      </w:pPr>
      <w:bookmarkStart w:id="100019" w:name="_Toc100019"/>
      <w:r>
        <w:rPr>
          <w:rFonts w:ascii="Carlito" w:eastAsia="SimHei"/>
          <w:b/>
          <w:bCs/>
          <w:color w:val="0A2540"/>
          <w:sz w:val="28"/>
          <w:szCs w:val="28"/>
        </w:rPr>
        <w:t xml:space="preserve">3.2. Выкладка и зонирование</w:t>
      </w:r>
      <w:bookmarkEnd w:id="100019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Сегодня продукция Эмпилс в магазинах выкладывается по категориальному признаку: все эмали вместе, все грунтовки вместе. Новая логика: выкладка по технологическим цепочкам. На полке стоит не отдельная эмаль, а весь комплект: грунт — шпатлёвка — покрытие, соединённый цветной полосой или брендированным стендом. Покупатель видит готовое решение, а не набор банок.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Для реализации не обязательно менять всю выкладку. Достаточно выделить 1–2 технологические зоны на полке, где представлены 3–5 самых популярных цепочек. Каждая зона — это цветной прямоугольник на полке с технологической картой сверху. Цвет зоны соответствует типу поверхности: синий — металл, зелёный — дерево, бежевый — стены. Остальная выкладка остаётся категориальной — минимальное вмешательство в привычный порядок.</w:t>
      </w:r>
    </w:p>
    <w:p>
      <w:pPr>
        <w:pStyle w:val="Heading2"/>
        <w:spacing w:after="160" w:before="360" w:line="312"/>
      </w:pPr>
      <w:bookmarkStart w:id="100020" w:name="_Toc100020"/>
      <w:r>
        <w:rPr>
          <w:rFonts w:ascii="Carlito" w:eastAsia="SimHei"/>
          <w:b/>
          <w:bCs/>
          <w:color w:val="0A2540"/>
          <w:sz w:val="28"/>
          <w:szCs w:val="28"/>
        </w:rPr>
        <w:t xml:space="preserve">3.3. Обучение персонала магазина</w:t>
      </w:r>
      <w:bookmarkEnd w:id="100020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Менеджер магазина — главный продавец технологических цепочек. Без его участия программа не работает. Обучение должно быть практическим и конкретным: не теория лкм, а сценарии продаж. Формат: 2-часовой тренинг на месте, включающий 4 блока: концепция технологических цепочек (20 минут), работа с TCO-калькулятором (30 минут), сценарии продаж (40 минут), ответы на вопросы и конкурс (30 минут). После тренинга каждый менеджер получает карточку с 5 ключевыми сценариями и доступ к TCO-калькулятору.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Мотивация менеджеров — критически важный элемент. Рекомендуется система микро-бонусов: за каждую проданную технологическую цепочку (одновременно 3+ позиций в чеке) менеджер получает бонус. Ежемесячный конкурс «Лучший продавец технологий» с призовым фондом. Геймификация: значки «Эксперт по технологиям Эмпилс» для менеджеров, прошедших тренинг.</w:t>
      </w:r>
    </w:p>
    <w:p>
      <w:pPr>
        <w:pStyle w:val="Heading2"/>
        <w:spacing w:after="160" w:before="360" w:line="312"/>
      </w:pPr>
      <w:bookmarkStart w:id="100021" w:name="_Toc100021"/>
      <w:r>
        <w:rPr>
          <w:rFonts w:ascii="Carlito" w:eastAsia="SimHei"/>
          <w:b/>
          <w:bCs/>
          <w:color w:val="0A2540"/>
          <w:sz w:val="28"/>
          <w:szCs w:val="28"/>
        </w:rPr>
        <w:t xml:space="preserve">3.4. TCO-калькулятор в магазине</w:t>
      </w:r>
      <w:bookmarkEnd w:id="100021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TCO-калькулятор — центральный инструмент программы. Менеджер открывает Excel-файл на компьютере или планшете, выбирает поверхность и продукты — и получает расчёт стоимости владения в год с разбивкой по слоям. Калькулятор показывает не только цену банки, но и расход на мк., количество слоёв, период между перекрасками и итоговую стоимость владения в расчёте на год. Это делает невидимое видимым: экономию на перекраске, экономию на работе, экономию на материалах.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Сценарий использования: покупатель просит краску по металлу → менеджер открывает калькулятор → показывает два варианта: «Только эмаль» (TCO = X руб./мкв в год, перекраска через 2 года) vs «Технологическая цепочка» (TCO = Y руб./мкв в год, перекраска через 5 лет). Когда покупатель видит разницу в 30–40% в пользу полной цепочки, он делает выбор сам. Никакого навязывания — только цифры.</w:t>
      </w:r>
    </w:p>
    <w:p>
      <w:pPr>
        <w:pStyle w:val="Heading2"/>
        <w:spacing w:after="160" w:before="360" w:line="312"/>
      </w:pPr>
      <w:bookmarkStart w:id="100022" w:name="_Toc100022"/>
      <w:r>
        <w:rPr>
          <w:rFonts w:ascii="Carlito" w:eastAsia="SimHei"/>
          <w:b/>
          <w:bCs/>
          <w:color w:val="0A2540"/>
          <w:sz w:val="28"/>
          <w:szCs w:val="28"/>
        </w:rPr>
        <w:t xml:space="preserve">3.5. Внутримагазинные цифровые инструменты</w:t>
      </w:r>
      <w:bookmarkEnd w:id="100022"/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Кроме TCO-калькулятора, в магазине могут быть размещены QR-коды на полках, которые ведут на мобильную версию калькулятора. Покупатель сканирует QR-код и самостоятельно рассчитывает TCO, получая результат на телефоне. Экраны в зоне лкм (если имеются) с роликом сравнения покрытия с технологией и без. Интерактивный киоск с калькулятором TCO и конструктором цепочек для крупных магазинов.</w:t>
      </w:r>
    </w:p>
    <w:p>
      <w:pPr>
        <w:pStyle w:val="Heading1"/>
        <w:spacing w:after="200" w:before="480" w:line="312"/>
      </w:pPr>
      <w:bookmarkStart w:id="100023" w:name="_Toc100023"/>
      <w:r>
        <w:rPr>
          <w:rFonts w:ascii="Carlito" w:eastAsia="SimHei"/>
          <w:b/>
          <w:bCs/>
          <w:color w:val="0A2540"/>
          <w:sz w:val="32"/>
          <w:szCs w:val="32"/>
        </w:rPr>
        <w:t xml:space="preserve">Часть IV. План внедрения и KPI</w:t>
      </w:r>
      <w:bookmarkEnd w:id="100023"/>
    </w:p>
    <w:p>
      <w:pPr>
        <w:pStyle w:val="Heading2"/>
        <w:spacing w:after="160" w:before="360" w:line="312"/>
      </w:pPr>
      <w:bookmarkStart w:id="100024" w:name="_Toc100024"/>
      <w:r>
        <w:rPr>
          <w:rFonts w:ascii="Carlito" w:eastAsia="SimHei"/>
          <w:b/>
          <w:bCs/>
          <w:color w:val="0A2540"/>
          <w:sz w:val="28"/>
          <w:szCs w:val="28"/>
        </w:rPr>
        <w:t xml:space="preserve">4.1. Дорожная карта внедрения</w:t>
      </w:r>
      <w:bookmarkEnd w:id="100024"/>
    </w:p>
    <w:tbl>
      <w:tblPr>
        <w:tblW w:type="pct" w:w="100%"/>
        <w:tblBorders>
          <w:top w:val="single" w:color="0A2540" w:sz="2"/>
          <w:left w:val="none"/>
          <w:bottom w:val="single" w:color="0A2540" w:sz="2"/>
          <w:right w:val="none"/>
          <w:insideH w:val="single" w:color="D0D8E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Фаза</w:t>
            </w:r>
          </w:p>
        </w:tc>
        <w:tc>
          <w:tcPr>
            <w:tcW w:type="pct" w:w="15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Срок</w:t>
            </w:r>
          </w:p>
        </w:tc>
        <w:tc>
          <w:tcPr>
            <w:tcW w:type="pct" w:w="40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Ключевые действия</w:t>
            </w:r>
          </w:p>
        </w:tc>
        <w:tc>
          <w:tcPr>
            <w:tcW w:type="pct" w:w="30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1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Фаза 1: Пилот</w:t>
            </w:r>
          </w:p>
        </w:tc>
        <w:tc>
          <w:tcPr>
            <w:tcW w:type="pct" w:w="1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Месяцы 1–3</w:t>
            </w:r>
          </w:p>
        </w:tc>
        <w:tc>
          <w:tcPr>
            <w:tcW w:type="pct" w:w="4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Аудит ассортимента, создание цепочек, запуск в 3–5 магазинах</w:t>
            </w:r>
          </w:p>
        </w:tc>
        <w:tc>
          <w:tcPr>
            <w:tcW w:type="pct" w:w="3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Валидация гипотезы, сбор данных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Фаза 2: Оптимизация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Месяцы 4–6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Анализ пилота, коррекция цепочек, POSM, обучение второй волны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Оптимизированная модель</w:t>
            </w:r>
          </w:p>
        </w:tc>
      </w:tr>
      <w:tr>
        <w:trPr>
          <w:cantSplit/>
        </w:trPr>
        <w:tc>
          <w:tcPr>
            <w:tcW w:type="pct" w:w="1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Фаза 3: Масштабирование</w:t>
            </w:r>
          </w:p>
        </w:tc>
        <w:tc>
          <w:tcPr>
            <w:tcW w:type="pct" w:w="1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Месяцы 7–12</w:t>
            </w:r>
          </w:p>
        </w:tc>
        <w:tc>
          <w:tcPr>
            <w:tcW w:type="pct" w:w="4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Раскатка на всю сеть, запуск внешнего маркетинга</w:t>
            </w:r>
          </w:p>
        </w:tc>
        <w:tc>
          <w:tcPr>
            <w:tcW w:type="pct" w:w="3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Полномасштабная программа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Фаза 4: Расширение</w:t>
            </w:r>
          </w:p>
        </w:tc>
        <w:tc>
          <w:tcPr>
            <w:tcW w:type="pct" w:w="1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Год 2–3</w:t>
            </w:r>
          </w:p>
        </w:tc>
        <w:tc>
          <w:tcPr>
            <w:tcW w:type="pct" w:w="4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Распространение на другие сети, новые цепочки</w:t>
            </w:r>
          </w:p>
        </w:tc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Многосетевой стандарт</w:t>
            </w:r>
          </w:p>
        </w:tc>
      </w:tr>
    </w:tbl>
    <w:p>
      <w:pPr>
        <w:spacing w:after="200" w:before="80" w:line="312"/>
        <w:jc w:val="center"/>
      </w:pPr>
      <w:r>
        <w:rPr>
          <w:rFonts w:ascii="Carlito" w:eastAsia="Microsoft YaHei"/>
          <w:i/>
          <w:iCs/>
          <w:color w:val="506880"/>
          <w:sz w:val="20"/>
          <w:szCs w:val="20"/>
        </w:rPr>
        <w:t xml:space="preserve">Таблица 3. Дорожная карта внедрения</w:t>
      </w:r>
    </w:p>
    <w:p>
      <w:pPr>
        <w:pStyle w:val="Heading2"/>
        <w:spacing w:after="160" w:before="360" w:line="312"/>
      </w:pPr>
      <w:bookmarkStart w:id="100025" w:name="_Toc100025"/>
      <w:r>
        <w:rPr>
          <w:rFonts w:ascii="Carlito" w:eastAsia="SimHei"/>
          <w:b/>
          <w:bCs/>
          <w:color w:val="0A2540"/>
          <w:sz w:val="28"/>
          <w:szCs w:val="28"/>
        </w:rPr>
        <w:t xml:space="preserve">4.2. Система KPI</w:t>
      </w:r>
      <w:bookmarkEnd w:id="100025"/>
    </w:p>
    <w:tbl>
      <w:tblPr>
        <w:tblW w:type="pct" w:w="100%"/>
        <w:tblBorders>
          <w:top w:val="single" w:color="0A2540" w:sz="2"/>
          <w:left w:val="none"/>
          <w:bottom w:val="single" w:color="0A2540" w:sz="2"/>
          <w:right w:val="none"/>
          <w:insideH w:val="single" w:color="D0D8E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KPI</w:t>
            </w:r>
          </w:p>
        </w:tc>
        <w:tc>
          <w:tcPr>
            <w:tcW w:type="pct" w:w="22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Метка пилота (3 мес.)</w:t>
            </w:r>
          </w:p>
        </w:tc>
        <w:tc>
          <w:tcPr>
            <w:tcW w:type="pct" w:w="22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Метка масштаба (12 мес.)</w:t>
            </w:r>
          </w:p>
        </w:tc>
        <w:tc>
          <w:tcPr>
            <w:tcW w:type="pct" w:w="31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Источник данных</w:t>
            </w:r>
          </w:p>
        </w:tc>
      </w:tr>
      <w:tr>
        <w:trPr>
          <w:cantSplit/>
        </w:trPr>
        <w:tc>
          <w:tcPr>
            <w:tcW w:type="pct" w:w="2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Средний чек лкм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+50% к базе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+120% к базе</w:t>
            </w:r>
          </w:p>
        </w:tc>
        <w:tc>
          <w:tcPr>
            <w:tcW w:type="pct" w:w="31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Устойчивый чек магазина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Доля чеков с цепочками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15% чеков лкм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35% чеков лкм</w:t>
            </w:r>
          </w:p>
        </w:tc>
        <w:tc>
          <w:tcPr>
            <w:tcW w:type="pct" w:w="31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Резервный учёт</w:t>
            </w:r>
          </w:p>
        </w:tc>
      </w:tr>
      <w:tr>
        <w:trPr>
          <w:cantSplit/>
        </w:trPr>
        <w:tc>
          <w:tcPr>
            <w:tcW w:type="pct" w:w="2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Кол-во товаров в чеке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2,5 шт.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3,2 шт.</w:t>
            </w:r>
          </w:p>
        </w:tc>
        <w:tc>
          <w:tcPr>
            <w:tcW w:type="pct" w:w="31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Устойчивый чек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Возвраты лкм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−50%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−70%</w:t>
            </w:r>
          </w:p>
        </w:tc>
        <w:tc>
          <w:tcPr>
            <w:tcW w:type="pct" w:w="31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База возвратов</w:t>
            </w:r>
          </w:p>
        </w:tc>
      </w:tr>
      <w:tr>
        <w:trPr>
          <w:cantSplit/>
        </w:trPr>
        <w:tc>
          <w:tcPr>
            <w:tcW w:type="pct" w:w="2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Доля премиум в выручке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+8 п.п.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+15 п.п.</w:t>
            </w:r>
          </w:p>
        </w:tc>
        <w:tc>
          <w:tcPr>
            <w:tcW w:type="pct" w:w="31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Устойчивый чек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Использование TCO-калькулятора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30% менеджеров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80% менеджеров</w:t>
            </w:r>
          </w:p>
        </w:tc>
        <w:tc>
          <w:tcPr>
            <w:tcW w:type="pct" w:w="31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Отчёты менеджеров</w:t>
            </w:r>
          </w:p>
        </w:tc>
      </w:tr>
      <w:tr>
        <w:trPr>
          <w:cantSplit/>
        </w:trPr>
        <w:tc>
          <w:tcPr>
            <w:tcW w:type="pct" w:w="2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Трафик на стр. цепочек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2 000 хитов/мес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10 000 хитов/мес</w:t>
            </w:r>
          </w:p>
        </w:tc>
        <w:tc>
          <w:tcPr>
            <w:tcW w:type="pct" w:w="31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Яндекс.Метрика</w:t>
            </w:r>
          </w:p>
        </w:tc>
      </w:tr>
    </w:tbl>
    <w:p>
      <w:pPr>
        <w:spacing w:after="200" w:before="80" w:line="312"/>
        <w:jc w:val="center"/>
      </w:pPr>
      <w:r>
        <w:rPr>
          <w:rFonts w:ascii="Carlito" w:eastAsia="Microsoft YaHei"/>
          <w:i/>
          <w:iCs/>
          <w:color w:val="506880"/>
          <w:sz w:val="20"/>
          <w:szCs w:val="20"/>
        </w:rPr>
        <w:t xml:space="preserve">Таблица 4. Система KPI программы</w:t>
      </w:r>
    </w:p>
    <w:p>
      <w:pPr>
        <w:pStyle w:val="Heading2"/>
        <w:spacing w:after="160" w:before="360" w:line="312"/>
      </w:pPr>
      <w:bookmarkStart w:id="100026" w:name="_Toc100026"/>
      <w:r>
        <w:rPr>
          <w:rFonts w:ascii="Carlito" w:eastAsia="SimHei"/>
          <w:b/>
          <w:bCs/>
          <w:color w:val="0A2540"/>
          <w:sz w:val="28"/>
          <w:szCs w:val="28"/>
        </w:rPr>
        <w:t xml:space="preserve">4.3. Бюджет программы</w:t>
      </w:r>
      <w:bookmarkEnd w:id="100026"/>
    </w:p>
    <w:tbl>
      <w:tblPr>
        <w:tblW w:type="pct" w:w="100%"/>
        <w:tblBorders>
          <w:top w:val="single" w:color="0A2540" w:sz="2"/>
          <w:left w:val="none"/>
          <w:bottom w:val="single" w:color="0A2540" w:sz="2"/>
          <w:right w:val="none"/>
          <w:insideH w:val="single" w:color="D0D8E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Статья</w:t>
            </w:r>
          </w:p>
        </w:tc>
        <w:tc>
          <w:tcPr>
            <w:tcW w:type="pct" w:w="22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Пилот (3 мес.)</w:t>
            </w:r>
          </w:p>
        </w:tc>
        <w:tc>
          <w:tcPr>
            <w:tcW w:type="pct" w:w="25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Масштаб (12 мес.)</w:t>
            </w:r>
          </w:p>
        </w:tc>
        <w:tc>
          <w:tcPr>
            <w:tcW w:type="pct" w:w="23%"/>
            <w:shd w:fill="0A2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rlito" w:eastAsia="Microsoft YaHei"/>
                <w:b/>
                <w:bCs/>
                <w:color w:val="FFFFFF"/>
                <w:sz w:val="21"/>
                <w:szCs w:val="21"/>
              </w:rPr>
              <w:t xml:space="preserve">Кто финансирует</w:t>
            </w:r>
          </w:p>
        </w:tc>
      </w:tr>
      <w:tr>
        <w:trPr>
          <w:cantSplit/>
        </w:trPr>
        <w:tc>
          <w:tcPr>
            <w:tcW w:type="pct" w:w="3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Разработка цепочек и калькулятора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Включено в проект</w:t>
            </w:r>
          </w:p>
        </w:tc>
        <w:tc>
          <w:tcPr>
            <w:tcW w:type="pct" w:w="2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Включено</w:t>
            </w:r>
          </w:p>
        </w:tc>
        <w:tc>
          <w:tcPr>
            <w:tcW w:type="pct" w:w="23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Эмпилс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POSM-материалы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150–250 тыс. руб.</w:t>
            </w:r>
          </w:p>
        </w:tc>
        <w:tc>
          <w:tcPr>
            <w:tcW w:type="pct" w:w="2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500–800 тыс. руб.</w:t>
            </w:r>
          </w:p>
        </w:tc>
        <w:tc>
          <w:tcPr>
            <w:tcW w:type="pct" w:w="23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Эмпилс</w:t>
            </w:r>
          </w:p>
        </w:tc>
      </w:tr>
      <w:tr>
        <w:trPr>
          <w:cantSplit/>
        </w:trPr>
        <w:tc>
          <w:tcPr>
            <w:tcW w:type="pct" w:w="3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Обучение персонала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Включено</w:t>
            </w:r>
          </w:p>
        </w:tc>
        <w:tc>
          <w:tcPr>
            <w:tcW w:type="pct" w:w="2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Включено</w:t>
            </w:r>
          </w:p>
        </w:tc>
        <w:tc>
          <w:tcPr>
            <w:tcW w:type="pct" w:w="23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Эмпилс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Контент и SMM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100–200 тыс. руб./мес.</w:t>
            </w:r>
          </w:p>
        </w:tc>
        <w:tc>
          <w:tcPr>
            <w:tcW w:type="pct" w:w="2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200–350 тыс. руб./мес.</w:t>
            </w:r>
          </w:p>
        </w:tc>
        <w:tc>
          <w:tcPr>
            <w:tcW w:type="pct" w:w="23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Эмпилс</w:t>
            </w:r>
          </w:p>
        </w:tc>
      </w:tr>
      <w:tr>
        <w:trPr>
          <w:cantSplit/>
        </w:trPr>
        <w:tc>
          <w:tcPr>
            <w:tcW w:type="pct" w:w="30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Интернет-реклама</w:t>
            </w:r>
          </w:p>
        </w:tc>
        <w:tc>
          <w:tcPr>
            <w:tcW w:type="pct" w:w="22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50–100 тыс. руб./мес.</w:t>
            </w:r>
          </w:p>
        </w:tc>
        <w:tc>
          <w:tcPr>
            <w:tcW w:type="pct" w:w="25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150–300 тыс. руб./мес.</w:t>
            </w:r>
          </w:p>
        </w:tc>
        <w:tc>
          <w:tcPr>
            <w:tcW w:type="pct" w:w="23%"/>
            <w:shd w:fill="EDF2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Эмпилс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Мотивация менеджеров</w:t>
            </w:r>
          </w:p>
        </w:tc>
        <w:tc>
          <w:tcPr>
            <w:tcW w:type="pct" w:w="22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30–50 тыс. руб./мес.</w:t>
            </w:r>
          </w:p>
        </w:tc>
        <w:tc>
          <w:tcPr>
            <w:tcW w:type="pct" w:w="25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80–150 тыс. руб./мес.</w:t>
            </w:r>
          </w:p>
        </w:tc>
        <w:tc>
          <w:tcPr>
            <w:tcW w:type="pct" w:w="23%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rlito" w:eastAsia="Microsoft YaHei"/>
                <w:color w:val="000000"/>
                <w:sz w:val="21"/>
                <w:szCs w:val="21"/>
              </w:rPr>
              <w:t xml:space="preserve">Эмпилс + ритейлер</w:t>
            </w:r>
          </w:p>
        </w:tc>
      </w:tr>
    </w:tbl>
    <w:p>
      <w:pPr>
        <w:spacing w:after="200" w:before="80" w:line="312"/>
        <w:jc w:val="center"/>
      </w:pPr>
      <w:r>
        <w:rPr>
          <w:rFonts w:ascii="Carlito" w:eastAsia="Microsoft YaHei"/>
          <w:i/>
          <w:iCs/>
          <w:color w:val="506880"/>
          <w:sz w:val="20"/>
          <w:szCs w:val="20"/>
        </w:rPr>
        <w:t xml:space="preserve">Таблица 5. Бюджет программы</w:t>
      </w:r>
    </w:p>
    <w:p>
      <w:pPr>
        <w:spacing w:after="80" w:line="312"/>
        <w:ind w:firstLine="480"/>
        <w:jc w:val="both"/>
      </w:pPr>
      <w:r>
        <w:rPr>
          <w:rFonts w:ascii="Carlito" w:eastAsia="Microsoft YaHei"/>
          <w:color w:val="000000"/>
          <w:sz w:val="24"/>
          <w:szCs w:val="24"/>
        </w:rPr>
        <w:t xml:space="preserve">Итого бюджет пилотного проекта: 550–950 тыс. руб. за 3 месяца. При ожидаемом росте выручки +170% на одном магазине ROI пилота окупается за 2–3 месяца. Это делает проект экономически целесообразным для обеих сторон.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rlito" w:eastAsia="Microsoft YaHei"/>
        <w:color w:val="808080"/>
        <w:sz w:val="18"/>
        <w:szCs w:val="18"/>
      </w:rPr>
      <w:t xml:space="preserve">Программа маркетингового продвижения группированных технологий и TCO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12"/>
      <w:outlineLvl w:val="0"/>
    </w:pPr>
    <w:rPr>
      <w:rFonts w:ascii="Carlito" w:eastAsia="SimHei"/>
      <w:b/>
      <w:bCs/>
      <w:color w:val="0A25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 w:line="312"/>
      <w:outlineLvl w:val="1"/>
    </w:pPr>
    <w:rPr>
      <w:rFonts w:ascii="Carlito" w:eastAsia="SimHei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12"/>
      <w:outlineLvl w:val="2"/>
    </w:pPr>
    <w:rPr>
      <w:rFonts w:ascii="Carlito" w:eastAsia="SimHei"/>
      <w:b/>
      <w:bCs/>
      <w:color w:val="E86C0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2026-06-19T11:29:53.707Z</dcterms:created>
  <dcterms:modified xsi:type="dcterms:W3CDTF">2026-06-19T11:29:53.707Z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